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7541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sz w:val="44"/>
          <w:szCs w:val="44"/>
        </w:rPr>
      </w:pPr>
      <w:bookmarkStart w:id="0" w:name="_GoBack"/>
      <w:bookmarkEnd w:id="0"/>
      <w:r>
        <w:rPr>
          <w:rFonts w:hint="eastAsia" w:ascii="Times New Roman" w:hAnsi="Times New Roman" w:eastAsia="宋体" w:cs="Times New Roman"/>
        </w:rPr>
        <w:pict>
          <v:shape id="_x0000_s1026" o:spid="_x0000_s1026" o:spt="136" type="#_x0000_t136" style="position:absolute;left:0pt;margin-left:98.65pt;margin-top:72.65pt;height:66.25pt;width:393.75pt;mso-position-horizontal-relative:page;mso-position-vertical-relative:margin;z-index:251660288;mso-width-relative:page;mso-height-relative:page;" fillcolor="#FF0000" filled="t" stroked="f" coordsize="21600,21600">
            <v:path/>
            <v:fill on="t" focussize="0,0"/>
            <v:stroke on="f" color="#FF0000"/>
            <v:imagedata o:title=""/>
            <o:lock v:ext="edit"/>
            <v:textpath on="t" fitshape="t" fitpath="t" trim="t" xscale="f" string="中共丰都县董家镇委员会" style="font-family:方正小标宋_GBK;font-size:36pt;font-weight:bold;v-rotate-letters:f;v-same-letter-heights:f;v-text-align:center;"/>
          </v:shape>
        </w:pict>
      </w:r>
    </w:p>
    <w:p w14:paraId="7744A02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sz w:val="44"/>
          <w:szCs w:val="44"/>
        </w:rPr>
      </w:pPr>
    </w:p>
    <w:p w14:paraId="5F94E26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sz w:val="44"/>
          <w:szCs w:val="44"/>
        </w:rPr>
      </w:pPr>
    </w:p>
    <w:p w14:paraId="20E0FAE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sz w:val="44"/>
          <w:szCs w:val="44"/>
        </w:rPr>
      </w:pPr>
    </w:p>
    <w:p w14:paraId="0F7E103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sz w:val="44"/>
          <w:szCs w:val="44"/>
        </w:rPr>
      </w:pPr>
    </w:p>
    <w:p w14:paraId="478E97E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sz w:val="44"/>
          <w:szCs w:val="44"/>
        </w:rPr>
      </w:pPr>
    </w:p>
    <w:p w14:paraId="51D63EF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sz w:val="44"/>
          <w:szCs w:val="44"/>
        </w:rPr>
      </w:pPr>
    </w:p>
    <w:p w14:paraId="5C7EE3C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sz w:val="44"/>
          <w:szCs w:val="44"/>
        </w:rPr>
      </w:pPr>
    </w:p>
    <w:p w14:paraId="45ADCC7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方正楷体_GBK" w:hAnsi="方正楷体_GBK" w:eastAsia="方正楷体_GBK" w:cs="方正楷体_GBK"/>
          <w:sz w:val="32"/>
          <w:szCs w:val="32"/>
          <w:lang w:val="en-US" w:eastAsia="zh-CN"/>
        </w:rPr>
      </w:pPr>
      <w:r>
        <w:rPr>
          <w:rFonts w:hint="eastAsia" w:ascii="方正仿宋_GBK" w:hAnsi="方正仿宋_GBK" w:eastAsia="方正仿宋_GBK" w:cs="方正仿宋_GBK"/>
          <w:color w:val="auto"/>
          <w:sz w:val="32"/>
          <w:szCs w:val="32"/>
          <w:lang w:val="en-US" w:eastAsia="zh-CN"/>
        </w:rPr>
        <w:t>董家委文</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号</w:t>
      </w:r>
      <w:r>
        <w:rPr>
          <w:rFonts w:hint="eastAsia" w:ascii="Times New Roman" w:hAnsi="Times New Roman" w:eastAsia="方正仿宋_GBK" w:cs="Times New Roman"/>
          <w:sz w:val="32"/>
          <w:szCs w:val="32"/>
          <w:lang w:val="en-US" w:eastAsia="zh-CN"/>
        </w:rPr>
        <w:t xml:space="preserve">        签发人：</w:t>
      </w:r>
      <w:r>
        <w:rPr>
          <w:rFonts w:hint="eastAsia" w:ascii="方正楷体_GBK" w:hAnsi="方正楷体_GBK" w:eastAsia="方正楷体_GBK" w:cs="方正楷体_GBK"/>
          <w:sz w:val="32"/>
          <w:szCs w:val="32"/>
          <w:lang w:val="en-US" w:eastAsia="zh-CN"/>
        </w:rPr>
        <w:t>廖成红  何海枫</w:t>
      </w:r>
    </w:p>
    <w:p w14:paraId="369C7BD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楷体_GBK" w:hAnsi="方正楷体_GBK" w:eastAsia="方正楷体_GBK" w:cs="方正楷体_GBK"/>
          <w:sz w:val="32"/>
          <w:szCs w:val="32"/>
          <w:lang w:val="en-US" w:eastAsia="zh-CN"/>
        </w:rPr>
      </w:pPr>
      <w:r>
        <w:rPr>
          <w:rFonts w:hint="eastAsia" w:ascii="Times New Roman" w:hAnsi="Times New Roman" w:eastAsia="宋体" w:cs="Times New Roman"/>
        </w:rPr>
        <mc:AlternateContent>
          <mc:Choice Requires="wps">
            <w:drawing>
              <wp:anchor distT="0" distB="0" distL="114300" distR="114300" simplePos="0" relativeHeight="251662336" behindDoc="0" locked="0" layoutInCell="1" allowOverlap="1">
                <wp:simplePos x="0" y="0"/>
                <wp:positionH relativeFrom="page">
                  <wp:posOffset>1019175</wp:posOffset>
                </wp:positionH>
                <wp:positionV relativeFrom="margin">
                  <wp:posOffset>3204845</wp:posOffset>
                </wp:positionV>
                <wp:extent cx="2520315" cy="0"/>
                <wp:effectExtent l="0" t="9525" r="13335" b="9525"/>
                <wp:wrapNone/>
                <wp:docPr id="2" name="直接连接符 2"/>
                <wp:cNvGraphicFramePr/>
                <a:graphic xmlns:a="http://schemas.openxmlformats.org/drawingml/2006/main">
                  <a:graphicData uri="http://schemas.microsoft.com/office/word/2010/wordprocessingShape">
                    <wps:wsp>
                      <wps:cNvCnPr/>
                      <wps:spPr>
                        <a:xfrm>
                          <a:off x="0" y="0"/>
                          <a:ext cx="252031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0.25pt;margin-top:252.35pt;height:0pt;width:198.45pt;mso-position-horizontal-relative:page;mso-position-vertical-relative:margin;z-index:251662336;mso-width-relative:page;mso-height-relative:page;" filled="f" stroked="t" coordsize="21600,21600" o:gfxdata="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csFWA2AAAAAsBAAAPAAAAAAAAAAEAIAAAACIAAABkcnMvZG93bnJldi54bWxQ&#10;SwECFAAUAAAACACHTuJA4fUGZ/cBAADlAwAADgAAAAAAAAABACAAAAAnAQAAZHJzL2Uyb0RvYy54&#10;bWxQSwUGAAAAAAYABgBZAQAAkAUAAAAA&#10;">
                <v:fill on="f" focussize="0,0"/>
                <v:stroke weight="1.5pt" color="#FF0000" joinstyle="round"/>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page">
                  <wp:posOffset>4046855</wp:posOffset>
                </wp:positionH>
                <wp:positionV relativeFrom="margin">
                  <wp:posOffset>3204845</wp:posOffset>
                </wp:positionV>
                <wp:extent cx="2520315" cy="0"/>
                <wp:effectExtent l="0" t="9525" r="13335" b="9525"/>
                <wp:wrapNone/>
                <wp:docPr id="3" name="直接连接符 3"/>
                <wp:cNvGraphicFramePr/>
                <a:graphic xmlns:a="http://schemas.openxmlformats.org/drawingml/2006/main">
                  <a:graphicData uri="http://schemas.microsoft.com/office/word/2010/wordprocessingShape">
                    <wps:wsp>
                      <wps:cNvCnPr/>
                      <wps:spPr>
                        <a:xfrm>
                          <a:off x="0" y="0"/>
                          <a:ext cx="252031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8.65pt;margin-top:252.35pt;height:0pt;width:198.45pt;mso-position-horizontal-relative:page;mso-position-vertical-relative:margin;z-index:251661312;mso-width-relative:page;mso-height-relative:page;" filled="f" stroked="t" coordsize="21600,21600" o:gfxdata="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6gV/82gAAAAwBAAAPAAAAAAAAAAEAIAAAACIAAABkcnMvZG93bnJldi54&#10;bWxQSwECFAAUAAAACACHTuJAeLHbDfgBAADlAwAADgAAAAAAAAABACAAAAApAQAAZHJzL2Uyb0Rv&#10;Yy54bWxQSwUGAAAAAAYABgBZAQAAkwUAAAAA&#10;">
                <v:fill on="f" focussize="0,0"/>
                <v:stroke weight="1.5pt" color="#FF0000" joinstyle="round"/>
                <v:imagedata o:title=""/>
                <o:lock v:ext="edit" aspectratio="f"/>
              </v:line>
            </w:pict>
          </mc:Fallback>
        </mc:AlternateContent>
      </w:r>
      <w:r>
        <w:rPr>
          <w:rFonts w:ascii="Times New Roman" w:hAnsi="Times New Roman" w:eastAsia="宋体" w:cs="Times New Roman"/>
        </w:rPr>
        <w:pict>
          <v:shape id="_x0000_i1025" o:spt="136" type="#_x0000_t136" style="height:20.25pt;width:22.5pt;" fillcolor="#FF0000" filled="t" stroked="t" coordsize="21600,21600">
            <v:path/>
            <v:fill on="t" focussize="0,0"/>
            <v:stroke color="#FF0000"/>
            <v:imagedata o:title=""/>
            <o:lock v:ext="edit"/>
            <v:textpath on="t" fitshape="t" fitpath="t" trim="t" xscale="f" string="★" style="font-family:宋体;font-size:20pt;v-rotate-letters:f;v-same-letter-heights:f;v-text-align:center;"/>
            <w10:wrap type="none"/>
            <w10:anchorlock/>
          </v:shape>
        </w:pict>
      </w:r>
    </w:p>
    <w:p w14:paraId="736CBC0B">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中共丰都县董家镇委员会</w:t>
      </w:r>
    </w:p>
    <w:p w14:paraId="22287689">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丰都县董家镇人民政府</w:t>
      </w:r>
    </w:p>
    <w:p w14:paraId="6D64BB74">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关于董家镇202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年法治政府建设情况的</w:t>
      </w:r>
    </w:p>
    <w:p w14:paraId="0B3BCA26">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报  告</w:t>
      </w:r>
    </w:p>
    <w:p w14:paraId="2415C7E6">
      <w:pPr>
        <w:keepNext w:val="0"/>
        <w:keepLines w:val="0"/>
        <w:pageBreakBefore w:val="0"/>
        <w:widowControl w:val="0"/>
        <w:shd w:val="clear"/>
        <w:kinsoku/>
        <w:wordWrap/>
        <w:overflowPunct/>
        <w:topLinePunct w:val="0"/>
        <w:autoSpaceDE/>
        <w:autoSpaceDN/>
        <w:bidi w:val="0"/>
        <w:adjustRightInd/>
        <w:snapToGrid/>
        <w:spacing w:line="540" w:lineRule="exact"/>
        <w:textAlignment w:val="auto"/>
        <w:rPr>
          <w:rFonts w:hint="default" w:ascii="Times New Roman" w:hAnsi="Times New Roman" w:cs="Times New Roman"/>
        </w:rPr>
      </w:pPr>
    </w:p>
    <w:p w14:paraId="4E2E56CA">
      <w:pPr>
        <w:keepNext w:val="0"/>
        <w:keepLines w:val="0"/>
        <w:pageBreakBefore w:val="0"/>
        <w:widowControl w:val="0"/>
        <w:shd w:val="clear"/>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县委、县政府：</w:t>
      </w:r>
    </w:p>
    <w:p w14:paraId="68B9200F">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lang w:val="en-US" w:eastAsia="zh-CN"/>
        </w:rPr>
      </w:pPr>
      <w:r>
        <w:rPr>
          <w:rFonts w:hint="default" w:ascii="Times New Roman" w:hAnsi="Times New Roman" w:eastAsia="方正仿宋_GBK" w:cs="Times New Roman"/>
          <w:sz w:val="32"/>
          <w:lang w:val="en-US" w:eastAsia="zh-CN"/>
        </w:rPr>
        <w:t>2024年，董家镇在县委、县政府的坚强领导下，深入学习贯彻习近平法治思想，全面落实法治政府建设各项决策部署，扎实推进依法行政，不断提升政府治理体系和治理能力现代化水平，为全镇经济社会高质量发展提供了有力法治保障。现将董家镇2024年法治政府建设情况报告如下：</w:t>
      </w:r>
    </w:p>
    <w:p w14:paraId="23A7D4F0">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黑体_GBK" w:cs="Times New Roman"/>
          <w:sz w:val="32"/>
          <w:lang w:val="en-US" w:eastAsia="zh-CN"/>
        </w:rPr>
        <w:t>一、2024年推进法治政府建设主要举措和成效</w:t>
      </w:r>
    </w:p>
    <w:p w14:paraId="4302D06C">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楷体_GBK" w:cs="Times New Roman"/>
          <w:sz w:val="32"/>
          <w:szCs w:val="32"/>
          <w:lang w:val="en-US" w:eastAsia="zh-CN"/>
        </w:rPr>
        <w:t>（一）深学笃用习近平法治思想</w:t>
      </w:r>
    </w:p>
    <w:p w14:paraId="3CF3679D">
      <w:pPr>
        <w:keepNext w:val="0"/>
        <w:keepLines w:val="0"/>
        <w:pageBreakBefore w:val="0"/>
        <w:widowControl w:val="0"/>
        <w:shd w:val="clea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en-US" w:eastAsia="zh-CN"/>
        </w:rPr>
        <w:t>一是</w:t>
      </w:r>
      <w:r>
        <w:rPr>
          <w:rFonts w:hint="default" w:ascii="Times New Roman" w:hAnsi="Times New Roman" w:eastAsia="方正仿宋_GBK" w:cs="Times New Roman"/>
          <w:sz w:val="32"/>
          <w:lang w:val="en-US" w:eastAsia="zh-CN"/>
        </w:rPr>
        <w:t>将习近平法治思想纳入党委中心组理论学习重点内容。严格落实党委中心组理论学习相关规则，全年党委中心组理论学法4次。</w:t>
      </w:r>
      <w:r>
        <w:rPr>
          <w:rFonts w:hint="default" w:ascii="Times New Roman" w:hAnsi="Times New Roman" w:eastAsia="方正仿宋_GBK" w:cs="Times New Roman"/>
          <w:b/>
          <w:bCs/>
          <w:sz w:val="32"/>
          <w:lang w:val="en-US" w:eastAsia="zh-CN"/>
        </w:rPr>
        <w:t>二是</w:t>
      </w:r>
      <w:r>
        <w:rPr>
          <w:rFonts w:hint="default" w:ascii="Times New Roman" w:hAnsi="Times New Roman" w:eastAsia="方正仿宋_GBK" w:cs="Times New Roman"/>
          <w:sz w:val="32"/>
          <w:lang w:val="en-US" w:eastAsia="zh-CN"/>
        </w:rPr>
        <w:t>制定政府职工及村居干部年度学法计划。建立健全干部职工学法制度，组织相关政府、村居干部集中学法8次，培训人员400人次，切实提高干部职工依法履职能力。</w:t>
      </w:r>
      <w:r>
        <w:rPr>
          <w:rFonts w:hint="default" w:ascii="Times New Roman" w:hAnsi="Times New Roman" w:eastAsia="方正仿宋_GBK" w:cs="Times New Roman"/>
          <w:b/>
          <w:bCs/>
          <w:sz w:val="32"/>
          <w:lang w:val="en-US" w:eastAsia="zh-CN"/>
        </w:rPr>
        <w:t>三是</w:t>
      </w:r>
      <w:r>
        <w:rPr>
          <w:rFonts w:hint="default" w:ascii="Times New Roman" w:hAnsi="Times New Roman" w:eastAsia="方正仿宋_GBK" w:cs="Times New Roman"/>
          <w:sz w:val="32"/>
          <w:lang w:val="en-US" w:eastAsia="zh-CN"/>
        </w:rPr>
        <w:t>加强习近平法治思想宣传教育。全年共计开展各类群众性学法活动36场次，邀请村居法律顾问开展法治宣传讲座4场次，深入讲解各类法律法规和群众关注的重点难点问题，法治观念更加深入人心。</w:t>
      </w:r>
    </w:p>
    <w:p w14:paraId="36FC15B5">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楷体_GBK" w:cs="Times New Roman"/>
          <w:sz w:val="32"/>
          <w:szCs w:val="32"/>
          <w:lang w:val="en-US" w:eastAsia="zh-CN"/>
        </w:rPr>
        <w:t>（二）完善依法行政制度体系</w:t>
      </w:r>
    </w:p>
    <w:p w14:paraId="245925B3">
      <w:pPr>
        <w:keepNext w:val="0"/>
        <w:keepLines w:val="0"/>
        <w:pageBreakBefore w:val="0"/>
        <w:widowControl w:val="0"/>
        <w:shd w:val="clea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en-US" w:eastAsia="zh-CN"/>
        </w:rPr>
        <w:t>一是</w:t>
      </w:r>
      <w:r>
        <w:rPr>
          <w:rFonts w:hint="default" w:ascii="Times New Roman" w:hAnsi="Times New Roman" w:eastAsia="方正仿宋_GBK" w:cs="Times New Roman"/>
          <w:sz w:val="32"/>
          <w:lang w:val="en-US" w:eastAsia="zh-CN"/>
        </w:rPr>
        <w:t>加强行政规范性文件管理，严格落实规范性文件制定程序，加强对规范性文件的合法性审查和备案管理。2024年，对全镇规范性文件，全部进行了合法性审查和备案，确保了规范性文件的合法性和有效性。</w:t>
      </w:r>
      <w:r>
        <w:rPr>
          <w:rFonts w:hint="default" w:ascii="Times New Roman" w:hAnsi="Times New Roman" w:eastAsia="方正仿宋_GBK" w:cs="Times New Roman"/>
          <w:b/>
          <w:bCs/>
          <w:sz w:val="32"/>
          <w:lang w:val="en-US" w:eastAsia="zh-CN"/>
        </w:rPr>
        <w:t>二是</w:t>
      </w:r>
      <w:r>
        <w:rPr>
          <w:rFonts w:hint="default" w:ascii="Times New Roman" w:hAnsi="Times New Roman" w:eastAsia="方正仿宋_GBK" w:cs="Times New Roman"/>
          <w:sz w:val="32"/>
          <w:lang w:val="en-US" w:eastAsia="zh-CN"/>
        </w:rPr>
        <w:t>提升依法行政决策能力。严格有效落实依法科学民主决策机制，完善重大行政决策机制，落实重大决策风险评估。2024年，对涉及全镇经济社会发展的重大事项，全部按照决策程序进行了决策，确保了决策的科学性和民主性。</w:t>
      </w:r>
      <w:r>
        <w:rPr>
          <w:rFonts w:hint="default" w:ascii="Times New Roman" w:hAnsi="Times New Roman" w:eastAsia="方正仿宋_GBK" w:cs="Times New Roman"/>
          <w:b/>
          <w:bCs/>
          <w:sz w:val="32"/>
          <w:lang w:val="en-US" w:eastAsia="zh-CN"/>
        </w:rPr>
        <w:t>三是</w:t>
      </w:r>
      <w:r>
        <w:rPr>
          <w:rFonts w:hint="default" w:ascii="Times New Roman" w:hAnsi="Times New Roman" w:eastAsia="方正仿宋_GBK" w:cs="Times New Roman"/>
          <w:sz w:val="32"/>
          <w:lang w:val="en-US" w:eastAsia="zh-CN"/>
        </w:rPr>
        <w:t>完善法律顾问工作机制。充分发挥法律顾问在重大行政决策等工作中的积极作用。根据相关文件要求，对我镇村居法律顾问履职情况进行综合考评和监督，填写了《村居法律顾问年度履职考核评分表》《村居法律顾问年度满意度评价表》并上报县司法局。</w:t>
      </w:r>
    </w:p>
    <w:p w14:paraId="7971338F">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楷体_GBK" w:cs="Times New Roman"/>
          <w:sz w:val="32"/>
          <w:szCs w:val="32"/>
          <w:lang w:val="en-US" w:eastAsia="zh-CN"/>
        </w:rPr>
        <w:t>（三）坚持严格规范公正文明执法</w:t>
      </w:r>
    </w:p>
    <w:p w14:paraId="50D96B39">
      <w:pPr>
        <w:keepNext w:val="0"/>
        <w:keepLines w:val="0"/>
        <w:pageBreakBefore w:val="0"/>
        <w:widowControl w:val="0"/>
        <w:shd w:val="clea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en-US" w:eastAsia="zh-CN"/>
        </w:rPr>
        <w:t>一是</w:t>
      </w:r>
      <w:r>
        <w:rPr>
          <w:rFonts w:hint="default" w:ascii="Times New Roman" w:hAnsi="Times New Roman" w:eastAsia="方正仿宋_GBK" w:cs="Times New Roman"/>
          <w:sz w:val="32"/>
          <w:lang w:val="en-US" w:eastAsia="zh-CN"/>
        </w:rPr>
        <w:t>加强执法队伍建设，定期组织执法人员参加业务培训和法律知识学习，组织相关执法人员全面学习《</w:t>
      </w:r>
      <w:r>
        <w:rPr>
          <w:rFonts w:hint="eastAsia" w:ascii="Times New Roman" w:hAnsi="Times New Roman" w:eastAsia="方正仿宋_GBK" w:cs="Times New Roman"/>
          <w:sz w:val="32"/>
          <w:lang w:val="en-US" w:eastAsia="zh-CN"/>
        </w:rPr>
        <w:t>中华人民共和国</w:t>
      </w:r>
      <w:r>
        <w:rPr>
          <w:rFonts w:hint="default" w:ascii="Times New Roman" w:hAnsi="Times New Roman" w:eastAsia="方正仿宋_GBK" w:cs="Times New Roman"/>
          <w:sz w:val="32"/>
          <w:lang w:val="en-US" w:eastAsia="zh-CN"/>
        </w:rPr>
        <w:t>行政处罚法》《</w:t>
      </w:r>
      <w:r>
        <w:rPr>
          <w:rFonts w:hint="eastAsia" w:ascii="Times New Roman" w:hAnsi="Times New Roman" w:eastAsia="方正仿宋_GBK" w:cs="Times New Roman"/>
          <w:sz w:val="32"/>
          <w:lang w:val="en-US" w:eastAsia="zh-CN"/>
        </w:rPr>
        <w:t>中华人民共和国</w:t>
      </w:r>
      <w:r>
        <w:rPr>
          <w:rFonts w:hint="default" w:ascii="Times New Roman" w:hAnsi="Times New Roman" w:eastAsia="方正仿宋_GBK" w:cs="Times New Roman"/>
          <w:sz w:val="32"/>
          <w:lang w:val="en-US" w:eastAsia="zh-CN"/>
        </w:rPr>
        <w:t>行政复议法》《</w:t>
      </w:r>
      <w:r>
        <w:rPr>
          <w:rFonts w:hint="eastAsia" w:ascii="Times New Roman" w:hAnsi="Times New Roman" w:eastAsia="方正仿宋_GBK" w:cs="Times New Roman"/>
          <w:sz w:val="32"/>
          <w:lang w:val="en-US" w:eastAsia="zh-CN"/>
        </w:rPr>
        <w:t>中华人民共和国</w:t>
      </w:r>
      <w:r>
        <w:rPr>
          <w:rFonts w:hint="default" w:ascii="Times New Roman" w:hAnsi="Times New Roman" w:eastAsia="方正仿宋_GBK" w:cs="Times New Roman"/>
          <w:sz w:val="32"/>
          <w:lang w:val="en-US" w:eastAsia="zh-CN"/>
        </w:rPr>
        <w:t>行政诉讼法》等法律法规，提高执法人员的业务水平和法律素养。2024年，共组织执法人员培训10余次，日常巡查执法102次，执法人员每月活跃率均为100%。</w:t>
      </w:r>
      <w:r>
        <w:rPr>
          <w:rFonts w:hint="default" w:ascii="Times New Roman" w:hAnsi="Times New Roman" w:eastAsia="方正仿宋_GBK" w:cs="Times New Roman"/>
          <w:b/>
          <w:bCs/>
          <w:sz w:val="32"/>
          <w:lang w:val="en-US" w:eastAsia="zh-CN"/>
        </w:rPr>
        <w:t>二是</w:t>
      </w:r>
      <w:r>
        <w:rPr>
          <w:rFonts w:hint="default" w:ascii="Times New Roman" w:hAnsi="Times New Roman" w:eastAsia="方正仿宋_GBK" w:cs="Times New Roman"/>
          <w:sz w:val="32"/>
          <w:lang w:val="en-US" w:eastAsia="zh-CN"/>
        </w:rPr>
        <w:t>规范执法行为，严格落实行政执法公示制度、执法全过程记录制度、重大执法决定法制审核制度，规范执法程序，确保执法公正。2024年，全镇行政执法案件未发生一起因执法不规范引发的行政复议和行政诉讼案件。</w:t>
      </w:r>
      <w:r>
        <w:rPr>
          <w:rFonts w:hint="default" w:ascii="Times New Roman" w:hAnsi="Times New Roman" w:eastAsia="方正仿宋_GBK" w:cs="Times New Roman"/>
          <w:b/>
          <w:bCs/>
          <w:sz w:val="32"/>
          <w:lang w:val="en-US" w:eastAsia="zh-CN"/>
        </w:rPr>
        <w:t>三是</w:t>
      </w:r>
      <w:r>
        <w:rPr>
          <w:rFonts w:hint="default" w:ascii="Times New Roman" w:hAnsi="Times New Roman" w:eastAsia="方正仿宋_GBK" w:cs="Times New Roman"/>
          <w:sz w:val="32"/>
          <w:lang w:val="en-US" w:eastAsia="zh-CN"/>
        </w:rPr>
        <w:t>加大行政执法监督力度。加强行政执法案件的监督审查，继续开展重大行政处罚决定备案审查工作，保证行政执法决定的合法性和公正性。通过政府网站、政务服务大厅等平台，及时公示行政执法信息，接受社会监督。</w:t>
      </w:r>
      <w:r>
        <w:rPr>
          <w:rFonts w:hint="default" w:ascii="Times New Roman" w:hAnsi="Times New Roman" w:eastAsia="方正仿宋_GBK" w:cs="Times New Roman"/>
          <w:b/>
          <w:bCs/>
          <w:sz w:val="32"/>
          <w:lang w:val="en-US" w:eastAsia="zh-CN"/>
        </w:rPr>
        <w:t>四是</w:t>
      </w:r>
      <w:r>
        <w:rPr>
          <w:rFonts w:hint="default" w:ascii="Times New Roman" w:hAnsi="Times New Roman" w:eastAsia="方正仿宋_GBK" w:cs="Times New Roman"/>
          <w:sz w:val="32"/>
          <w:lang w:val="en-US" w:eastAsia="zh-CN"/>
        </w:rPr>
        <w:t>配齐专业设备，配齐执法记录仪、执法服装等设备，确保执法过程全程记录，确保执法公正。</w:t>
      </w:r>
    </w:p>
    <w:p w14:paraId="37ACE1BB">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（四）强化对行政权力的制约和监督</w:t>
      </w:r>
    </w:p>
    <w:p w14:paraId="139150AE">
      <w:pPr>
        <w:keepNext w:val="0"/>
        <w:keepLines w:val="0"/>
        <w:pageBreakBefore w:val="0"/>
        <w:widowControl w:val="0"/>
        <w:shd w:val="clea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en-US" w:eastAsia="zh-CN"/>
        </w:rPr>
        <w:t>一是</w:t>
      </w:r>
      <w:r>
        <w:rPr>
          <w:rFonts w:hint="default" w:ascii="Times New Roman" w:hAnsi="Times New Roman" w:eastAsia="方正仿宋_GBK" w:cs="Times New Roman"/>
          <w:sz w:val="32"/>
          <w:lang w:val="en-US" w:eastAsia="zh-CN"/>
        </w:rPr>
        <w:t>自觉接受人大监督，认真执行人大的决议、决定，主动向人大报告工作，自觉接受人大代表的监督。</w:t>
      </w:r>
      <w:r>
        <w:rPr>
          <w:rFonts w:hint="default" w:ascii="Times New Roman" w:hAnsi="Times New Roman" w:eastAsia="方正仿宋_GBK" w:cs="Times New Roman"/>
          <w:b/>
          <w:bCs/>
          <w:sz w:val="32"/>
          <w:lang w:val="en-US" w:eastAsia="zh-CN"/>
        </w:rPr>
        <w:t>二是</w:t>
      </w:r>
      <w:r>
        <w:rPr>
          <w:rFonts w:hint="default" w:ascii="Times New Roman" w:hAnsi="Times New Roman" w:eastAsia="方正仿宋_GBK" w:cs="Times New Roman"/>
          <w:sz w:val="32"/>
          <w:lang w:val="en-US" w:eastAsia="zh-CN"/>
        </w:rPr>
        <w:t>加强内部监督，建立健全内部监督机制，加强对政府各部门和工作人员的监督检查。</w:t>
      </w:r>
      <w:r>
        <w:rPr>
          <w:rFonts w:hint="default" w:ascii="Times New Roman" w:hAnsi="Times New Roman" w:eastAsia="方正仿宋_GBK" w:cs="Times New Roman"/>
          <w:b/>
          <w:bCs/>
          <w:sz w:val="32"/>
          <w:lang w:val="en-US" w:eastAsia="zh-CN"/>
        </w:rPr>
        <w:t>三是</w:t>
      </w:r>
      <w:r>
        <w:rPr>
          <w:rFonts w:hint="default" w:ascii="Times New Roman" w:hAnsi="Times New Roman" w:eastAsia="方正仿宋_GBK" w:cs="Times New Roman"/>
          <w:sz w:val="32"/>
          <w:lang w:val="en-US" w:eastAsia="zh-CN"/>
        </w:rPr>
        <w:t>强化社会监督，畅通群众监督渠道，完善投诉举报处理机制，及时处理群众反映的问题。</w:t>
      </w:r>
    </w:p>
    <w:p w14:paraId="1CEDE359">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楷体_GBK" w:cs="Times New Roman"/>
          <w:sz w:val="32"/>
          <w:szCs w:val="32"/>
          <w:lang w:val="en-US" w:eastAsia="zh-CN"/>
        </w:rPr>
        <w:t>（五）全面推进矛盾纠纷多元化解</w:t>
      </w:r>
      <w:r>
        <w:rPr>
          <w:rFonts w:hint="default" w:ascii="Times New Roman" w:hAnsi="Times New Roman" w:eastAsia="方正仿宋_GBK" w:cs="Times New Roman"/>
          <w:sz w:val="32"/>
          <w:lang w:val="en-US" w:eastAsia="zh-CN"/>
        </w:rPr>
        <w:t xml:space="preserve"> </w:t>
      </w:r>
    </w:p>
    <w:p w14:paraId="18313029">
      <w:pPr>
        <w:keepNext w:val="0"/>
        <w:keepLines w:val="0"/>
        <w:pageBreakBefore w:val="0"/>
        <w:widowControl w:val="0"/>
        <w:shd w:val="clea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en-US" w:eastAsia="zh-CN"/>
        </w:rPr>
        <w:t>一是</w:t>
      </w:r>
      <w:r>
        <w:rPr>
          <w:rFonts w:hint="default" w:ascii="Times New Roman" w:hAnsi="Times New Roman" w:eastAsia="方正仿宋_GBK" w:cs="Times New Roman"/>
          <w:sz w:val="32"/>
          <w:lang w:val="en-US" w:eastAsia="zh-CN"/>
        </w:rPr>
        <w:t>加强人民调解工作，完善人民调解组织网络，加强人民调解员队伍建设，充分发挥人民调解在化解社会矛盾纠纷中的基础性作用。2024年，全镇共调解各类矛盾纠纷254件，调解成功率达到100%。加强法律明白人培养，开展法律明白人、人民调解员培训3次6课时，提高法律明白人、人民调解员业务能力与专业素养。</w:t>
      </w:r>
      <w:r>
        <w:rPr>
          <w:rFonts w:hint="default" w:ascii="Times New Roman" w:hAnsi="Times New Roman" w:eastAsia="方正仿宋_GBK" w:cs="Times New Roman"/>
          <w:b/>
          <w:bCs/>
          <w:sz w:val="32"/>
          <w:lang w:val="en-US" w:eastAsia="zh-CN"/>
        </w:rPr>
        <w:t>二是</w:t>
      </w:r>
      <w:r>
        <w:rPr>
          <w:rFonts w:hint="default" w:ascii="Times New Roman" w:hAnsi="Times New Roman" w:eastAsia="方正仿宋_GBK" w:cs="Times New Roman"/>
          <w:sz w:val="32"/>
          <w:lang w:val="en-US" w:eastAsia="zh-CN"/>
        </w:rPr>
        <w:t>做好行政复议和行政应诉工作，积极化解行政争议。2024年，共受理行政复议案件1件，已依法作出处理决定；行政应诉案件1件，政府负责人出庭应诉率达到100%。</w:t>
      </w:r>
      <w:r>
        <w:rPr>
          <w:rFonts w:hint="default" w:ascii="Times New Roman" w:hAnsi="Times New Roman" w:eastAsia="方正仿宋_GBK" w:cs="Times New Roman"/>
          <w:b/>
          <w:bCs/>
          <w:sz w:val="32"/>
          <w:lang w:val="en-US" w:eastAsia="zh-CN"/>
        </w:rPr>
        <w:t>三是</w:t>
      </w:r>
      <w:r>
        <w:rPr>
          <w:rFonts w:hint="default" w:ascii="Times New Roman" w:hAnsi="Times New Roman" w:eastAsia="方正仿宋_GBK" w:cs="Times New Roman"/>
          <w:sz w:val="32"/>
          <w:lang w:val="en-US" w:eastAsia="zh-CN"/>
        </w:rPr>
        <w:t>进一步推进信访工作法治化，组织政府职工和村居干部认真学习《信访工作条例》，引导群众依法理性表达诉求。</w:t>
      </w:r>
    </w:p>
    <w:p w14:paraId="524680AC">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（六）多方面全覆盖开展法治宣传教育</w:t>
      </w:r>
    </w:p>
    <w:p w14:paraId="528244EF">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b/>
          <w:bCs/>
          <w:sz w:val="32"/>
          <w:lang w:val="en-US" w:eastAsia="zh-CN"/>
        </w:rPr>
        <w:t>一是</w:t>
      </w:r>
      <w:r>
        <w:rPr>
          <w:rFonts w:hint="default" w:ascii="Times New Roman" w:hAnsi="Times New Roman" w:eastAsia="方正仿宋_GBK" w:cs="Times New Roman"/>
          <w:sz w:val="32"/>
          <w:lang w:val="en-US" w:eastAsia="zh-CN"/>
        </w:rPr>
        <w:t>开展集中宣传，利用“民法典主题宣传月”“国家安全宣传月”“宪法宣传周”等重要时间节点，开展各类集中宣传8场次，全年发放宣传资料及明白纸 4000 余份、宣传册 1000 余份、宣传台历300余份，营造了浓厚法治氛围。</w:t>
      </w:r>
      <w:r>
        <w:rPr>
          <w:rFonts w:hint="default" w:ascii="Times New Roman" w:hAnsi="Times New Roman" w:eastAsia="方正仿宋_GBK" w:cs="Times New Roman"/>
          <w:b/>
          <w:bCs/>
          <w:sz w:val="32"/>
          <w:lang w:val="en-US" w:eastAsia="zh-CN"/>
        </w:rPr>
        <w:t>二是</w:t>
      </w:r>
      <w:r>
        <w:rPr>
          <w:rFonts w:hint="default" w:ascii="Times New Roman" w:hAnsi="Times New Roman" w:eastAsia="方正仿宋_GBK" w:cs="Times New Roman"/>
          <w:sz w:val="32"/>
          <w:lang w:val="en-US" w:eastAsia="zh-CN"/>
        </w:rPr>
        <w:t>开展送法进乡村活动，督促各村居开展群众性学法活动36场次，院坝会20余场次，更新维护法治宣传专栏2期20块，新建水巷子社区10组卢家林院落法治宣传专栏4块，内容涵盖《</w:t>
      </w:r>
      <w:r>
        <w:rPr>
          <w:rFonts w:hint="eastAsia" w:ascii="Times New Roman" w:hAnsi="Times New Roman" w:eastAsia="方正仿宋_GBK" w:cs="Times New Roman"/>
          <w:sz w:val="32"/>
          <w:lang w:val="en-US" w:eastAsia="zh-CN"/>
        </w:rPr>
        <w:t>中华人民共和国</w:t>
      </w:r>
      <w:r>
        <w:rPr>
          <w:rFonts w:hint="default" w:ascii="Times New Roman" w:hAnsi="Times New Roman" w:eastAsia="方正仿宋_GBK" w:cs="Times New Roman"/>
          <w:sz w:val="32"/>
          <w:lang w:val="en-US" w:eastAsia="zh-CN"/>
        </w:rPr>
        <w:t>宪法》《</w:t>
      </w:r>
      <w:r>
        <w:rPr>
          <w:rFonts w:hint="eastAsia" w:ascii="Times New Roman" w:hAnsi="Times New Roman" w:eastAsia="方正仿宋_GBK" w:cs="Times New Roman"/>
          <w:sz w:val="32"/>
          <w:lang w:val="en-US" w:eastAsia="zh-CN"/>
        </w:rPr>
        <w:t>中华人民共和国</w:t>
      </w:r>
      <w:r>
        <w:rPr>
          <w:rFonts w:hint="default" w:ascii="Times New Roman" w:hAnsi="Times New Roman" w:eastAsia="方正仿宋_GBK" w:cs="Times New Roman"/>
          <w:sz w:val="32"/>
          <w:lang w:val="en-US" w:eastAsia="zh-CN"/>
        </w:rPr>
        <w:t>民法典》《</w:t>
      </w:r>
      <w:r>
        <w:rPr>
          <w:rFonts w:hint="eastAsia" w:ascii="Times New Roman" w:hAnsi="Times New Roman" w:eastAsia="方正仿宋_GBK" w:cs="Times New Roman"/>
          <w:sz w:val="32"/>
          <w:lang w:val="en-US" w:eastAsia="zh-CN"/>
        </w:rPr>
        <w:t>中华人民共和国</w:t>
      </w:r>
      <w:r>
        <w:rPr>
          <w:rFonts w:hint="default" w:ascii="Times New Roman" w:hAnsi="Times New Roman" w:eastAsia="方正仿宋_GBK" w:cs="Times New Roman"/>
          <w:sz w:val="32"/>
          <w:lang w:val="en-US" w:eastAsia="zh-CN"/>
        </w:rPr>
        <w:t>国家安全法》《</w:t>
      </w:r>
      <w:r>
        <w:rPr>
          <w:rFonts w:hint="eastAsia" w:ascii="Times New Roman" w:hAnsi="Times New Roman" w:eastAsia="方正仿宋_GBK" w:cs="Times New Roman"/>
          <w:sz w:val="32"/>
          <w:lang w:val="en-US" w:eastAsia="zh-CN"/>
        </w:rPr>
        <w:t>中华人民共和国</w:t>
      </w:r>
      <w:r>
        <w:rPr>
          <w:rFonts w:hint="default" w:ascii="Times New Roman" w:hAnsi="Times New Roman" w:eastAsia="方正仿宋_GBK" w:cs="Times New Roman"/>
          <w:sz w:val="32"/>
          <w:lang w:val="en-US" w:eastAsia="zh-CN"/>
        </w:rPr>
        <w:t>反电信网络诈骗法》等。</w:t>
      </w:r>
      <w:r>
        <w:rPr>
          <w:rFonts w:hint="default" w:ascii="Times New Roman" w:hAnsi="Times New Roman" w:eastAsia="方正仿宋_GBK" w:cs="Times New Roman"/>
          <w:b/>
          <w:bCs/>
          <w:sz w:val="32"/>
          <w:lang w:val="en-US" w:eastAsia="zh-CN"/>
        </w:rPr>
        <w:t>三是</w:t>
      </w:r>
      <w:r>
        <w:rPr>
          <w:rFonts w:hint="default" w:ascii="Times New Roman" w:hAnsi="Times New Roman" w:eastAsia="方正仿宋_GBK" w:cs="Times New Roman"/>
          <w:sz w:val="32"/>
          <w:lang w:val="en-US" w:eastAsia="zh-CN"/>
        </w:rPr>
        <w:t>加强重点人群普法宣传，借助村民会议、党员大会、职工会、院坝会等，为妇女、未成年人、老年人、农民工、社区矫正对象、刑满释放人员等重点群体普及各项法律知识，全年普法依法治理工作稳中向好，取得了良好效果。</w:t>
      </w:r>
    </w:p>
    <w:p w14:paraId="7CB8A029">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二、2024年党政主要负责人履行推进法治政府建设第一责任人职责情况</w:t>
      </w:r>
    </w:p>
    <w:p w14:paraId="4E458F4C">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我镇党委书记、镇长在全面推进法治政府建设工作中，严格按照《党政主要负责人履行推进法治建设第一责任人职责规定》，切实履职，充分发挥“关键少数”的作用。根据《董家镇党委主要负责人履行推进法治建设第一责任人职责清单》《董家镇政府主要负责人履行推进法治建设第一责任人职责清单》，坚持带头深入学习贯彻习近平法治思想，贯彻落实习近平总书记关于法治建设的重要指示批示精神；将习近平法治思想、习近平总书记关于法治建设的重要指示精神纳入党委会、党委理论学习中心组学习会、支部党员大会、政府干部职工工作会等会议学</w:t>
      </w:r>
      <w:r>
        <w:rPr>
          <w:rFonts w:hint="eastAsia" w:ascii="Times New Roman" w:hAnsi="Times New Roman" w:eastAsia="方正仿宋_GBK" w:cs="Times New Roman"/>
          <w:sz w:val="32"/>
          <w:lang w:val="en-US" w:eastAsia="zh-CN"/>
        </w:rPr>
        <w:t>习的</w:t>
      </w:r>
      <w:r>
        <w:rPr>
          <w:rFonts w:hint="default" w:ascii="Times New Roman" w:hAnsi="Times New Roman" w:eastAsia="方正仿宋_GBK" w:cs="Times New Roman"/>
          <w:sz w:val="32"/>
          <w:lang w:val="en-US" w:eastAsia="zh-CN"/>
        </w:rPr>
        <w:t>重要内容；制定法治政府建设工作规划，安排部署法治政府建设年度重点工作，严格执行法治政府建设年度报告制度，按时向社会公开；坚持全面从严治党、依规治党，依法制定行政规范性文件，全面推进政务公开；完善行政机关工作人员学法用法制度，组织实施普法规划，推动落实“谁执法谁普法”普法责任制，推动社会治理法治化。</w:t>
      </w:r>
    </w:p>
    <w:p w14:paraId="706986A7">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三、存在的不足及原因</w:t>
      </w:r>
    </w:p>
    <w:p w14:paraId="447629E6">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（一）法治意识有待进一步提高</w:t>
      </w:r>
    </w:p>
    <w:p w14:paraId="52C726BA">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部分政府工作人员对法治政府建设的重要性认识不足，法治意识淡薄，在工作中存在重政策、轻法律的现象。</w:t>
      </w:r>
    </w:p>
    <w:p w14:paraId="3AEC8F92">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（二）行政执法水平有待进一步提升</w:t>
      </w:r>
    </w:p>
    <w:p w14:paraId="2FFA4FEB">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部分行政执法人员业务能力不强，水平不够，在工作中存在应付上级要求而执法的现象。</w:t>
      </w:r>
    </w:p>
    <w:p w14:paraId="20879469">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楷体_GBK" w:cs="Times New Roman"/>
          <w:sz w:val="32"/>
          <w:szCs w:val="32"/>
          <w:lang w:val="en-US" w:eastAsia="zh-CN"/>
        </w:rPr>
        <w:t>（三）法治宣传教育有待进一步加强</w:t>
      </w:r>
    </w:p>
    <w:p w14:paraId="553968E2">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 xml:space="preserve">法治宣传教育的形式和内容还不够丰富，针对性和实效性有待提高，部分群众的法治观念淡薄，依法维权意识不强。 </w:t>
      </w:r>
    </w:p>
    <w:p w14:paraId="19760096">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黑体_GBK" w:cs="Times New Roman"/>
          <w:sz w:val="32"/>
          <w:lang w:val="en-US" w:eastAsia="zh-CN"/>
        </w:rPr>
        <w:t>四、2025年法治政府建设工作思路与举措</w:t>
      </w:r>
      <w:r>
        <w:rPr>
          <w:rFonts w:hint="default" w:ascii="Times New Roman" w:hAnsi="Times New Roman" w:eastAsia="方正仿宋_GBK" w:cs="Times New Roman"/>
          <w:sz w:val="32"/>
          <w:lang w:val="en-US" w:eastAsia="zh-CN"/>
        </w:rPr>
        <w:t xml:space="preserve"> </w:t>
      </w:r>
    </w:p>
    <w:p w14:paraId="72BADEAF">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楷体_GBK" w:cs="Times New Roman"/>
          <w:sz w:val="32"/>
          <w:szCs w:val="32"/>
          <w:lang w:val="en-US" w:eastAsia="zh-CN"/>
        </w:rPr>
        <w:t>（一）加强法治教育培训，提高法治意识</w:t>
      </w:r>
      <w:r>
        <w:rPr>
          <w:rFonts w:hint="default" w:ascii="Times New Roman" w:hAnsi="Times New Roman" w:eastAsia="方正仿宋_GBK" w:cs="Times New Roman"/>
          <w:sz w:val="32"/>
          <w:lang w:val="en-US" w:eastAsia="zh-CN"/>
        </w:rPr>
        <w:t xml:space="preserve"> </w:t>
      </w:r>
    </w:p>
    <w:p w14:paraId="4596DAE2">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 xml:space="preserve">进一步加强对政府工作人员的法治教育培训，深入学习习近平法治思想，提高政府工作人员的法治意识和依法行政能力。 </w:t>
      </w:r>
    </w:p>
    <w:p w14:paraId="436A9B66">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楷体_GBK" w:cs="Times New Roman"/>
          <w:sz w:val="32"/>
          <w:szCs w:val="32"/>
          <w:lang w:val="en-US" w:eastAsia="zh-CN"/>
        </w:rPr>
        <w:t>（二）加强行政执法队伍建设，提升行政执法水平</w:t>
      </w:r>
      <w:r>
        <w:rPr>
          <w:rFonts w:hint="default" w:ascii="Times New Roman" w:hAnsi="Times New Roman" w:eastAsia="方正仿宋_GBK" w:cs="Times New Roman"/>
          <w:sz w:val="32"/>
          <w:lang w:val="en-US" w:eastAsia="zh-CN"/>
        </w:rPr>
        <w:t xml:space="preserve"> </w:t>
      </w:r>
    </w:p>
    <w:p w14:paraId="2212BF3B">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 xml:space="preserve">加大对行政执法人员的业务培训力度，规范执法程序，加强执法监督，提高行政执法水平，确保严格规范公正文明执法。 </w:t>
      </w:r>
    </w:p>
    <w:p w14:paraId="34A5243D">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楷体_GBK" w:cs="Times New Roman"/>
          <w:sz w:val="32"/>
          <w:szCs w:val="32"/>
          <w:lang w:val="en-US" w:eastAsia="zh-CN"/>
        </w:rPr>
        <w:t>（三）创新法治宣传教育方式，增强法治观念</w:t>
      </w:r>
      <w:r>
        <w:rPr>
          <w:rFonts w:hint="default" w:ascii="Times New Roman" w:hAnsi="Times New Roman" w:eastAsia="方正仿宋_GBK" w:cs="Times New Roman"/>
          <w:sz w:val="32"/>
          <w:lang w:val="en-US" w:eastAsia="zh-CN"/>
        </w:rPr>
        <w:t xml:space="preserve"> </w:t>
      </w:r>
    </w:p>
    <w:p w14:paraId="48D1DCCC">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 xml:space="preserve">创新法治宣传教育方式，丰富法治宣传教育内容，提高法治宣传教育的针对性和实效性，增强群众的法治观念和依法维权意识。 </w:t>
      </w:r>
    </w:p>
    <w:p w14:paraId="6EB27E57">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楷体_GBK" w:cs="Times New Roman"/>
          <w:sz w:val="32"/>
          <w:szCs w:val="32"/>
          <w:lang w:val="en-US" w:eastAsia="zh-CN"/>
        </w:rPr>
        <w:t>（四）加强法治政府建设考核评价，推动工作落实</w:t>
      </w:r>
      <w:r>
        <w:rPr>
          <w:rFonts w:hint="default" w:ascii="Times New Roman" w:hAnsi="Times New Roman" w:eastAsia="方正仿宋_GBK" w:cs="Times New Roman"/>
          <w:sz w:val="32"/>
          <w:lang w:val="en-US" w:eastAsia="zh-CN"/>
        </w:rPr>
        <w:t xml:space="preserve"> </w:t>
      </w:r>
    </w:p>
    <w:p w14:paraId="53E8C21F">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shd w:val="clear"/>
        </w:rPr>
      </w:pPr>
      <w:r>
        <w:rPr>
          <w:rFonts w:hint="default" w:ascii="Times New Roman" w:hAnsi="Times New Roman" w:eastAsia="方正仿宋_GBK" w:cs="Times New Roman"/>
          <w:sz w:val="32"/>
          <w:lang w:val="en-US" w:eastAsia="zh-CN"/>
        </w:rPr>
        <w:t xml:space="preserve">完善法治政府建设考核评价机制，加强对法治政府建设工作的考核评价，推动法治政府建设各项工作任务落到实处。 </w:t>
      </w:r>
    </w:p>
    <w:p w14:paraId="782BEFD2">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val="en-US" w:eastAsia="zh-CN"/>
        </w:rPr>
      </w:pPr>
      <w:r>
        <w:rPr>
          <w:rFonts w:hint="eastAsia" w:ascii="Times New Roman" w:hAnsi="Times New Roman" w:eastAsia="方正仿宋_GBK" w:cs="Times New Roman"/>
          <w:sz w:val="32"/>
          <w:lang w:val="en-US" w:eastAsia="zh-CN"/>
        </w:rPr>
        <w:t>（此件公开发布）</w:t>
      </w:r>
    </w:p>
    <w:p w14:paraId="04AADBE0">
      <w:pPr>
        <w:keepNext w:val="0"/>
        <w:keepLines w:val="0"/>
        <w:pageBreakBefore w:val="0"/>
        <w:widowControl w:val="0"/>
        <w:shd w:val="clear"/>
        <w:kinsoku/>
        <w:wordWrap/>
        <w:overflowPunct/>
        <w:topLinePunct w:val="0"/>
        <w:autoSpaceDE/>
        <w:autoSpaceDN/>
        <w:bidi w:val="0"/>
        <w:adjustRightInd/>
        <w:snapToGrid/>
        <w:spacing w:line="540" w:lineRule="exact"/>
        <w:ind w:firstLine="5120" w:firstLineChars="1600"/>
        <w:textAlignment w:val="auto"/>
        <w:rPr>
          <w:rFonts w:hint="default" w:ascii="Times New Roman" w:hAnsi="Times New Roman" w:eastAsia="方正仿宋_GBK" w:cs="Times New Roman"/>
          <w:sz w:val="32"/>
          <w:lang w:val="en-US" w:eastAsia="zh-CN"/>
        </w:rPr>
      </w:pPr>
    </w:p>
    <w:p w14:paraId="60D761B1">
      <w:pPr>
        <w:keepNext w:val="0"/>
        <w:keepLines w:val="0"/>
        <w:pageBreakBefore w:val="0"/>
        <w:widowControl w:val="0"/>
        <w:shd w:val="clear"/>
        <w:kinsoku/>
        <w:wordWrap/>
        <w:overflowPunct/>
        <w:topLinePunct w:val="0"/>
        <w:autoSpaceDE/>
        <w:autoSpaceDN/>
        <w:bidi w:val="0"/>
        <w:adjustRightInd/>
        <w:snapToGrid/>
        <w:spacing w:line="540" w:lineRule="exact"/>
        <w:ind w:firstLine="320" w:firstLineChars="1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val="en-US" w:eastAsia="zh-CN"/>
        </w:rPr>
        <w:t>中共丰都县董家镇委员会</w:t>
      </w:r>
      <w:r>
        <w:rPr>
          <w:rFonts w:hint="eastAsia"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丰都县董家镇人民政府</w:t>
      </w:r>
    </w:p>
    <w:p w14:paraId="35F54787">
      <w:pPr>
        <w:keepNext w:val="0"/>
        <w:keepLines w:val="0"/>
        <w:pageBreakBefore w:val="0"/>
        <w:widowControl w:val="0"/>
        <w:shd w:val="clear"/>
        <w:kinsoku/>
        <w:wordWrap/>
        <w:overflowPunct/>
        <w:topLinePunct w:val="0"/>
        <w:autoSpaceDE/>
        <w:autoSpaceDN/>
        <w:bidi w:val="0"/>
        <w:adjustRightInd/>
        <w:snapToGrid/>
        <w:spacing w:line="540" w:lineRule="exact"/>
        <w:ind w:firstLine="5760" w:firstLineChars="18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202</w:t>
      </w:r>
      <w:r>
        <w:rPr>
          <w:rFonts w:hint="eastAsia" w:ascii="Times New Roman" w:hAnsi="Times New Roman" w:eastAsia="方正仿宋_GBK" w:cs="Times New Roman"/>
          <w:sz w:val="32"/>
          <w:lang w:val="en-US" w:eastAsia="zh-CN"/>
        </w:rPr>
        <w:t>5</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rPr>
        <w:t>月</w:t>
      </w:r>
      <w:r>
        <w:rPr>
          <w:rFonts w:hint="eastAsia" w:ascii="Times New Roman" w:hAnsi="Times New Roman" w:eastAsia="方正仿宋_GBK" w:cs="Times New Roman"/>
          <w:sz w:val="32"/>
          <w:lang w:val="en-US" w:eastAsia="zh-CN"/>
        </w:rPr>
        <w:t>24</w:t>
      </w:r>
      <w:r>
        <w:rPr>
          <w:rFonts w:hint="default" w:ascii="Times New Roman" w:hAnsi="Times New Roman" w:eastAsia="方正仿宋_GBK" w:cs="Times New Roman"/>
          <w:sz w:val="32"/>
        </w:rPr>
        <w:t xml:space="preserve">日  </w:t>
      </w:r>
    </w:p>
    <w:p w14:paraId="26BF9577">
      <w:pPr>
        <w:keepNext w:val="0"/>
        <w:keepLines w:val="0"/>
        <w:pageBreakBefore w:val="0"/>
        <w:widowControl w:val="0"/>
        <w:shd w:val="clear"/>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rPr>
      </w:pPr>
    </w:p>
    <w:p w14:paraId="5B1E0495">
      <w:pPr>
        <w:keepNext w:val="0"/>
        <w:keepLines w:val="0"/>
        <w:pageBreakBefore w:val="0"/>
        <w:widowControl w:val="0"/>
        <w:shd w:val="clear"/>
        <w:kinsoku/>
        <w:wordWrap/>
        <w:overflowPunct/>
        <w:topLinePunct w:val="0"/>
        <w:autoSpaceDE/>
        <w:autoSpaceDN/>
        <w:bidi w:val="0"/>
        <w:adjustRightInd/>
        <w:snapToGrid/>
        <w:spacing w:line="540" w:lineRule="exact"/>
        <w:ind w:firstLine="5760" w:firstLineChars="1800"/>
        <w:textAlignment w:val="auto"/>
        <w:rPr>
          <w:rFonts w:hint="default" w:ascii="Times New Roman" w:hAnsi="Times New Roman" w:eastAsia="方正仿宋_GBK" w:cs="Times New Roman"/>
          <w:sz w:val="32"/>
        </w:rPr>
      </w:pPr>
    </w:p>
    <w:p w14:paraId="52B37E0B">
      <w:pPr>
        <w:keepNext w:val="0"/>
        <w:keepLines w:val="0"/>
        <w:pageBreakBefore w:val="0"/>
        <w:widowControl w:val="0"/>
        <w:pBdr>
          <w:top w:val="single" w:color="auto" w:sz="4" w:space="0"/>
          <w:bottom w:val="single" w:color="auto" w:sz="4" w:space="0"/>
        </w:pBdr>
        <w:kinsoku/>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丰都县董家镇基层治理综合指挥室           2025年1月24日印</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53F1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7EF72">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17EF72">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515C8"/>
    <w:rsid w:val="12B76E2A"/>
    <w:rsid w:val="15F21F49"/>
    <w:rsid w:val="1E123F0C"/>
    <w:rsid w:val="2EB71C68"/>
    <w:rsid w:val="2EE30D8E"/>
    <w:rsid w:val="60D91BED"/>
    <w:rsid w:val="6D3515C8"/>
    <w:rsid w:val="74B23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2864</Words>
  <Characters>2942</Characters>
  <Lines>0</Lines>
  <Paragraphs>0</Paragraphs>
  <TotalTime>38</TotalTime>
  <ScaleCrop>false</ScaleCrop>
  <LinksUpToDate>false</LinksUpToDate>
  <CharactersWithSpaces>2993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2025-01-21T21:39:00Z</dcterms:created>
  <dc:creator>Administrator</dc:creator>
  <cp:lastModifiedBy>付琼</cp:lastModifiedBy>
  <cp:lastPrinted>2025-02-06T08:11:50Z</cp:lastPrinted>
  <dcterms:modified xsi:type="dcterms:W3CDTF">2025-02-06T08:39:50Z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27B65044A32C48D29D9746BC6A000C65_11</vt:lpwstr>
  </property>
  <property fmtid="{D5CDD505-2E9C-101B-9397-08002B2CF9AE}" pid="4" name="KSOTemplateDocerSaveRecord">
    <vt:lpwstr>eyJoZGlkIjoiMTMyYzNkZjE4M2NmODJlNTRlZWIxMjdmZDYxZDRmMDYiLCJ1c2VySWQiOiIzOTMwNjQxMzQifQ==</vt:lpwstr>
  </property>
</Properties>
</file>