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丰都县兴龙镇人民政府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年法治政府建设情况报告</w:t>
      </w:r>
    </w:p>
    <w:p>
      <w:pPr>
        <w:pStyle w:val="2"/>
        <w:pageBreakBefore w:val="0"/>
        <w:kinsoku/>
        <w:overflowPunct/>
        <w:topLinePunct w:val="0"/>
        <w:bidi w:val="0"/>
        <w:spacing w:line="580" w:lineRule="exact"/>
        <w:textAlignment w:val="auto"/>
        <w:rPr>
          <w:rFonts w:hint="default"/>
          <w:lang w:eastAsia="zh-CN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兴龙镇法治政府建设工作在县委、县政府的坚强领导下，坚持以习近平新时代中国特色社会主义思想为指导，深入学习贯彻习近平法治思想，全面贯彻落实党的二十大和二十届二中、三中全会精神和中央经济工作会议精神，认真落实市委六届历次全会各项部署和县委依法治县委工作要求，聚焦推动“法治政府建设走在中西部前列”目标，坚持稳进增效、除险固安、改革突破、惠民强企工作导向，努力推动法治政府建设全方位系统性重塑性变革，切实构建整体智治的现代化法治政府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一、工作开展情况</w:t>
      </w:r>
      <w:bookmarkStart w:id="0" w:name="_GoBack"/>
      <w:bookmarkEnd w:id="0"/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加强组织领导，严格落实党政第一责任人责任。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主要领导带头学法，把习近平法治思想纳入镇党委中心组学习计划重要内容，开展全镇全覆盖学习，综合各种宣传手段广泛宣传习近平法治思想。镇党委理论学习中心组专题学习习近平法治思想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次，学习法律法规和党内法规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次，职工会议集体学习​习近平法治思想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次，组织职工专题学习法律法规及党内法规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次，做到干部职工依法行政思维入脑入心。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党政主要领导始终把法治建设工作扛在肩上、抓在手上，将法治政府建设工作与经济社会发展同部署、同落实、同考核，严格按照《丰都县人民政府办公室关于印发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年丰都县法治政府建设工作要点的通知》（丰都府办〔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号）、《丰都县兴龙镇人民政府〈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年法治政府建设工作要点〉》要求，对法治政府建设目标精准定位、靶向施策、打表推进，并将依法行政工作纳入各站办所室年度考核的重要内容。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（二）大力优化法治化营商环境。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兴龙镇积极配合县级各部门构建便民利企的政务环境，推广“渝快办”服务功能，提升“渝快政”管理效能，推进线下办事“只进一门”、线上办事“一网通办”、企业和群众诉求“一线应答”。构建严格规范的执法环境，积极建立行政执法监督企业联系点，建立健全行政执法监督员制度，强化对涉企执法的社会监督。构建优质高效的法律服务环境，积极配合县级部门推广“公证＋”涉企服务新模式，为企业协调解决公证法律服务等方面问题，配合县级部门推广涉企公证服务专员名录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（三）完善依法行政制度体系。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严格规范行政决策程序。兴龙镇严格依照县政府《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度县政府重大行政决策事项目录》事项清单，按照《重庆市重大行政决策程序规定》以及《丰都县关于重大行政决策程序的具体实施意见》要求，将公众参与、专家论证、风险评估、合法性审查和集体讨论决定作为重大行政决策必经程序，完善征求意见制度。事关经济社会发展全局和涉及群众切身利益的重大行政决策，与利害关系人进行充分沟通，征求社会公众及人大代表、政协委员和人民团体、基层组织、社会组织的意见。运用好政府法律顾问，事前、事中、事后充分征询法律顾问意见及建议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加强行政规范性文件管理。兴龙镇严格落实行政规范性文件管理的相关要求，完善行政规范性文件与法律法规联动清理机制，行政规范性文件备案率达到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、合法合规率达到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100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（四）完善行政执法工作体系，深化综合执法改革。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兴龙镇积极配合县委、县政府推进乡镇（街道）综合执法改革，严格执行《重庆市综合行政执法条例》和“大综合一体化”行政执法改革实施方案及配套文件。全面配合县级各部门动态调整优化乡镇（街道）赋权执法事项清单，积极协调对接县级专业行政执法部门以派驻、包片等方式下沉执法力量，实行“县属乡用共管”。积极推广执法监管“一件事”场景应用，“执法＋监督”数字应用覆盖率达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50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。积极落实提升行政执法质量三年行动计划，配合县级部门完成对本地区本部门行政执法队伍的全员轮训，建立健全行政执法培训标准规范，健全完善行政执法工作体系。全面落实《国务院关于进一步规范和监督罚款设定与实施的指导意见》，进一步规范自由裁量，加大对违法案例通报和曝光力度。兴龙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年全年轮训行政执法人员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人。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（五）夯实治理体系，着力提升政府治理能力和水平。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深化法治政府建设督察，积极推广基层法治观测点和法治观察员制度，配合县级部门落实配套机制制度。强化行政复议化解行政争议主渠道作用，严格执行行政机关负责人出庭应诉要求，稳步提升行政机关负责人出庭应诉质量，行政机关负责人出庭应诉率保持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。持续推动政务公开工作提质增效。推进乡镇政务、惠民惠农资金等领域信息资料公开，推动政务公开标准化规范化建设。持续深化政务公开工作，提升网上履职能力，大力推进网上政府建设。迭代完善现代公共法律服务体系，积极协调镇政府及村（社）法律顾问、人民调解等力量资源，做好预防化解矛盾纠纷、服务群众等工作。加快构建大调解工作格局，完成访调、警调等对接工作，深化矛盾纠纷“大排查大起底大化解”专项行动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年兴龙镇共调解矛盾纠纷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180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件。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二、存在的不足和原因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（一）行政执法改革有待继续深入。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行政执法事项较多，人员执法水平不高，执法人员不足。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行政执法装备尚有欠缺，经费较为紧张。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执法监督未充分发挥作用。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（二）规范性文件管理有待加强。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规范性管理人员培训较少，无法有效分辨规范性文件。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与上级相关部门联系有待增强，在规范性文件的确认未与上级相关部门联系确认及学习。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（三）纠纷化解实效还需继续提升。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各村（社区）调委会调解员案卷制作积极性不高，虽有调解但是不做案件。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各村（社区）调委会调解员智能化设备操作能力有所欠缺，制作案卷速度慢。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部分村（社区）调委会认识不足，将调解工作责任推到综治专干一人身上。</w:t>
      </w:r>
      <w:r>
        <w:rPr>
          <w:rStyle w:val="1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调解案卷补贴较低，无法调动调解员工作积极性。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三、下一步工作打算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（一）持续狠抓领导干部“关键少数”法治学习。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年全年开展党委（党组）中心组学法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次，开展学习宣传习近平法治思想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次，开展职工学法和培训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次，持续增强“关键少数”法律思维及法律素养。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（二）持续加强综合执法改革。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严格落实县委、县政府推进乡镇（街道）综合执法改革要求，完善本镇综合执法改革相关事项，用以老带新等方式，多方法对新行政执法人员进行培训。推进数智赋能，用好行政执法监督信息平台。严格做到依法行政，公正执法。严格执行行政执法信息公示制度，在行政执法及权力运行过程自觉接受社会监督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（三）持续提升规范性文件管理能力。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积极对接县级相关部门，增强与县级相关部门联系，对规范性文汇报学习，提件相关工作进行升规范性文件管理能力。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shd w:val="clear" w:fill="FFFFFF"/>
        </w:rPr>
        <w:t>（四）持续推进大调解体系建设。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推进人民调解、行政调解、司法调解有效衔接联动，完善社会矛盾纠纷多元预防调处化解综合机制。加强各村（社区）调解员培训，统一思想认识。继续坚持村居法律顾问参与调解工作。计划开展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次调解员培训会。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right="360" w:firstLine="36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360" w:firstLine="36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right="360" w:firstLine="360"/>
                          </w:pPr>
                          <w:r>
                            <w:rPr>
                              <w:rStyle w:val="16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6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360" w:firstLine="360"/>
                    </w:pPr>
                    <w:r>
                      <w:rPr>
                        <w:rStyle w:val="16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6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GY4ZWQ5YzQ5ODk1YzU3MTg2MjAyOTM5MjllOGEifQ=="/>
  </w:docVars>
  <w:rsids>
    <w:rsidRoot w:val="3C514628"/>
    <w:rsid w:val="064935AA"/>
    <w:rsid w:val="0A5739DE"/>
    <w:rsid w:val="0A604935"/>
    <w:rsid w:val="16916D33"/>
    <w:rsid w:val="1D1125A5"/>
    <w:rsid w:val="244A6AC8"/>
    <w:rsid w:val="260F621B"/>
    <w:rsid w:val="275F6D2E"/>
    <w:rsid w:val="3C514628"/>
    <w:rsid w:val="3ED683D8"/>
    <w:rsid w:val="414508EB"/>
    <w:rsid w:val="45EF67E7"/>
    <w:rsid w:val="4ECC264C"/>
    <w:rsid w:val="5486504B"/>
    <w:rsid w:val="54B64E58"/>
    <w:rsid w:val="55012228"/>
    <w:rsid w:val="5A0F16C0"/>
    <w:rsid w:val="5BC87CF7"/>
    <w:rsid w:val="5C7E58FF"/>
    <w:rsid w:val="61D67266"/>
    <w:rsid w:val="65877E02"/>
    <w:rsid w:val="673A2E61"/>
    <w:rsid w:val="69BD4C13"/>
    <w:rsid w:val="6C8332D0"/>
    <w:rsid w:val="6FFEBA68"/>
    <w:rsid w:val="7056104E"/>
    <w:rsid w:val="70727040"/>
    <w:rsid w:val="71FB9841"/>
    <w:rsid w:val="78D10AAB"/>
    <w:rsid w:val="79533531"/>
    <w:rsid w:val="7A475167"/>
    <w:rsid w:val="7EF867EA"/>
    <w:rsid w:val="91FD7B5B"/>
    <w:rsid w:val="9F3DFBD7"/>
    <w:rsid w:val="9FD749FC"/>
    <w:rsid w:val="9FFD8B72"/>
    <w:rsid w:val="BAFF92DA"/>
    <w:rsid w:val="C637010D"/>
    <w:rsid w:val="CEFD05D0"/>
    <w:rsid w:val="E6DFB8CE"/>
    <w:rsid w:val="E73BAEF4"/>
    <w:rsid w:val="EDBF8469"/>
    <w:rsid w:val="FB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line="588" w:lineRule="exact"/>
      <w:jc w:val="center"/>
      <w:outlineLvl w:val="0"/>
    </w:pPr>
    <w:rPr>
      <w:rFonts w:eastAsia="方正小标宋_GBK" w:cs="Times New Roman"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7">
    <w:name w:val="index 6"/>
    <w:basedOn w:val="1"/>
    <w:next w:val="1"/>
    <w:unhideWhenUsed/>
    <w:qFormat/>
    <w:uiPriority w:val="99"/>
    <w:pPr>
      <w:spacing w:line="240" w:lineRule="atLeast"/>
      <w:jc w:val="center"/>
    </w:pPr>
    <w:rPr>
      <w:rFonts w:ascii="方正仿宋_GBK" w:eastAsia="方正仿宋_GBK"/>
      <w:sz w:val="24"/>
      <w:szCs w:val="24"/>
    </w:rPr>
  </w:style>
  <w:style w:type="paragraph" w:styleId="8">
    <w:name w:val="Body Text"/>
    <w:basedOn w:val="1"/>
    <w:next w:val="7"/>
    <w:qFormat/>
    <w:uiPriority w:val="0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footnote text"/>
    <w:basedOn w:val="1"/>
    <w:next w:val="8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Date1"/>
    <w:basedOn w:val="1"/>
    <w:next w:val="1"/>
    <w:qFormat/>
    <w:uiPriority w:val="0"/>
    <w:pPr>
      <w:ind w:left="100" w:leftChars="2500"/>
    </w:pPr>
  </w:style>
  <w:style w:type="character" w:customStyle="1" w:styleId="18">
    <w:name w:val="article_f14"/>
    <w:basedOn w:val="14"/>
    <w:qFormat/>
    <w:uiPriority w:val="0"/>
  </w:style>
  <w:style w:type="paragraph" w:customStyle="1" w:styleId="19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1336</Words>
  <Characters>1355</Characters>
  <Lines>0</Lines>
  <Paragraphs>0</Paragraphs>
  <TotalTime>3</TotalTime>
  <ScaleCrop>false</ScaleCrop>
  <LinksUpToDate>false</LinksUpToDate>
  <CharactersWithSpaces>1418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2024-01-12T18:42:00Z</dcterms:created>
  <dc:creator>Administrator</dc:creator>
  <cp:lastModifiedBy>fengdu</cp:lastModifiedBy>
  <cp:lastPrinted>2025-01-11T15:37:00Z</cp:lastPrinted>
  <dcterms:modified xsi:type="dcterms:W3CDTF">2025-03-03T11:24:31Z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F4DACC9347CF4FD292762C5A0FD452B2_11</vt:lpwstr>
  </property>
</Properties>
</file>