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58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bottom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丰都县太平坝乡人民政府</w:t>
      </w:r>
    </w:p>
    <w:p w14:paraId="167235D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bottom"/>
        <w:rPr>
          <w:rFonts w:hint="eastAsia" w:ascii="仿宋_GB2312" w:hAnsi="仿宋_GB2312" w:eastAsia="仿宋_GB2312"/>
          <w:sz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2024年法治政府建设情况报告</w:t>
      </w:r>
    </w:p>
    <w:p w14:paraId="72E34B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227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2024年，乡党委、政府始终坚持以习近平新时代中国特色社会主义思想为指导，全面贯彻落实党中央关于全面依法治国、深化法治领域改革的决策部署要求，深入学习贯彻党的二十大和二十届二中、三中全会精神，对照落实县委、县政府工作安排，大力弘扬社会主义法治精神，切实加强领导、细化工作举措、抓好落地落实，不断提升法治政府建设工作水平。</w:t>
      </w:r>
    </w:p>
    <w:p w14:paraId="200EC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  <w:t>一、工作开展情况</w:t>
      </w:r>
    </w:p>
    <w:p w14:paraId="5060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2024年，乡党委、政府始终坚持以习近平新时代中国特色社会主义思想为指导，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深入学习贯彻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党的二十大和二十届二中、三中全会精神，以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习近平法治思想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为指引，对照落实市委、市政府和县委、县政府工作要求，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大力弘扬社会主义法治精神，着力提高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治理法治化水平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推动法治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建设工作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落实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</w:p>
    <w:p w14:paraId="418EB3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强化组织领导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成立以乡党委书记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组长，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政府乡长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副组长，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余乡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党委班子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有关乡级单位部门负责人、各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村（社区）党支部书记为成员的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细化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职责任务、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专项考核，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每季度开展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专题调度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每半年开展督促指导、每年末开展专项检查考核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等措施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压紧压实工作责任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 w14:paraId="082B0E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强化理论武装。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深入学习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习近平法治思想作为乡党委理论学习中心组学习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重要内容，作为干部职工学习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重点内容，推动习近平法治思想入脑入心。全年开展乡党委理论学习中心组学习3次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职工“周一讲堂”和村（社区）干部会学习17场次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切实推动党员干部特别是领导干部学法守法用法。</w:t>
      </w:r>
    </w:p>
    <w:p w14:paraId="448C0A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强化普法宣传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以“12·4”国家宪法日和“宪法宣传周”，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庆祝中华人民共和国成立75周年宣传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活动为契机，认真开展第四个“民法典宣传月”、全民国家安全教育日法治宣传教育等活动，切实加大与群众生产生活相关的生态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zh-CN" w:eastAsia="zh-CN" w:bidi="ar-SA"/>
        </w:rPr>
        <w:t>环境保护、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食品药品安全、禁毒、消防、就业、医疗等领域法律法规以及行政复议法、未成年人网络保护等新颁布（修订）法律法规的宣传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广泛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开展消费者权益保护法实施条例、消费品以旧换新等消费促进政策、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深化扫黑除恶、加强反恐怖主义、反诈骗、反赌博、反拐卖、反邪教等方面的普法宣传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。全年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开展“以案说法”2场次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开展普法宣传13场次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入户宣传1900余人次、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发放宣传资料2000余份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，有效推动干部群众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形成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学法知法守法的浓厚氛围。</w:t>
      </w:r>
    </w:p>
    <w:p w14:paraId="0BCBD5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强化新风引领。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w w:val="97"/>
          <w:kern w:val="2"/>
          <w:sz w:val="32"/>
          <w:szCs w:val="20"/>
          <w:lang w:val="en-US" w:eastAsia="zh-CN" w:bidi="ar-SA"/>
        </w:rPr>
        <w:t>组织5个村（居）修订居民公约、村规民约，引导辖区行业部门完善行业规章、社会组织章程，强化社会规范建设。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2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做实“春风满巴渝”社会风气提升行动，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w w:val="97"/>
          <w:kern w:val="2"/>
          <w:sz w:val="32"/>
          <w:szCs w:val="20"/>
          <w:lang w:val="en-US" w:eastAsia="zh-CN" w:bidi="ar-SA"/>
        </w:rPr>
        <w:t>组织开展“家风润万家”主题活动，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2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挖掘培育“孝善典型”5名、“头雁新农人”5名，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highlight w:val="none"/>
          <w:lang w:val="en-US" w:eastAsia="zh-CN" w:bidi="ar-SA"/>
        </w:rPr>
        <w:t>开展“老年人集体生日、七夕菁英荟”等活动，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highlight w:val="none"/>
          <w:lang w:val="en-US" w:eastAsia="zh-CN" w:bidi="ar-SA"/>
        </w:rPr>
        <w:t>切实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w w:val="97"/>
          <w:kern w:val="2"/>
          <w:sz w:val="32"/>
          <w:szCs w:val="20"/>
          <w:lang w:val="en-US" w:eastAsia="zh-CN" w:bidi="ar-SA"/>
        </w:rPr>
        <w:t>加强家庭家教家风建设，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highlight w:val="none"/>
          <w:lang w:val="en-US" w:eastAsia="zh-CN" w:bidi="ar-SA"/>
        </w:rPr>
        <w:t>倡导社会新风正气。</w:t>
      </w:r>
    </w:p>
    <w:p w14:paraId="3F82A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（五）强化服务水平。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牢固树立“民生为大”理念，将涉及服务群众事项较多的民生服务办公室、便民服务中心、司法所等单位部门调整在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政府办公楼底楼集中办公，让群众少跑一趟路、少跨一道门、少走一道程序、少找一个人。推行“为民服务承诺践诺制”，将被群众举报或投诉情况纳入干部绩效考核，促进干部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职工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履职尽责、转变作风。</w:t>
      </w:r>
    </w:p>
    <w:p w14:paraId="7A3A9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（六）规范执法行为。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严格落实“一支队伍管执法”要求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切实加强对行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政执法工作的组织协调，抓好行政执法人员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培训，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行政执法宣传和公开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工作要求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，切实增强执法透明度和公众参与度，确保公平公正公开执法。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全年组织开展执法培训2场次，开展执法检查100余场次，给予行政处罚58起。</w:t>
      </w:r>
    </w:p>
    <w:p w14:paraId="35106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（七）优化营商环境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。深入推进“放管服”改革，健全优化营商环境工作机制，设置举报信箱、公布举报电话，紧盯涉企服务、涉企执法、惠企政策落实、办事窗口工作效率等方面的“微腐败”强力开展整治，给予约谈提醒2人次，着力形成人人关心营商环境、人人维护营商环境、个个优化营商环境的氛围。</w:t>
      </w:r>
    </w:p>
    <w:p w14:paraId="1EF4A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（八）引领基层治理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。聚焦党建引领乡村振兴，不断提升乡村治理能力。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highlight w:val="none"/>
          <w:lang w:val="en-US" w:eastAsia="zh-CN" w:bidi="ar-SA"/>
        </w:rPr>
        <w:t>通过活力党组织建设，推动党员注册报到1060人次，通过家庭教育等互助组织联结服务6900人次。运行“141”基层智治平台办结事件2493件次，通过“五跨协同”战斗队处置“8.31”诺如病毒疫情、冰雪天气救援、重大活动保障等事件6次。落实“民呼我为”办结群众诉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39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highlight w:val="none"/>
          <w:lang w:val="en-US" w:eastAsia="zh-CN" w:bidi="ar-SA"/>
        </w:rPr>
        <w:t>件次，划定院落50个办理群众“三事”117件次。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培养“法律明白人”15名，完成“法律之家”试点建设1个，培育农村“学法用法示范户”20余户。</w:t>
      </w:r>
    </w:p>
    <w:p w14:paraId="2C880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（九）及时化解矛盾。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常态化开展社会矛盾纠纷排查化解，营造和谐稳定的社会环境。全年化解本级重访2件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，排查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矛盾纠纷132起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成功调解，调解成功率为100%。无责任事故、无越级信访、无负面舆情，平安报表均位居全县前列。</w:t>
      </w:r>
    </w:p>
    <w:p w14:paraId="25F9A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  <w:t>二、存在的问题</w:t>
      </w:r>
    </w:p>
    <w:p w14:paraId="1662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法治意识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有待</w:t>
      </w:r>
      <w:r>
        <w:rPr>
          <w:rFonts w:hint="eastAsia" w:eastAsia="方正楷体_GBK" w:cs="Times New Roman"/>
          <w:kern w:val="2"/>
          <w:sz w:val="32"/>
          <w:szCs w:val="32"/>
          <w:lang w:eastAsia="zh-CN"/>
        </w:rPr>
        <w:t>增强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有的党员干部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对法治政府建设的重要性认识不足，依法行政观念不强，在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工作中运用法治思维和法治方式解决问题的能力有待进一步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</w:p>
    <w:p w14:paraId="5579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）执法水平有待</w:t>
      </w:r>
      <w:r>
        <w:rPr>
          <w:rFonts w:hint="eastAsia" w:eastAsia="方正楷体_GBK" w:cs="Times New Roman"/>
          <w:kern w:val="2"/>
          <w:sz w:val="32"/>
          <w:szCs w:val="32"/>
          <w:lang w:val="en-US" w:eastAsia="zh-CN"/>
        </w:rPr>
        <w:t>提高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随着执法任务日益繁重，行政执法人员数量相对不足，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有的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执法人员专业知识和业务能力不能完全满足实际工作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求，执法过程中还存在程序不够规范、文书制作不够严谨等问题，影响了执法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效果和质量。</w:t>
      </w:r>
    </w:p>
    <w:p w14:paraId="1B78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法治宣传有待加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法治宣传教育活动的形式和内容还不够丰富，传统的宣传方式较多，创新不足，对一些新出台的法律法规宣传不够及时、深入，法治宣传的针对性和实效性有待进一步提高，部分群众的法律意识仍然淡薄。</w:t>
      </w:r>
    </w:p>
    <w:p w14:paraId="6A60B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  <w:t>三、下一步打算</w:t>
      </w:r>
    </w:p>
    <w:p w14:paraId="251C1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（一）深学笃用习近平法治思想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通过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党委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理论学习中心组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学习、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干部职工会、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专题讲座等形式，深入学习习近平法治思想和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与工作相关的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法律法规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知识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加强对领导干部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和工作人员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的法治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教育，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进一步推动落实法治政府责任，提升党员干部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运用法治思维和方式推动工作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落地落实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的能力。</w:t>
      </w:r>
    </w:p>
    <w:p w14:paraId="2AF91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提升行政执法水平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充实行政执法队伍，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配齐配强行政执法力量，加强执法业务培训，完善执法工作监督考核评价机制，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确保行政执法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规范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合法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</w:p>
    <w:p w14:paraId="4BD4A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创新法治宣传方式。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上级要求和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乡村实际，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常态化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开展有针对性的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普法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宣传活动，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送法进企业、进学校、进农村、进社区等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，提供个性化的法律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知识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宣传和服务。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同时，切实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加强法治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文化建设，开展法治文艺演出、法律知识竞赛等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普法文化活动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营造浓厚的法治文化氛围。</w:t>
      </w:r>
    </w:p>
    <w:p w14:paraId="5A44A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9663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5E5CE1B7">
      <w:pPr>
        <w:keepNext w:val="0"/>
        <w:keepLines w:val="0"/>
        <w:pageBreakBefore w:val="0"/>
        <w:tabs>
          <w:tab w:val="left" w:pos="839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23"/>
        <w:jc w:val="right"/>
        <w:textAlignment w:val="bottom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0A8F257">
      <w:pPr>
        <w:keepNext w:val="0"/>
        <w:keepLines w:val="0"/>
        <w:pageBreakBefore w:val="0"/>
        <w:tabs>
          <w:tab w:val="left" w:pos="839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23"/>
        <w:jc w:val="right"/>
        <w:textAlignment w:val="bottom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5612134">
      <w:pPr>
        <w:keepNext w:val="0"/>
        <w:keepLines w:val="0"/>
        <w:pageBreakBefore w:val="0"/>
        <w:tabs>
          <w:tab w:val="left" w:pos="839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23"/>
        <w:jc w:val="right"/>
        <w:textAlignment w:val="bottom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68D8F89">
      <w:pPr>
        <w:keepNext w:val="0"/>
        <w:keepLines w:val="0"/>
        <w:pageBreakBefore w:val="0"/>
        <w:tabs>
          <w:tab w:val="left" w:pos="839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23"/>
        <w:jc w:val="right"/>
        <w:textAlignment w:val="bottom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4810827">
      <w:pPr>
        <w:tabs>
          <w:tab w:val="left" w:pos="608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2098" w:right="1474" w:bottom="2041" w:left="1587" w:header="850" w:footer="14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70636C7-0C57-422D-B218-D294CD68645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C3291C-B27E-4331-8C62-B9CDD4E1B12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022A372-D656-4BE2-B9E5-56729EBABC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6C1E72-438E-48A0-A168-A330E7212515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2F7BDC1-0F7F-4FC9-B396-B0A32A677C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32E33">
    <w:pPr>
      <w:spacing w:line="1" w:lineRule="atLeast"/>
      <w:rPr>
        <w:rFonts w:hint="default"/>
        <w:lang w:val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2C3A5">
                          <w:pPr>
                            <w:pStyle w:val="4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IqtHF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2C3A5">
                    <w:pPr>
                      <w:pStyle w:val="4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sz w:val="28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08" w:lineRule="auto"/>
      </w:pPr>
      <w:r>
        <w:separator/>
      </w:r>
    </w:p>
  </w:footnote>
  <w:footnote w:type="continuationSeparator" w:id="1">
    <w:p>
      <w:pPr>
        <w:spacing w:line="40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B037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79184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1A9E99">
                          <w:pPr>
                            <w:pStyle w:val="11"/>
                            <w:spacing w:line="305" w:lineRule="atLeast"/>
                            <w:rPr>
                              <w:rFonts w:hint="eastAsia"/>
                            </w:rPr>
                          </w:pPr>
                        </w:p>
                        <w:p w14:paraId="015420FD">
                          <w:pPr>
                            <w:spacing w:line="263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62.35pt;width:442.2pt;" filled="f" stroked="f" coordsize="21600,21600" o:gfxdata="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3MltNUAAAAFAQAADwAAAAAAAAABACAA&#10;AAAiAAAAZHJzL2Rvd25yZXYueG1sUEsBAhQAFAAAAAgAh07iQLIAgcHXAQAAsQMAAA4AAAAAAAAA&#10;AQAgAAAAJAEAAGRycy9lMm9Eb2MueG1sUEsFBgAAAAAGAAYAWQEAAG0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051A9E99">
                    <w:pPr>
                      <w:pStyle w:val="11"/>
                      <w:spacing w:line="305" w:lineRule="atLeast"/>
                      <w:rPr>
                        <w:rFonts w:hint="eastAsia"/>
                      </w:rPr>
                    </w:pPr>
                  </w:p>
                  <w:p w14:paraId="015420FD">
                    <w:pPr>
                      <w:spacing w:line="263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64357"/>
    <w:multiLevelType w:val="singleLevel"/>
    <w:tmpl w:val="74F64357"/>
    <w:lvl w:ilvl="0" w:tentative="0">
      <w:start w:val="1"/>
      <w:numFmt w:val="chineseCounting"/>
      <w:suff w:val="nothing"/>
      <w:lvlText w:val="（%1）"/>
      <w:lvlJc w:val="left"/>
      <w:pPr>
        <w:ind w:left="105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2VjNGYzNzQ0MzE2MTEwMjQ3ZDE3MzhlODBlNzcifQ=="/>
  </w:docVars>
  <w:rsids>
    <w:rsidRoot w:val="1BC01C19"/>
    <w:rsid w:val="006D4B7D"/>
    <w:rsid w:val="01FB2993"/>
    <w:rsid w:val="03D3473A"/>
    <w:rsid w:val="0748690D"/>
    <w:rsid w:val="07504EC1"/>
    <w:rsid w:val="085732F1"/>
    <w:rsid w:val="0C2401F3"/>
    <w:rsid w:val="12B416BA"/>
    <w:rsid w:val="14AC192A"/>
    <w:rsid w:val="1BC01C19"/>
    <w:rsid w:val="1C814E6F"/>
    <w:rsid w:val="1FDA5097"/>
    <w:rsid w:val="22C75BE0"/>
    <w:rsid w:val="23C13B08"/>
    <w:rsid w:val="23FA39FD"/>
    <w:rsid w:val="25344E29"/>
    <w:rsid w:val="25843F87"/>
    <w:rsid w:val="27E056E9"/>
    <w:rsid w:val="28007689"/>
    <w:rsid w:val="290D28B3"/>
    <w:rsid w:val="29163E4E"/>
    <w:rsid w:val="29F14940"/>
    <w:rsid w:val="2C9F3729"/>
    <w:rsid w:val="33ED5919"/>
    <w:rsid w:val="345B0720"/>
    <w:rsid w:val="369E454F"/>
    <w:rsid w:val="40894CFE"/>
    <w:rsid w:val="40DA6981"/>
    <w:rsid w:val="417113F6"/>
    <w:rsid w:val="48240C72"/>
    <w:rsid w:val="4C0F2E06"/>
    <w:rsid w:val="4F09740C"/>
    <w:rsid w:val="506C67B9"/>
    <w:rsid w:val="516B4BE6"/>
    <w:rsid w:val="533A0504"/>
    <w:rsid w:val="54A961E2"/>
    <w:rsid w:val="589138C5"/>
    <w:rsid w:val="5ABF3750"/>
    <w:rsid w:val="5D217BCE"/>
    <w:rsid w:val="5EEC45B1"/>
    <w:rsid w:val="688013ED"/>
    <w:rsid w:val="68DC0E10"/>
    <w:rsid w:val="6B64772F"/>
    <w:rsid w:val="6BF303C5"/>
    <w:rsid w:val="7C705B15"/>
    <w:rsid w:val="7ED64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spacing w:line="570" w:lineRule="exact"/>
      <w:ind w:left="0"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0"/>
      <w:sz w:val="44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 w:val="0"/>
      <w:ind w:firstLine="42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方正仿宋_GBK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页眉1"/>
    <w:basedOn w:val="1"/>
    <w:qFormat/>
    <w:uiPriority w:val="0"/>
    <w:rPr>
      <w:sz w:val="18"/>
    </w:rPr>
  </w:style>
  <w:style w:type="paragraph" w:customStyle="1" w:styleId="12">
    <w:name w:val="页脚1"/>
    <w:basedOn w:val="1"/>
    <w:qFormat/>
    <w:uiPriority w:val="0"/>
    <w:pPr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013;&#20849;&#20016;&#37117;&#21439;&#22826;&#24179;&#22365;&#20065;&#22996;&#21592;&#20250;&#20016;&#37117;&#21439;&#22826;&#24179;&#22365;&#20065;&#20154;&#27665;&#25919;&#24220;&#20851;&#20110;2024&#24180;&#27861;&#27835;&#25919;&#24220;&#24314;&#35774;&#24773;&#20917;&#30340;&#25253;&#21578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中共丰都县太平坝乡委员会丰都县太平坝乡人民政府关于2024年法治政府建设情况的报告.docx</Template>
  <Pages>5</Pages>
  <Words>2418</Words>
  <Characters>2482</Characters>
  <Lines>0</Lines>
  <Paragraphs>0</Paragraphs>
  <TotalTime>20</TotalTime>
  <ScaleCrop>false</ScaleCrop>
  <LinksUpToDate>false</LinksUpToDate>
  <CharactersWithSpaces>2482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2025-02-27T08:24:00Z</dcterms:created>
  <dc:creator>咚咚锵</dc:creator>
  <cp:lastModifiedBy>咚咚锵</cp:lastModifiedBy>
  <dcterms:modified xsi:type="dcterms:W3CDTF">2025-03-03T02:37:22Z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47453427039A496891B6EB2D94091E58_11</vt:lpwstr>
  </property>
  <property fmtid="{D5CDD505-2E9C-101B-9397-08002B2CF9AE}" pid="4" name="KSOTemplateDocerSaveRecord">
    <vt:lpwstr>eyJoZGlkIjoiODUwOWZmMzE3YzYzZDMxMzg4MzMxZGM1NDExOTJjYmYiLCJ1c2VySWQiOiI4MTQ3NzY1NTYifQ==</vt:lpwstr>
  </property>
</Properties>
</file>