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8C45A">
      <w:pPr>
        <w:pStyle w:val="3"/>
      </w:pPr>
    </w:p>
    <w:p w14:paraId="5CC1A7FB">
      <w:pPr>
        <w:spacing w:line="560" w:lineRule="exact"/>
        <w:jc w:val="center"/>
        <w:rPr>
          <w:rFonts w:ascii="Times New Roman" w:hAnsi="Times New Roman" w:eastAsia="方正仿宋_GBK"/>
          <w:sz w:val="32"/>
          <w:szCs w:val="32"/>
        </w:rPr>
      </w:pPr>
    </w:p>
    <w:p w14:paraId="0C56289F">
      <w:pPr>
        <w:spacing w:line="560" w:lineRule="exact"/>
        <w:jc w:val="center"/>
        <w:rPr>
          <w:rFonts w:ascii="Times New Roman" w:hAnsi="Times New Roman" w:eastAsia="方正仿宋_GBK"/>
          <w:sz w:val="32"/>
          <w:szCs w:val="32"/>
        </w:rPr>
      </w:pPr>
    </w:p>
    <w:p w14:paraId="60610678">
      <w:pPr>
        <w:spacing w:line="560" w:lineRule="exact"/>
        <w:jc w:val="center"/>
        <w:rPr>
          <w:rFonts w:ascii="Times New Roman" w:hAnsi="Times New Roman" w:eastAsia="方正仿宋_GBK"/>
          <w:sz w:val="32"/>
          <w:szCs w:val="32"/>
        </w:rPr>
      </w:pPr>
    </w:p>
    <w:p w14:paraId="054217F8">
      <w:pPr>
        <w:spacing w:line="560" w:lineRule="exact"/>
        <w:jc w:val="center"/>
        <w:rPr>
          <w:rFonts w:ascii="Times New Roman" w:hAnsi="Times New Roman" w:eastAsia="方正仿宋_GBK"/>
          <w:sz w:val="32"/>
          <w:szCs w:val="32"/>
        </w:rPr>
      </w:pPr>
    </w:p>
    <w:p w14:paraId="539E278F">
      <w:pPr>
        <w:spacing w:line="560" w:lineRule="exact"/>
        <w:jc w:val="center"/>
        <w:rPr>
          <w:rFonts w:ascii="Times New Roman" w:hAnsi="Times New Roman" w:eastAsia="方正仿宋_GBK"/>
          <w:sz w:val="32"/>
          <w:szCs w:val="32"/>
        </w:rPr>
      </w:pPr>
    </w:p>
    <w:p w14:paraId="75608811">
      <w:pPr>
        <w:spacing w:line="560" w:lineRule="exact"/>
        <w:jc w:val="center"/>
        <w:rPr>
          <w:rFonts w:ascii="Times New Roman" w:hAnsi="Times New Roman" w:eastAsia="方正仿宋_GBK"/>
          <w:sz w:val="32"/>
          <w:szCs w:val="32"/>
        </w:rPr>
      </w:pPr>
    </w:p>
    <w:p w14:paraId="1350DC54">
      <w:pPr>
        <w:spacing w:line="560" w:lineRule="exact"/>
        <w:jc w:val="center"/>
        <w:rPr>
          <w:rFonts w:ascii="Times New Roman" w:hAnsi="Times New Roman" w:eastAsia="方正仿宋_GBK"/>
          <w:color w:val="000000"/>
          <w:sz w:val="32"/>
          <w:szCs w:val="32"/>
          <w:shd w:val="clear" w:color="auto" w:fill="FFFFFF"/>
        </w:rPr>
      </w:pPr>
      <w:r>
        <w:rPr>
          <w:rFonts w:ascii="Times New Roman" w:hAnsi="Times New Roman" w:eastAsia="方正仿宋_GBK"/>
          <w:sz w:val="32"/>
          <w:szCs w:val="32"/>
        </w:rPr>
        <w:t>青龙委文〔20</w:t>
      </w:r>
      <w:r>
        <w:rPr>
          <w:rFonts w:ascii="Times New Roman" w:hAnsi="Times New Roman"/>
          <w:sz w:val="32"/>
          <w:szCs w:val="32"/>
        </w:rPr>
        <w:t>2</w:t>
      </w:r>
      <w:r>
        <w:rPr>
          <w:rFonts w:hint="eastAsia" w:ascii="Times New Roman" w:hAnsi="Times New Roman"/>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7</w:t>
      </w:r>
      <w:r>
        <w:rPr>
          <w:rFonts w:ascii="Times New Roman" w:hAnsi="Times New Roman" w:eastAsia="方正仿宋_GBK"/>
          <w:sz w:val="32"/>
          <w:szCs w:val="32"/>
        </w:rPr>
        <w:t>号</w:t>
      </w:r>
    </w:p>
    <w:p w14:paraId="20214893">
      <w:pPr>
        <w:spacing w:line="560" w:lineRule="exact"/>
        <w:rPr>
          <w:rFonts w:ascii="Times New Roman" w:hAnsi="Times New Roman" w:eastAsia="方正仿宋_GBK"/>
          <w:sz w:val="32"/>
          <w:szCs w:val="32"/>
        </w:rPr>
      </w:pPr>
    </w:p>
    <w:p w14:paraId="37EA02E0">
      <w:pPr>
        <w:spacing w:line="600" w:lineRule="exact"/>
        <w:jc w:val="center"/>
        <w:rPr>
          <w:rFonts w:eastAsia="方正小标宋_GBK"/>
          <w:sz w:val="44"/>
          <w:szCs w:val="44"/>
        </w:rPr>
      </w:pPr>
      <w:r>
        <w:rPr>
          <w:rFonts w:hint="eastAsia" w:eastAsia="方正小标宋_GBK"/>
          <w:sz w:val="44"/>
          <w:szCs w:val="44"/>
        </w:rPr>
        <w:t>中共丰都县青龙乡委员会</w:t>
      </w:r>
    </w:p>
    <w:p w14:paraId="277D0C31">
      <w:pPr>
        <w:widowControl/>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丰都县青龙乡人民政府</w:t>
      </w:r>
    </w:p>
    <w:p w14:paraId="03496BDA">
      <w:pPr>
        <w:widowControl/>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关于青龙乡2023年法治政府建设情况的</w:t>
      </w:r>
    </w:p>
    <w:p w14:paraId="32BB3894">
      <w:pPr>
        <w:widowControl/>
        <w:spacing w:line="600" w:lineRule="exact"/>
        <w:jc w:val="center"/>
        <w:rPr>
          <w:rFonts w:ascii="Times New Roman" w:hAnsi="Times New Roman"/>
        </w:rPr>
      </w:pPr>
      <w:r>
        <w:rPr>
          <w:rFonts w:hint="eastAsia" w:ascii="方正小标宋_GBK" w:hAnsi="方正小标宋_GBK" w:eastAsia="方正小标宋_GBK" w:cs="方正小标宋_GBK"/>
          <w:kern w:val="0"/>
          <w:sz w:val="44"/>
          <w:szCs w:val="44"/>
        </w:rPr>
        <w:t>报  告</w:t>
      </w:r>
    </w:p>
    <w:p w14:paraId="537649F4">
      <w:pPr>
        <w:snapToGrid w:val="0"/>
        <w:spacing w:line="560" w:lineRule="exact"/>
        <w:rPr>
          <w:rFonts w:ascii="Times New Roman" w:hAnsi="Times New Roman" w:eastAsia="方正仿宋_GBK"/>
          <w:kern w:val="0"/>
          <w:sz w:val="32"/>
          <w:szCs w:val="32"/>
        </w:rPr>
      </w:pPr>
    </w:p>
    <w:p w14:paraId="7BFFEB5B">
      <w:pPr>
        <w:snapToGrid w:val="0"/>
        <w:spacing w:line="540" w:lineRule="exact"/>
        <w:rPr>
          <w:rFonts w:ascii="Times New Roman" w:hAnsi="Times New Roman" w:eastAsia="方正仿宋_GBK"/>
          <w:kern w:val="0"/>
          <w:sz w:val="32"/>
          <w:szCs w:val="32"/>
        </w:rPr>
      </w:pPr>
      <w:r>
        <w:rPr>
          <w:rFonts w:ascii="Times New Roman" w:hAnsi="Times New Roman" w:eastAsia="方正仿宋_GBK"/>
          <w:kern w:val="0"/>
          <w:sz w:val="32"/>
          <w:szCs w:val="32"/>
        </w:rPr>
        <w:t>依法治县办：</w:t>
      </w:r>
    </w:p>
    <w:p w14:paraId="23F4FA78">
      <w:pPr>
        <w:snapToGrid w:val="0"/>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kern w:val="0"/>
          <w:sz w:val="32"/>
          <w:szCs w:val="32"/>
        </w:rPr>
        <w:t>2023年，在县委、县政府的坚强领导下，我乡坚持以习近平新时代中国特色社会主义思想为指导，深入贯彻党的二十大精神，认真贯彻落实市、县法治政府建设工作要求，对标目标，立足实际扎实推进法治政府建设。现将2023年法治政府建设工作情况报告如下：</w:t>
      </w:r>
    </w:p>
    <w:p w14:paraId="0839A38A">
      <w:pPr>
        <w:spacing w:line="540" w:lineRule="exact"/>
        <w:ind w:firstLine="646"/>
        <w:jc w:val="left"/>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一、</w:t>
      </w:r>
      <w:r>
        <w:rPr>
          <w:rFonts w:hint="eastAsia" w:ascii="方正黑体_GBK" w:hAnsi="方正黑体_GBK" w:eastAsia="方正黑体_GBK" w:cs="方正黑体_GBK"/>
          <w:sz w:val="32"/>
          <w:szCs w:val="32"/>
        </w:rPr>
        <w:t>2023年度推进法治政府建设的主要举措和成效</w:t>
      </w:r>
    </w:p>
    <w:p w14:paraId="2643A5B9">
      <w:pPr>
        <w:spacing w:line="540" w:lineRule="exact"/>
        <w:ind w:firstLine="646"/>
        <w:jc w:val="left"/>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（一）坚持以习近平法治思想武装头脑指导实践。</w:t>
      </w:r>
      <w:r>
        <w:rPr>
          <w:rFonts w:ascii="Times New Roman" w:hAnsi="Times New Roman" w:eastAsia="方正仿宋_GBK"/>
          <w:sz w:val="32"/>
          <w:szCs w:val="32"/>
        </w:rPr>
        <w:t>一是我乡</w:t>
      </w:r>
      <w:r>
        <w:rPr>
          <w:rFonts w:ascii="Times New Roman" w:hAnsi="Times New Roman" w:eastAsia="方正仿宋_GBK"/>
          <w:color w:val="000000"/>
          <w:sz w:val="32"/>
          <w:szCs w:val="32"/>
        </w:rPr>
        <w:t>通过党委会、理论学习中心组（扩大）会议等，深入学习习近平法治思想、中央全面依法治国工作会议、全市述法工作实施意见和全面依法治市暨法治政府建设工作推进会议精神</w:t>
      </w:r>
      <w:r>
        <w:rPr>
          <w:rFonts w:ascii="Times New Roman" w:hAnsi="Times New Roman" w:eastAsia="方正仿宋_GBK"/>
          <w:sz w:val="32"/>
          <w:szCs w:val="32"/>
        </w:rPr>
        <w:t>。二是制定《青龙乡党政主要负责人履行推进法治建设第一责任人职责》，将“述法”情况纳入年度考核内容，作为班子、干部评先评优重要依据。三是制定干部职工学法计划，把习近平法治思想的学习列入干部职工学习的重要内容，今年重点学习了《习近平法治思想学习纲要》、《深刻把握两个确立的决定性意义》及相关法治思想内容。旗帜鲜明讲政治，自觉把学习和贯彻习近平法治思想贯穿到政府工作各方面、全过程，不断提高政治判断力、政治领悟力、政治执行力。</w:t>
      </w:r>
    </w:p>
    <w:p w14:paraId="0C3973B7">
      <w:pPr>
        <w:widowControl/>
        <w:spacing w:line="540" w:lineRule="exact"/>
        <w:ind w:firstLine="645"/>
        <w:jc w:val="left"/>
        <w:rPr>
          <w:rFonts w:ascii="Times New Roman" w:hAnsi="Times New Roman" w:eastAsia="方正仿宋_GBK"/>
          <w:kern w:val="0"/>
          <w:sz w:val="32"/>
          <w:szCs w:val="32"/>
        </w:rPr>
      </w:pPr>
      <w:r>
        <w:rPr>
          <w:rFonts w:ascii="方正楷体_GBK" w:hAnsi="方正楷体_GBK" w:eastAsia="方正楷体_GBK" w:cs="方正楷体_GBK"/>
          <w:sz w:val="32"/>
          <w:szCs w:val="32"/>
        </w:rPr>
        <w:t>（二）深入开展普法宣传，进一步增强群众法律意识。</w:t>
      </w:r>
      <w:r>
        <w:rPr>
          <w:rFonts w:ascii="Times New Roman" w:hAnsi="Times New Roman" w:eastAsia="方正仿宋_GBK"/>
          <w:kern w:val="0"/>
          <w:sz w:val="32"/>
          <w:szCs w:val="32"/>
        </w:rPr>
        <w:t>一是按照县委、县政府的要求，我乡突出重点，创新思路，完善各项措施，通过三月法治宣传月、法治副校长、“4.15”全民国家安全教育日、送法进企业、“6.26”国际禁毒日、“12.4宪法宣传周”、“八五”普法、防邪、反电信网络诈骗专项宣传及宪法宣传周等专题宣传活动。以多种形式、多层面地开展好法治宣传教育工作，举办了《宪法》《中华人民共和国民法典》等学习宣讲会35场次，集中宣传7场次，现场发放《宪法》、《中华人民共和国民法典》、</w:t>
      </w:r>
      <w:r>
        <w:rPr>
          <w:rFonts w:hint="eastAsia" w:ascii="Times New Roman" w:hAnsi="Times New Roman" w:eastAsia="方正仿宋_GBK"/>
          <w:kern w:val="0"/>
          <w:sz w:val="32"/>
          <w:szCs w:val="32"/>
        </w:rPr>
        <w:t>《中华人民共和国家庭教育促进法》</w:t>
      </w:r>
      <w:r>
        <w:rPr>
          <w:rFonts w:ascii="Times New Roman" w:hAnsi="Times New Roman" w:eastAsia="方正仿宋_GBK"/>
          <w:kern w:val="0"/>
          <w:sz w:val="32"/>
          <w:szCs w:val="32"/>
        </w:rPr>
        <w:t>、《法律援助条例》等宣传读本2000余本，宣传袋1000余个、宣传资料、传单2000余份，现场解答了群众关心的问题，收到了满意的效果。二是加强普法阵地建设，我乡本年度春秋两季分别以“家庭教育促进法”、“宪法”为主题完成普法宣传栏内容更换共计26次，打造了龙井村法律之家，并稳步推进龙井村市级民主法治示范村相关检查工作。</w:t>
      </w:r>
    </w:p>
    <w:p w14:paraId="1318EE3A">
      <w:pPr>
        <w:widowControl/>
        <w:spacing w:line="540" w:lineRule="exact"/>
        <w:ind w:firstLine="640" w:firstLineChars="200"/>
        <w:jc w:val="left"/>
        <w:rPr>
          <w:rFonts w:ascii="Times New Roman" w:hAnsi="Times New Roman" w:eastAsia="方正仿宋_GBK"/>
          <w:sz w:val="32"/>
          <w:szCs w:val="32"/>
        </w:rPr>
      </w:pPr>
      <w:r>
        <w:rPr>
          <w:rFonts w:ascii="方正楷体_GBK" w:hAnsi="方正楷体_GBK" w:eastAsia="方正楷体_GBK" w:cs="方正楷体_GBK"/>
          <w:sz w:val="32"/>
          <w:szCs w:val="32"/>
        </w:rPr>
        <w:t>（三）全面夯实法治保障。</w:t>
      </w:r>
      <w:r>
        <w:rPr>
          <w:rFonts w:ascii="Times New Roman" w:hAnsi="Times New Roman" w:eastAsia="方正仿宋_GBK"/>
          <w:kern w:val="0"/>
          <w:sz w:val="32"/>
          <w:szCs w:val="32"/>
        </w:rPr>
        <w:t>一是</w:t>
      </w:r>
      <w:r>
        <w:rPr>
          <w:rFonts w:ascii="Times New Roman" w:hAnsi="Times New Roman" w:eastAsia="方正仿宋_GBK"/>
          <w:sz w:val="32"/>
          <w:szCs w:val="32"/>
        </w:rPr>
        <w:t>截至目前为止，我乡累计建成1个公共法律服务站，8个公共法律服务室，调整办公室打造司法所工作阵地。二是结合“清风茶室”先后开展人民调解122件次，成功化解矛盾纠纷122件，化解矛盾成功率高达100%，全年无矛盾纠纷转化为重大事故的案件。三是贯彻落实加强村（居）法律顾问工作意见相关内容，聘请重庆天宇三星律师事务所律师郎娟担任法律顾问，扎实开展“村（居）法律顾问”法治讲座，本年度新增法律明白人以及学法用法示范户各8名，推广村（居）法律顾问平台运用，本年度新增用户112名，提供2次法律援助，推动法律顾问实现有效覆盖；四是结合我乡网格员建设，做深做实矛盾纠纷排查工作，与此同时统筹推进人民调解、行政调解、司法调解，完善社会矛盾纠纷多元预防调处化解综合机制，构建“警调”、“访调”、“诉调”三调对接机制和“一庭两所”矛盾纠纷联调机制，推进诉源治理，加强重点领域矛盾纠纷源头预防调处化解工作，成功化解1起写信重复访和1起购票进京访，全年无行政诉讼。</w:t>
      </w:r>
    </w:p>
    <w:p w14:paraId="3E77EA22">
      <w:pPr>
        <w:widowControl/>
        <w:spacing w:line="540" w:lineRule="exact"/>
        <w:ind w:firstLine="645"/>
        <w:jc w:val="left"/>
        <w:rPr>
          <w:rFonts w:ascii="Times New Roman" w:hAnsi="Times New Roman" w:eastAsia="方正仿宋_GBK"/>
          <w:kern w:val="0"/>
          <w:sz w:val="32"/>
          <w:szCs w:val="32"/>
        </w:rPr>
      </w:pPr>
      <w:r>
        <w:rPr>
          <w:rFonts w:ascii="方正楷体_GBK" w:hAnsi="方正楷体_GBK" w:eastAsia="方正楷体_GBK" w:cs="方正楷体_GBK"/>
          <w:sz w:val="32"/>
          <w:szCs w:val="32"/>
        </w:rPr>
        <w:t>（四）顺应改革，提升行政执法执行力。</w:t>
      </w:r>
      <w:r>
        <w:rPr>
          <w:rFonts w:ascii="Times New Roman" w:hAnsi="Times New Roman" w:eastAsia="方正仿宋_GBK"/>
          <w:sz w:val="32"/>
          <w:szCs w:val="32"/>
        </w:rPr>
        <w:t>一是本年度承接县级委托执法事项37项，认领乡镇法定执法事项27项，深入推进行政执法综合管理监督平台应用，通过信息化手段强化行政执法全方位、全流程监督，建立行政执法行为被纠错倒查工作机制；二是实施</w:t>
      </w:r>
      <w:r>
        <w:rPr>
          <w:rFonts w:hint="eastAsia" w:ascii="Times New Roman" w:hAnsi="Times New Roman" w:eastAsia="方正仿宋_GBK"/>
          <w:sz w:val="32"/>
          <w:szCs w:val="32"/>
          <w:lang w:eastAsia="zh-CN"/>
        </w:rPr>
        <w:t>行政执法“三项制度”</w:t>
      </w:r>
      <w:r>
        <w:rPr>
          <w:rFonts w:ascii="Times New Roman" w:hAnsi="Times New Roman" w:eastAsia="方正仿宋_GBK"/>
          <w:sz w:val="32"/>
          <w:szCs w:val="32"/>
        </w:rPr>
        <w:t>落实强化活动，提高年度行政执法案卷评查频次，通过评查通报、典型案例汇编等方式提高案卷</w:t>
      </w:r>
      <w:bookmarkStart w:id="0" w:name="_GoBack"/>
      <w:bookmarkEnd w:id="0"/>
      <w:r>
        <w:rPr>
          <w:rFonts w:ascii="Times New Roman" w:hAnsi="Times New Roman" w:eastAsia="方正仿宋_GBK"/>
          <w:sz w:val="32"/>
          <w:szCs w:val="32"/>
        </w:rPr>
        <w:t>管理水平。三是加强行政执法人员业务培训及管理。积极组织乡平安办、社会事务办、规环办、农业服务中心等办公室的干部9人参加行政执法网络学习及资格考试。</w:t>
      </w:r>
    </w:p>
    <w:p w14:paraId="195DE3A2">
      <w:pPr>
        <w:widowControl/>
        <w:spacing w:line="540" w:lineRule="exact"/>
        <w:ind w:firstLine="645"/>
        <w:jc w:val="left"/>
        <w:rPr>
          <w:rFonts w:ascii="方正黑体_GBK" w:hAnsi="方正黑体_GBK" w:eastAsia="方正黑体_GBK" w:cs="方正黑体_GBK"/>
          <w:kern w:val="0"/>
          <w:sz w:val="32"/>
          <w:szCs w:val="32"/>
        </w:rPr>
      </w:pPr>
      <w:r>
        <w:rPr>
          <w:rFonts w:ascii="方正黑体_GBK" w:hAnsi="方正黑体_GBK" w:eastAsia="方正黑体_GBK" w:cs="方正黑体_GBK"/>
          <w:kern w:val="0"/>
          <w:sz w:val="32"/>
          <w:szCs w:val="32"/>
        </w:rPr>
        <w:t>二、2023年度党政主要负责人履行推进法治建设第一责任人职责，加强法治政府建设的有关情况</w:t>
      </w:r>
    </w:p>
    <w:p w14:paraId="41F28A0E">
      <w:pPr>
        <w:widowControl/>
        <w:numPr>
          <w:ilvl w:val="0"/>
          <w:numId w:val="1"/>
        </w:numPr>
        <w:spacing w:line="540" w:lineRule="exact"/>
        <w:ind w:firstLine="646"/>
        <w:jc w:val="left"/>
        <w:rPr>
          <w:rFonts w:ascii="Times New Roman" w:hAnsi="Times New Roman" w:eastAsia="方正仿宋_GBK"/>
          <w:kern w:val="0"/>
          <w:sz w:val="32"/>
          <w:szCs w:val="32"/>
        </w:rPr>
      </w:pPr>
      <w:r>
        <w:rPr>
          <w:rFonts w:ascii="方正楷体_GBK" w:hAnsi="方正楷体_GBK" w:eastAsia="方正楷体_GBK" w:cs="方正楷体_GBK"/>
          <w:sz w:val="32"/>
          <w:szCs w:val="32"/>
        </w:rPr>
        <w:t>切实发挥党政主要负责人在推进本单位法治建设中的领导核心作用。</w:t>
      </w:r>
      <w:r>
        <w:rPr>
          <w:rFonts w:ascii="Times New Roman" w:hAnsi="Times New Roman" w:eastAsia="方正仿宋_GBK"/>
          <w:sz w:val="32"/>
          <w:szCs w:val="32"/>
        </w:rPr>
        <w:t>一是分上下半年召开推进法治建设报告会2</w:t>
      </w:r>
      <w:r>
        <w:rPr>
          <w:rFonts w:hint="eastAsia" w:ascii="Times New Roman" w:hAnsi="Times New Roman" w:eastAsia="方正仿宋_GBK"/>
          <w:sz w:val="32"/>
          <w:szCs w:val="32"/>
        </w:rPr>
        <w:t>次，</w:t>
      </w:r>
      <w:r>
        <w:rPr>
          <w:rFonts w:ascii="Times New Roman" w:hAnsi="Times New Roman" w:eastAsia="方正仿宋_GBK"/>
          <w:sz w:val="32"/>
          <w:szCs w:val="32"/>
        </w:rPr>
        <w:t>部署研究我乡法治政府建设工作。将法治政府建设纳入本单位发展总体规划和年度工作计划，细化依法行政的相关任务，严格落实重要工作及时向乡党委请示报告制度，把法治政府建设纳入重要工作、重要议事日程。二是</w:t>
      </w:r>
      <w:r>
        <w:rPr>
          <w:rFonts w:ascii="Times New Roman" w:hAnsi="Times New Roman" w:eastAsia="方正仿宋_GBK"/>
          <w:kern w:val="0"/>
          <w:sz w:val="32"/>
          <w:szCs w:val="32"/>
        </w:rPr>
        <w:t>一年来，按照职责任务清单我乡党政主要负责人严格履行依法治乡、法治政府建设重要职责，成为组织者、推动者和实践者，充分发挥了党委总揽全局、协调各方的作用，督促领导班子其他成员和下属部门主要负责人依法办事。</w:t>
      </w:r>
    </w:p>
    <w:p w14:paraId="10A70A83">
      <w:pPr>
        <w:widowControl/>
        <w:numPr>
          <w:ilvl w:val="0"/>
          <w:numId w:val="1"/>
        </w:numPr>
        <w:spacing w:line="540" w:lineRule="exact"/>
        <w:ind w:firstLine="646"/>
        <w:jc w:val="left"/>
        <w:rPr>
          <w:rFonts w:ascii="Times New Roman" w:hAnsi="Times New Roman" w:eastAsia="方正仿宋_GBK"/>
          <w:kern w:val="0"/>
          <w:sz w:val="32"/>
          <w:szCs w:val="32"/>
        </w:rPr>
      </w:pPr>
      <w:r>
        <w:rPr>
          <w:rFonts w:ascii="方正楷体_GBK" w:hAnsi="方正楷体_GBK" w:eastAsia="方正楷体_GBK" w:cs="方正楷体_GBK"/>
          <w:sz w:val="32"/>
          <w:szCs w:val="32"/>
        </w:rPr>
        <w:t>努力营造全乡党员干部学法遵法用法守法良好氛围。</w:t>
      </w:r>
      <w:r>
        <w:rPr>
          <w:rFonts w:ascii="Times New Roman" w:hAnsi="Times New Roman" w:eastAsia="方正仿宋_GBK"/>
          <w:kern w:val="0"/>
          <w:sz w:val="32"/>
          <w:szCs w:val="32"/>
        </w:rPr>
        <w:t>一是深入贯彻落实习近平总书记提出的“领导干部要做尊法学法守法用法的模范”讲话精神，以身作则，严格践行党政主要负责人第一责任人要求，提高了广大领导干部职工依法行政工作能力和法治化工作水平，统筹推进科学立法、严格执法、公正司法、全民守法，依法执政、依法行政共同推进。二是抓好党员干部教育引导，推进党内规范性文件和政府规范性文件审查报备，对重大工作亲自部署、重大问题亲自过问、重点环节亲自督办。定期听取法治政府建设工作情况汇报，及时研究解决有关重大问题，充分发挥好在法治青龙建设中引领示范作用，自觉为全乡干部群众作表率。2023年无一起领导干部违规干预司法活动、插手具体案件处理的情形发生。</w:t>
      </w:r>
    </w:p>
    <w:p w14:paraId="734B0BBE">
      <w:pPr>
        <w:widowControl/>
        <w:spacing w:line="540" w:lineRule="exact"/>
        <w:ind w:firstLine="645"/>
        <w:jc w:val="left"/>
        <w:rPr>
          <w:rFonts w:ascii="方正黑体_GBK" w:hAnsi="方正黑体_GBK" w:eastAsia="方正黑体_GBK" w:cs="方正黑体_GBK"/>
          <w:kern w:val="0"/>
          <w:sz w:val="32"/>
          <w:szCs w:val="32"/>
        </w:rPr>
      </w:pPr>
      <w:r>
        <w:rPr>
          <w:rFonts w:ascii="方正黑体_GBK" w:hAnsi="方正黑体_GBK" w:eastAsia="方正黑体_GBK" w:cs="方正黑体_GBK"/>
          <w:kern w:val="0"/>
          <w:sz w:val="32"/>
          <w:szCs w:val="32"/>
        </w:rPr>
        <w:t>三、2023年度推进法治政府建设存在的不足和原因</w:t>
      </w:r>
    </w:p>
    <w:p w14:paraId="210E7528">
      <w:pPr>
        <w:widowControl/>
        <w:spacing w:line="54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我乡法治政府建设工作虽然取得了一定成效，但还存在一定的差距和不足，主要表现在：一是普法宣传形式不够丰富，虽开展了大量普法宣传工作，但基本是依赖宣传栏、发放宣传单页等传统线下普法载体，宣传手段不够丰富，没有及时推陈出新，使普法教育工作缺乏互动性和吸引力。</w:t>
      </w:r>
      <w:r>
        <w:rPr>
          <w:rFonts w:ascii="Times New Roman" w:hAnsi="Times New Roman" w:eastAsia="方正仿宋_GBK"/>
          <w:sz w:val="32"/>
          <w:szCs w:val="32"/>
        </w:rPr>
        <w:t>二是法治意识有待进一步提高。</w:t>
      </w:r>
      <w:r>
        <w:rPr>
          <w:rFonts w:ascii="Times New Roman" w:hAnsi="Times New Roman" w:eastAsia="方正仿宋_GBK"/>
          <w:kern w:val="0"/>
          <w:sz w:val="32"/>
          <w:szCs w:val="32"/>
        </w:rPr>
        <w:t>少数干部法治意识不强的情况仍然存在，主要表现为不善于用法治思维、法治方式和法律手段来管理和处理行政事务。三是基层执法体制不够顺畅，我乡虽然已经完成了综合行政执法改革，但执法队的成员与其他执法人员之间的职责还未完全</w:t>
      </w:r>
      <w:r>
        <w:rPr>
          <w:rFonts w:hint="eastAsia" w:ascii="Times New Roman" w:hAnsi="Times New Roman" w:eastAsia="方正仿宋_GBK"/>
          <w:kern w:val="0"/>
          <w:sz w:val="32"/>
          <w:szCs w:val="32"/>
        </w:rPr>
        <w:t>理</w:t>
      </w:r>
      <w:r>
        <w:rPr>
          <w:rFonts w:ascii="Times New Roman" w:hAnsi="Times New Roman" w:eastAsia="方正仿宋_GBK"/>
          <w:kern w:val="0"/>
          <w:sz w:val="32"/>
          <w:szCs w:val="32"/>
        </w:rPr>
        <w:t>清，执法设备不足，有边界不清、相互推诿的情况。</w:t>
      </w:r>
    </w:p>
    <w:p w14:paraId="42B14032">
      <w:pPr>
        <w:widowControl/>
        <w:spacing w:line="540" w:lineRule="exact"/>
        <w:ind w:firstLine="645"/>
        <w:jc w:val="left"/>
        <w:rPr>
          <w:rFonts w:ascii="方正黑体_GBK" w:hAnsi="方正黑体_GBK" w:eastAsia="方正黑体_GBK" w:cs="方正黑体_GBK"/>
          <w:kern w:val="0"/>
          <w:sz w:val="32"/>
          <w:szCs w:val="32"/>
        </w:rPr>
      </w:pPr>
      <w:r>
        <w:rPr>
          <w:rFonts w:ascii="方正黑体_GBK" w:hAnsi="方正黑体_GBK" w:eastAsia="方正黑体_GBK" w:cs="方正黑体_GBK"/>
          <w:kern w:val="0"/>
          <w:sz w:val="32"/>
          <w:szCs w:val="32"/>
        </w:rPr>
        <w:t>四、2024年推进法治政府建设的工作思路、目标举措</w:t>
      </w:r>
    </w:p>
    <w:p w14:paraId="24F88EA4">
      <w:pPr>
        <w:spacing w:line="54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kern w:val="0"/>
          <w:sz w:val="32"/>
          <w:szCs w:val="32"/>
        </w:rPr>
        <w:t>2024年，</w:t>
      </w:r>
      <w:r>
        <w:rPr>
          <w:rFonts w:ascii="Times New Roman" w:hAnsi="Times New Roman" w:eastAsia="方正仿宋_GBK"/>
          <w:color w:val="000000"/>
          <w:sz w:val="32"/>
          <w:szCs w:val="32"/>
        </w:rPr>
        <w:t>我们将深入学习贯彻党的二十大精神，坚持以习近平法治思想为指导，将政府各项工作全面纳入法治轨道，推进政府治理体系和治理能力现代化。</w:t>
      </w:r>
    </w:p>
    <w:p w14:paraId="6E84E033">
      <w:pPr>
        <w:widowControl/>
        <w:spacing w:line="540" w:lineRule="exact"/>
        <w:ind w:firstLine="480"/>
        <w:jc w:val="left"/>
        <w:rPr>
          <w:rFonts w:ascii="Times New Roman" w:hAnsi="Times New Roman" w:eastAsia="方正仿宋_GBK"/>
          <w:kern w:val="0"/>
          <w:sz w:val="32"/>
          <w:szCs w:val="32"/>
        </w:rPr>
      </w:pPr>
      <w:r>
        <w:rPr>
          <w:rFonts w:ascii="方正楷体_GBK" w:hAnsi="方正楷体_GBK" w:eastAsia="方正楷体_GBK" w:cs="方正楷体_GBK"/>
          <w:sz w:val="32"/>
          <w:szCs w:val="32"/>
        </w:rPr>
        <w:t>（一）广泛深入宣传，普及法治教育。</w:t>
      </w:r>
      <w:r>
        <w:rPr>
          <w:rFonts w:ascii="Times New Roman" w:hAnsi="Times New Roman" w:eastAsia="方正仿宋_GBK"/>
          <w:kern w:val="0"/>
          <w:sz w:val="32"/>
          <w:szCs w:val="32"/>
        </w:rPr>
        <w:t>扎实抓好“八五”普法，加大普法宣传力度，通过广播、微信、现场法律咨询服务等多种平台，采用动画、微视频、文艺表演等群众喜闻乐见的方式，广泛深入开展法治宣传教育，不断提高广大人民群众的法律意识和遵纪守法观念，推动形成全社会办事依法、遇事找法、解决问题用法、化解矛盾靠法的法治理念。</w:t>
      </w:r>
    </w:p>
    <w:p w14:paraId="7A99EE53">
      <w:pPr>
        <w:widowControl/>
        <w:spacing w:line="540" w:lineRule="exact"/>
        <w:ind w:firstLine="645"/>
        <w:jc w:val="left"/>
        <w:rPr>
          <w:rFonts w:ascii="Times New Roman" w:hAnsi="Times New Roman" w:eastAsia="方正仿宋_GBK"/>
          <w:color w:val="000000"/>
          <w:sz w:val="32"/>
          <w:szCs w:val="32"/>
        </w:rPr>
      </w:pPr>
      <w:r>
        <w:rPr>
          <w:rFonts w:ascii="方正楷体_GBK" w:hAnsi="方正楷体_GBK" w:eastAsia="方正楷体_GBK" w:cs="方正楷体_GBK"/>
          <w:sz w:val="32"/>
          <w:szCs w:val="32"/>
        </w:rPr>
        <w:t>（二）深化基层治理，增强矛盾纠纷化解实效</w:t>
      </w:r>
      <w:r>
        <w:rPr>
          <w:rFonts w:hint="eastAsia" w:ascii="方正楷体_GBK" w:hAnsi="方正楷体_GBK" w:eastAsia="方正楷体_GBK" w:cs="方正楷体_GBK"/>
          <w:sz w:val="32"/>
          <w:szCs w:val="32"/>
        </w:rPr>
        <w:t>。</w:t>
      </w:r>
      <w:r>
        <w:rPr>
          <w:rFonts w:ascii="Times New Roman" w:hAnsi="Times New Roman" w:eastAsia="方正仿宋_GBK"/>
          <w:color w:val="000000"/>
          <w:sz w:val="32"/>
          <w:szCs w:val="32"/>
        </w:rPr>
        <w:t>用好“三调”对接机制，深化新时代“枫桥经验”重庆实践行动，做好网格治理，加大矛盾纠纷排查，加强矛盾纠纷调处和化解，源头防控，诉前调解，提高就地化解矛盾纠纷的能力和水平，实现小事不出网格、大事不出社区、风险不外溢乡镇。</w:t>
      </w:r>
    </w:p>
    <w:p w14:paraId="7E58D245">
      <w:pPr>
        <w:widowControl/>
        <w:spacing w:line="540" w:lineRule="exact"/>
        <w:ind w:firstLine="480"/>
        <w:jc w:val="left"/>
        <w:rPr>
          <w:rFonts w:ascii="Times New Roman" w:hAnsi="Times New Roman" w:eastAsia="方正仿宋_GBK"/>
          <w:kern w:val="0"/>
          <w:sz w:val="32"/>
          <w:szCs w:val="32"/>
        </w:rPr>
      </w:pPr>
      <w:r>
        <w:rPr>
          <w:rFonts w:ascii="方正楷体_GBK" w:hAnsi="方正楷体_GBK" w:eastAsia="方正楷体_GBK" w:cs="方正楷体_GBK"/>
          <w:sz w:val="32"/>
          <w:szCs w:val="32"/>
        </w:rPr>
        <w:t>（三）以三项制度为抓手，推进依法执政。</w:t>
      </w:r>
      <w:r>
        <w:rPr>
          <w:rFonts w:ascii="Times New Roman" w:hAnsi="Times New Roman" w:eastAsia="方正仿宋_GBK"/>
          <w:sz w:val="32"/>
          <w:szCs w:val="32"/>
        </w:rPr>
        <w:t>一是</w:t>
      </w:r>
      <w:r>
        <w:rPr>
          <w:rFonts w:ascii="Times New Roman" w:hAnsi="Times New Roman" w:eastAsia="方正仿宋_GBK"/>
          <w:kern w:val="0"/>
          <w:sz w:val="32"/>
          <w:szCs w:val="32"/>
        </w:rPr>
        <w:t>进一步健全完善重大事项集体决策，充分利用法治监察、政务公开、公示、集体讨论等有效方法，严格规范各项行政权力的运行，不断提高工作人员办事能力，确保公开、公正、文明、规范依法依规决策。二是加强行政执法培训，购置相关设备，进一步动员相关岗位考试取得执法资格证，在执法队的牵头下，认真开展“综合查一次”推进各项法律法规在青龙严格执行。</w:t>
      </w:r>
    </w:p>
    <w:p w14:paraId="3087A577">
      <w:pPr>
        <w:spacing w:line="540" w:lineRule="exact"/>
        <w:rPr>
          <w:rFonts w:ascii="Times New Roman" w:hAnsi="Times New Roman" w:eastAsia="方正仿宋_GBK"/>
          <w:sz w:val="32"/>
          <w:szCs w:val="32"/>
        </w:rPr>
      </w:pPr>
    </w:p>
    <w:p w14:paraId="5EE39E92">
      <w:pPr>
        <w:spacing w:line="540" w:lineRule="exact"/>
        <w:rPr>
          <w:sz w:val="32"/>
          <w:szCs w:val="32"/>
        </w:rPr>
      </w:pPr>
    </w:p>
    <w:p w14:paraId="5D4726CC">
      <w:pPr>
        <w:widowControl/>
        <w:tabs>
          <w:tab w:val="center" w:pos="4473"/>
        </w:tabs>
        <w:spacing w:line="54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 xml:space="preserve">                      中共丰都县青龙乡委员会</w:t>
      </w:r>
    </w:p>
    <w:p w14:paraId="0DA83F32">
      <w:pPr>
        <w:widowControl/>
        <w:spacing w:line="540" w:lineRule="exact"/>
        <w:ind w:firstLine="4320" w:firstLineChars="1350"/>
        <w:jc w:val="left"/>
        <w:rPr>
          <w:rFonts w:ascii="Times New Roman" w:hAnsi="Times New Roman" w:eastAsia="方正仿宋_GBK"/>
          <w:kern w:val="0"/>
          <w:sz w:val="32"/>
          <w:szCs w:val="32"/>
        </w:rPr>
      </w:pPr>
      <w:r>
        <w:rPr>
          <w:rFonts w:ascii="Times New Roman" w:hAnsi="Times New Roman" w:eastAsia="方正仿宋_GBK"/>
          <w:kern w:val="0"/>
          <w:sz w:val="32"/>
          <w:szCs w:val="32"/>
        </w:rPr>
        <w:t>丰都县青龙乡人民政府</w:t>
      </w:r>
    </w:p>
    <w:p w14:paraId="0A8D27E6">
      <w:pPr>
        <w:widowControl/>
        <w:spacing w:line="540" w:lineRule="exact"/>
        <w:ind w:firstLine="4800" w:firstLineChars="1500"/>
        <w:jc w:val="left"/>
        <w:rPr>
          <w:rFonts w:ascii="Times New Roman" w:hAnsi="Times New Roman" w:eastAsia="方正仿宋_GBK"/>
          <w:kern w:val="0"/>
          <w:sz w:val="32"/>
          <w:szCs w:val="32"/>
        </w:rPr>
      </w:pPr>
      <w:r>
        <w:rPr>
          <w:rFonts w:ascii="Times New Roman" w:hAnsi="Times New Roman" w:eastAsia="方正仿宋_GBK"/>
          <w:kern w:val="0"/>
          <w:sz w:val="32"/>
          <w:szCs w:val="32"/>
        </w:rPr>
        <w:t>2024年</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月2</w:t>
      </w: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日</w:t>
      </w:r>
    </w:p>
    <w:p w14:paraId="64406803">
      <w:pPr>
        <w:widowControl/>
        <w:spacing w:line="560" w:lineRule="exact"/>
        <w:ind w:firstLine="4960" w:firstLineChars="1550"/>
        <w:jc w:val="left"/>
        <w:rPr>
          <w:rFonts w:ascii="Times New Roman" w:hAnsi="Times New Roman" w:eastAsia="方正仿宋_GBK"/>
          <w:kern w:val="0"/>
          <w:sz w:val="32"/>
          <w:szCs w:val="32"/>
        </w:rPr>
      </w:pPr>
    </w:p>
    <w:p w14:paraId="15E3238B">
      <w:pPr>
        <w:pStyle w:val="2"/>
        <w:spacing w:line="560" w:lineRule="exact"/>
        <w:rPr>
          <w:rFonts w:ascii="Times New Roman" w:hAnsi="Times New Roman" w:eastAsia="方正仿宋_GBK"/>
          <w:kern w:val="0"/>
          <w:sz w:val="32"/>
          <w:szCs w:val="32"/>
        </w:rPr>
      </w:pPr>
    </w:p>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A3D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21842">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E21842">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36C0">
    <w:pPr>
      <w:snapToGrid w:val="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8722D"/>
    <w:multiLevelType w:val="singleLevel"/>
    <w:tmpl w:val="6678722D"/>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TA5MzcwNzkxN2NjZDNhNmM0YmEwNjNjNTY0OTIifQ=="/>
  </w:docVars>
  <w:rsids>
    <w:rsidRoot w:val="00207742"/>
    <w:rsid w:val="00207742"/>
    <w:rsid w:val="005314FD"/>
    <w:rsid w:val="00644185"/>
    <w:rsid w:val="00657FEB"/>
    <w:rsid w:val="008D58EA"/>
    <w:rsid w:val="00BC1B79"/>
    <w:rsid w:val="02BC5EFC"/>
    <w:rsid w:val="032338E1"/>
    <w:rsid w:val="03C350C4"/>
    <w:rsid w:val="03EF3934"/>
    <w:rsid w:val="04754611"/>
    <w:rsid w:val="04B32967"/>
    <w:rsid w:val="072B7208"/>
    <w:rsid w:val="07B56B19"/>
    <w:rsid w:val="081E4FBF"/>
    <w:rsid w:val="0A165F4E"/>
    <w:rsid w:val="0A216696"/>
    <w:rsid w:val="0B155EDA"/>
    <w:rsid w:val="0B1A7CC0"/>
    <w:rsid w:val="0B8D0851"/>
    <w:rsid w:val="0C4173D9"/>
    <w:rsid w:val="0C776A4C"/>
    <w:rsid w:val="0C904B8F"/>
    <w:rsid w:val="0CEB7BD0"/>
    <w:rsid w:val="0D1332BB"/>
    <w:rsid w:val="0D3C4777"/>
    <w:rsid w:val="0DD63DB2"/>
    <w:rsid w:val="0F3402C2"/>
    <w:rsid w:val="0F460733"/>
    <w:rsid w:val="0F6A74E7"/>
    <w:rsid w:val="0F6B661F"/>
    <w:rsid w:val="111451B1"/>
    <w:rsid w:val="1181687D"/>
    <w:rsid w:val="125A3F64"/>
    <w:rsid w:val="13204FB7"/>
    <w:rsid w:val="14DA401C"/>
    <w:rsid w:val="151A57C2"/>
    <w:rsid w:val="1538032C"/>
    <w:rsid w:val="15E85AD9"/>
    <w:rsid w:val="162E6565"/>
    <w:rsid w:val="163D6FBE"/>
    <w:rsid w:val="170A75C6"/>
    <w:rsid w:val="17930411"/>
    <w:rsid w:val="17F97242"/>
    <w:rsid w:val="1864257A"/>
    <w:rsid w:val="19984BB5"/>
    <w:rsid w:val="1A4E4946"/>
    <w:rsid w:val="1A507953"/>
    <w:rsid w:val="1A9D6217"/>
    <w:rsid w:val="1B2519D0"/>
    <w:rsid w:val="1C136593"/>
    <w:rsid w:val="1CDB5B2D"/>
    <w:rsid w:val="1DAD6CAB"/>
    <w:rsid w:val="1DB123C1"/>
    <w:rsid w:val="1DFC6374"/>
    <w:rsid w:val="1E095E39"/>
    <w:rsid w:val="1E8A25A7"/>
    <w:rsid w:val="1F5E783A"/>
    <w:rsid w:val="2075655C"/>
    <w:rsid w:val="21486EDD"/>
    <w:rsid w:val="216F5FA2"/>
    <w:rsid w:val="21BF42AC"/>
    <w:rsid w:val="242D5132"/>
    <w:rsid w:val="2446522A"/>
    <w:rsid w:val="257D007F"/>
    <w:rsid w:val="258231E5"/>
    <w:rsid w:val="263C4B36"/>
    <w:rsid w:val="271B474C"/>
    <w:rsid w:val="27615C8C"/>
    <w:rsid w:val="27CB0D01"/>
    <w:rsid w:val="27FF5D03"/>
    <w:rsid w:val="28036035"/>
    <w:rsid w:val="28181849"/>
    <w:rsid w:val="28CE5770"/>
    <w:rsid w:val="291D1F32"/>
    <w:rsid w:val="2A03054E"/>
    <w:rsid w:val="2AB63109"/>
    <w:rsid w:val="2BC929C8"/>
    <w:rsid w:val="2BCB7BE8"/>
    <w:rsid w:val="2D256B25"/>
    <w:rsid w:val="2DF9330D"/>
    <w:rsid w:val="2E150FB0"/>
    <w:rsid w:val="2E6A4F48"/>
    <w:rsid w:val="2E713D34"/>
    <w:rsid w:val="2F9F4D71"/>
    <w:rsid w:val="30450107"/>
    <w:rsid w:val="313E79B5"/>
    <w:rsid w:val="31851BF8"/>
    <w:rsid w:val="31DD7F2F"/>
    <w:rsid w:val="32686C12"/>
    <w:rsid w:val="33C47C68"/>
    <w:rsid w:val="344717D4"/>
    <w:rsid w:val="346E05B1"/>
    <w:rsid w:val="348A2CD0"/>
    <w:rsid w:val="35083E35"/>
    <w:rsid w:val="352367F0"/>
    <w:rsid w:val="3661705E"/>
    <w:rsid w:val="37076A9B"/>
    <w:rsid w:val="3715740A"/>
    <w:rsid w:val="37621F23"/>
    <w:rsid w:val="376FFDD2"/>
    <w:rsid w:val="38AA750C"/>
    <w:rsid w:val="397D3044"/>
    <w:rsid w:val="39AE0F2E"/>
    <w:rsid w:val="3AA9344B"/>
    <w:rsid w:val="3BA42B0A"/>
    <w:rsid w:val="3D295E51"/>
    <w:rsid w:val="3D344362"/>
    <w:rsid w:val="3E10092B"/>
    <w:rsid w:val="3E15358C"/>
    <w:rsid w:val="3E7852F6"/>
    <w:rsid w:val="3E8F1AFA"/>
    <w:rsid w:val="3EC41446"/>
    <w:rsid w:val="3F2B5235"/>
    <w:rsid w:val="3F703557"/>
    <w:rsid w:val="3FEA6ECD"/>
    <w:rsid w:val="3FEE07F8"/>
    <w:rsid w:val="403D352D"/>
    <w:rsid w:val="4065604A"/>
    <w:rsid w:val="40DE038F"/>
    <w:rsid w:val="40EF0048"/>
    <w:rsid w:val="424830B5"/>
    <w:rsid w:val="428E0070"/>
    <w:rsid w:val="42BF55B5"/>
    <w:rsid w:val="432B2EF5"/>
    <w:rsid w:val="438A309B"/>
    <w:rsid w:val="438B764D"/>
    <w:rsid w:val="43FB6033"/>
    <w:rsid w:val="44077678"/>
    <w:rsid w:val="44ED3B99"/>
    <w:rsid w:val="45371169"/>
    <w:rsid w:val="456A4DC4"/>
    <w:rsid w:val="46A240EA"/>
    <w:rsid w:val="47F06C7E"/>
    <w:rsid w:val="48914416"/>
    <w:rsid w:val="492359B6"/>
    <w:rsid w:val="49A60395"/>
    <w:rsid w:val="49F033BE"/>
    <w:rsid w:val="4C364A01"/>
    <w:rsid w:val="4D264BAA"/>
    <w:rsid w:val="4DB63E36"/>
    <w:rsid w:val="4DBC1F35"/>
    <w:rsid w:val="4F155DD6"/>
    <w:rsid w:val="4F5F18A6"/>
    <w:rsid w:val="4F7A5C04"/>
    <w:rsid w:val="542A01A6"/>
    <w:rsid w:val="54F35CC3"/>
    <w:rsid w:val="55224D7B"/>
    <w:rsid w:val="55983288"/>
    <w:rsid w:val="563801F8"/>
    <w:rsid w:val="568E7D84"/>
    <w:rsid w:val="577619F1"/>
    <w:rsid w:val="57B530FE"/>
    <w:rsid w:val="58406E56"/>
    <w:rsid w:val="58884D19"/>
    <w:rsid w:val="58A81A34"/>
    <w:rsid w:val="59C56616"/>
    <w:rsid w:val="5A2D162A"/>
    <w:rsid w:val="5AC56A1F"/>
    <w:rsid w:val="5B381C12"/>
    <w:rsid w:val="5BE74621"/>
    <w:rsid w:val="5C210521"/>
    <w:rsid w:val="5C313AEE"/>
    <w:rsid w:val="5FEB302D"/>
    <w:rsid w:val="60EB2416"/>
    <w:rsid w:val="64844E76"/>
    <w:rsid w:val="64E8140A"/>
    <w:rsid w:val="653E34DC"/>
    <w:rsid w:val="6680424D"/>
    <w:rsid w:val="66CB7310"/>
    <w:rsid w:val="66DF7B8A"/>
    <w:rsid w:val="66FE6CC3"/>
    <w:rsid w:val="67584591"/>
    <w:rsid w:val="685E5C6B"/>
    <w:rsid w:val="6AA162E3"/>
    <w:rsid w:val="6AD20B92"/>
    <w:rsid w:val="6AF27BCC"/>
    <w:rsid w:val="6B7C3387"/>
    <w:rsid w:val="6BD62097"/>
    <w:rsid w:val="6C133511"/>
    <w:rsid w:val="6C9C6D62"/>
    <w:rsid w:val="6CC30793"/>
    <w:rsid w:val="6D5F7DD0"/>
    <w:rsid w:val="6E5B0E2F"/>
    <w:rsid w:val="6F1709EB"/>
    <w:rsid w:val="706802EF"/>
    <w:rsid w:val="70767FE6"/>
    <w:rsid w:val="707E3F74"/>
    <w:rsid w:val="70B12FF8"/>
    <w:rsid w:val="70F1722B"/>
    <w:rsid w:val="71F729DA"/>
    <w:rsid w:val="720C5EA7"/>
    <w:rsid w:val="7416389E"/>
    <w:rsid w:val="7468073D"/>
    <w:rsid w:val="75986535"/>
    <w:rsid w:val="76B93036"/>
    <w:rsid w:val="77222B24"/>
    <w:rsid w:val="77291B3A"/>
    <w:rsid w:val="77B32105"/>
    <w:rsid w:val="78672E63"/>
    <w:rsid w:val="78793F9B"/>
    <w:rsid w:val="7A33053A"/>
    <w:rsid w:val="7D562F5D"/>
    <w:rsid w:val="7E3F7E95"/>
    <w:rsid w:val="7EF24F07"/>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keepNext/>
      <w:keepLines/>
      <w:spacing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4">
    <w:name w:val="index 6"/>
    <w:next w:val="1"/>
    <w:unhideWhenUsed/>
    <w:qFormat/>
    <w:uiPriority w:val="99"/>
    <w:pPr>
      <w:widowControl w:val="0"/>
      <w:ind w:left="2100"/>
      <w:jc w:val="both"/>
    </w:pPr>
    <w:rPr>
      <w:rFonts w:ascii="Calibri" w:hAnsi="Calibri" w:eastAsia="宋体" w:cs="Times New Roman"/>
      <w:kern w:val="2"/>
      <w:sz w:val="21"/>
      <w:szCs w:val="22"/>
      <w:lang w:val="en-US" w:eastAsia="zh-CN" w:bidi="ar-SA"/>
    </w:rPr>
  </w:style>
  <w:style w:type="paragraph" w:styleId="5">
    <w:name w:val="Body Text"/>
    <w:basedOn w:val="1"/>
    <w:next w:val="6"/>
    <w:qFormat/>
    <w:uiPriority w:val="0"/>
    <w:pPr>
      <w:spacing w:after="120"/>
    </w:pPr>
  </w:style>
  <w:style w:type="paragraph" w:styleId="6">
    <w:name w:val="toc 5"/>
    <w:basedOn w:val="1"/>
    <w:next w:val="1"/>
    <w:qFormat/>
    <w:uiPriority w:val="99"/>
    <w:pPr>
      <w:ind w:left="1680" w:leftChars="800"/>
    </w:pPr>
    <w:rPr>
      <w:rFonts w:ascii="Times New Roman" w:hAnsi="Times New Roman" w:eastAsia="方正仿宋_GBK"/>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10">
    <w:name w:val="Normal (Web)"/>
    <w:qFormat/>
    <w:uiPriority w:val="0"/>
    <w:pPr>
      <w:spacing w:beforeAutospacing="1" w:afterAutospacing="1"/>
    </w:pPr>
    <w:rPr>
      <w:rFonts w:cs="Times New Roman" w:asciiTheme="minorEastAsia" w:hAnsiTheme="minorEastAsia" w:eastAsiaTheme="minorEastAsia"/>
      <w:sz w:val="24"/>
      <w:szCs w:val="24"/>
      <w:lang w:val="en-US" w:eastAsia="zh-CN" w:bidi="ar-SA"/>
    </w:rPr>
  </w:style>
  <w:style w:type="paragraph" w:customStyle="1" w:styleId="13">
    <w:name w:val="图表目录1"/>
    <w:next w:val="1"/>
    <w:qFormat/>
    <w:uiPriority w:val="99"/>
    <w:pPr>
      <w:widowControl w:val="0"/>
      <w:ind w:left="400" w:leftChars="200" w:hanging="200" w:hangingChars="200"/>
      <w:jc w:val="both"/>
    </w:pPr>
    <w:rPr>
      <w:rFonts w:ascii="Times New Roman" w:hAnsi="Times New Roman" w:eastAsia="宋体" w:cs="Calibri"/>
      <w:kern w:val="2"/>
      <w:sz w:val="21"/>
      <w:szCs w:val="21"/>
      <w:lang w:val="en-US" w:eastAsia="zh-CN" w:bidi="ar-SA"/>
    </w:rPr>
  </w:style>
  <w:style w:type="paragraph" w:customStyle="1" w:styleId="14">
    <w:name w:val="Default"/>
    <w:next w:val="1"/>
    <w:qFormat/>
    <w:uiPriority w:val="99"/>
    <w:pPr>
      <w:widowControl w:val="0"/>
      <w:autoSpaceDE w:val="0"/>
      <w:autoSpaceDN w:val="0"/>
      <w:adjustRightInd w:val="0"/>
    </w:pPr>
    <w:rPr>
      <w:rFonts w:ascii="方正小标宋简体" w:hAnsi="Calibri" w:eastAsia="方正小标宋简体" w:cs="Times New Roman"/>
      <w:color w:val="000000"/>
      <w:sz w:val="24"/>
      <w:lang w:val="en-US" w:eastAsia="zh-CN" w:bidi="ar-SA"/>
    </w:rPr>
  </w:style>
  <w:style w:type="paragraph" w:customStyle="1" w:styleId="15">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16">
    <w:name w:val="Body Text Indent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3025</Words>
  <Characters>3095</Characters>
  <Lines>22</Lines>
  <Paragraphs>6</Paragraphs>
  <TotalTime>8</TotalTime>
  <ScaleCrop>false</ScaleCrop>
  <LinksUpToDate>false</LinksUpToDate>
  <CharactersWithSpaces>3119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2020-10-26T11:06:00Z</dcterms:created>
  <dc:creator>Administrator</dc:creator>
  <cp:lastModifiedBy>温星星</cp:lastModifiedBy>
  <cp:lastPrinted>2024-01-04T09:48:00Z</cp:lastPrinted>
  <dcterms:modified xsi:type="dcterms:W3CDTF">2025-03-25T06:12:55Z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F6BB8BC0859143A3A05BACEBB8FECA4E</vt:lpwstr>
  </property>
  <property fmtid="{D5CDD505-2E9C-101B-9397-08002B2CF9AE}" pid="4" name="KSOTemplateDocerSaveRecord">
    <vt:lpwstr>eyJoZGlkIjoiZDRlMTI0ZmZkNWVkNDk2ZTg4NWYwOTQyMjQxMmY4NGEiLCJ1c2VySWQiOiIxMzIzODcwMDMzIn0=</vt:lpwstr>
  </property>
</Properties>
</file>