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color w:val="000000"/>
          <w:kern w:val="0"/>
          <w:sz w:val="44"/>
          <w:szCs w:val="44"/>
        </w:rPr>
      </w:pPr>
      <w:bookmarkStart w:id="0" w:name="_GoBack"/>
      <w:bookmarkEnd w:id="0"/>
    </w:p>
    <w:p>
      <w:pPr>
        <w:spacing w:line="560" w:lineRule="exact"/>
        <w:jc w:val="center"/>
        <w:rPr>
          <w:rFonts w:eastAsia="方正小标宋_GBK"/>
          <w:color w:val="000000"/>
          <w:kern w:val="0"/>
          <w:sz w:val="44"/>
          <w:szCs w:val="44"/>
        </w:rPr>
      </w:pPr>
    </w:p>
    <w:p>
      <w:pPr>
        <w:spacing w:line="560" w:lineRule="exact"/>
        <w:jc w:val="center"/>
        <w:rPr>
          <w:rFonts w:eastAsia="方正小标宋_GBK"/>
          <w:color w:val="000000"/>
          <w:kern w:val="0"/>
          <w:sz w:val="44"/>
          <w:szCs w:val="44"/>
        </w:rPr>
      </w:pPr>
    </w:p>
    <w:p>
      <w:pPr>
        <w:spacing w:line="560" w:lineRule="exact"/>
        <w:jc w:val="center"/>
        <w:rPr>
          <w:rFonts w:eastAsia="方正小标宋_GBK"/>
          <w:color w:val="000000"/>
          <w:kern w:val="0"/>
          <w:sz w:val="44"/>
          <w:szCs w:val="44"/>
        </w:rPr>
      </w:pPr>
    </w:p>
    <w:p>
      <w:pPr>
        <w:spacing w:line="560" w:lineRule="exact"/>
        <w:jc w:val="center"/>
        <w:rPr>
          <w:rFonts w:eastAsia="方正小标宋_GBK"/>
          <w:color w:val="000000"/>
          <w:kern w:val="0"/>
          <w:sz w:val="44"/>
          <w:szCs w:val="44"/>
        </w:rPr>
      </w:pPr>
    </w:p>
    <w:p>
      <w:pPr>
        <w:spacing w:line="560" w:lineRule="exact"/>
        <w:jc w:val="center"/>
        <w:rPr>
          <w:rFonts w:eastAsia="方正小标宋_GBK"/>
          <w:color w:val="000000"/>
          <w:kern w:val="0"/>
          <w:sz w:val="44"/>
          <w:szCs w:val="44"/>
        </w:rPr>
      </w:pPr>
    </w:p>
    <w:p>
      <w:pPr>
        <w:spacing w:line="560" w:lineRule="exact"/>
        <w:rPr>
          <w:rFonts w:eastAsia="仿宋_GB2312"/>
          <w:szCs w:val="32"/>
        </w:rPr>
      </w:pPr>
    </w:p>
    <w:p>
      <w:pPr>
        <w:spacing w:line="560" w:lineRule="exact"/>
        <w:rPr>
          <w:rFonts w:eastAsia="仿宋_GB2312"/>
          <w:szCs w:val="32"/>
        </w:rPr>
      </w:pPr>
      <w:r>
        <w:rPr>
          <w:bCs/>
          <w:color w:val="000000"/>
          <w:szCs w:val="32"/>
        </w:rPr>
        <w:t>丰都发改委文〔2023〕17号                签发人：</w:t>
      </w:r>
      <w:r>
        <w:rPr>
          <w:rFonts w:eastAsia="方正楷体_GBK"/>
          <w:bCs/>
          <w:color w:val="000000"/>
          <w:szCs w:val="32"/>
        </w:rPr>
        <w:t>邓清华</w:t>
      </w:r>
    </w:p>
    <w:p>
      <w:pPr>
        <w:spacing w:line="560" w:lineRule="exact"/>
        <w:rPr>
          <w:rFonts w:eastAsia="方正小标宋_GBK"/>
          <w:color w:val="000000"/>
          <w:kern w:val="0"/>
          <w:sz w:val="44"/>
          <w:szCs w:val="44"/>
        </w:rPr>
      </w:pPr>
    </w:p>
    <w:p>
      <w:pPr>
        <w:spacing w:line="560" w:lineRule="exact"/>
        <w:rPr>
          <w:rFonts w:eastAsia="方正小标宋_GBK"/>
          <w:color w:val="000000"/>
          <w:kern w:val="0"/>
          <w:sz w:val="44"/>
          <w:szCs w:val="44"/>
        </w:rPr>
      </w:pPr>
    </w:p>
    <w:p>
      <w:pPr>
        <w:spacing w:line="560" w:lineRule="exact"/>
        <w:jc w:val="center"/>
        <w:rPr>
          <w:rFonts w:eastAsia="方正小标宋_GBK"/>
          <w:color w:val="000000"/>
          <w:kern w:val="0"/>
          <w:sz w:val="44"/>
          <w:szCs w:val="44"/>
        </w:rPr>
      </w:pPr>
      <w:r>
        <w:rPr>
          <w:rFonts w:eastAsia="方正小标宋_GBK"/>
          <w:color w:val="000000"/>
          <w:kern w:val="0"/>
          <w:sz w:val="44"/>
          <w:szCs w:val="44"/>
        </w:rPr>
        <w:t>丰都县发展和改革委员会</w:t>
      </w:r>
    </w:p>
    <w:p>
      <w:pPr>
        <w:spacing w:line="560" w:lineRule="exact"/>
        <w:jc w:val="center"/>
        <w:rPr>
          <w:rFonts w:eastAsia="方正小标宋_GBK"/>
          <w:color w:val="000000"/>
          <w:kern w:val="0"/>
          <w:sz w:val="44"/>
          <w:szCs w:val="44"/>
        </w:rPr>
      </w:pPr>
      <w:r>
        <w:rPr>
          <w:rFonts w:eastAsia="方正小标宋_GBK"/>
          <w:color w:val="000000"/>
          <w:kern w:val="0"/>
          <w:sz w:val="44"/>
          <w:szCs w:val="44"/>
        </w:rPr>
        <w:t>关于2022年法治政府建设情况的报告</w:t>
      </w:r>
    </w:p>
    <w:p>
      <w:pPr>
        <w:adjustRightInd w:val="0"/>
        <w:snapToGrid w:val="0"/>
        <w:spacing w:line="560" w:lineRule="exact"/>
        <w:rPr>
          <w:szCs w:val="32"/>
        </w:rPr>
      </w:pPr>
    </w:p>
    <w:p>
      <w:pPr>
        <w:adjustRightInd w:val="0"/>
        <w:snapToGrid w:val="0"/>
        <w:spacing w:line="560" w:lineRule="exact"/>
        <w:rPr>
          <w:szCs w:val="32"/>
        </w:rPr>
      </w:pPr>
      <w:r>
        <w:rPr>
          <w:szCs w:val="32"/>
        </w:rPr>
        <w:t>中共丰都县委全面依法治县委员会办公室：</w:t>
      </w:r>
    </w:p>
    <w:p>
      <w:pPr>
        <w:adjustRightInd w:val="0"/>
        <w:snapToGrid w:val="0"/>
        <w:spacing w:line="560" w:lineRule="exact"/>
        <w:ind w:firstLine="632" w:firstLineChars="200"/>
        <w:rPr>
          <w:szCs w:val="32"/>
        </w:rPr>
      </w:pPr>
      <w:r>
        <w:rPr>
          <w:szCs w:val="32"/>
        </w:rPr>
        <w:t>我委坚持以习近平新时代中国特色社会主义思想为指导，深入学习习近平法治思想和中央全面依法治国工作会议精神，认真贯彻落实《2022年全县法治政府建设工作要点》（丰都府办发〔2022〕7号）文件要求，持续推进依法行政，依法履行法定职责，现将法治政府建设工作总结如下：</w:t>
      </w:r>
    </w:p>
    <w:p>
      <w:pPr>
        <w:adjustRightInd w:val="0"/>
        <w:snapToGrid w:val="0"/>
        <w:spacing w:line="560" w:lineRule="exact"/>
        <w:ind w:firstLine="632" w:firstLineChars="200"/>
        <w:rPr>
          <w:rFonts w:eastAsia="方正黑体_GBK"/>
          <w:color w:val="000000"/>
          <w:szCs w:val="32"/>
        </w:rPr>
      </w:pPr>
      <w:r>
        <w:rPr>
          <w:rFonts w:eastAsia="方正黑体_GBK"/>
          <w:color w:val="000000"/>
          <w:szCs w:val="32"/>
        </w:rPr>
        <w:t>一、切实履行党政主要负责人推进法治建设第一责任人职责</w:t>
      </w:r>
    </w:p>
    <w:p>
      <w:pPr>
        <w:pStyle w:val="4"/>
        <w:widowControl/>
        <w:adjustRightInd w:val="0"/>
        <w:snapToGrid w:val="0"/>
        <w:spacing w:line="560" w:lineRule="exact"/>
        <w:ind w:firstLine="632" w:firstLineChars="200"/>
        <w:jc w:val="both"/>
        <w:rPr>
          <w:rFonts w:hint="default" w:ascii="Times New Roman" w:hAnsi="Times New Roman"/>
          <w:sz w:val="32"/>
          <w:szCs w:val="32"/>
        </w:rPr>
      </w:pPr>
      <w:r>
        <w:rPr>
          <w:rFonts w:hint="default" w:ascii="Times New Roman" w:hAnsi="Times New Roman"/>
          <w:sz w:val="32"/>
          <w:szCs w:val="32"/>
        </w:rPr>
        <w:t>按照法治政府建设工作要求，结合实际</w:t>
      </w:r>
      <w:r>
        <w:rPr>
          <w:rFonts w:hint="default" w:ascii="Times New Roman" w:hAnsi="Times New Roman"/>
          <w:color w:val="000000"/>
          <w:sz w:val="32"/>
          <w:szCs w:val="32"/>
        </w:rPr>
        <w:t>，我委成立了由委主要领导任组长，分管法规科领导任副组长，法规科、公共资源交易监督科、投资科、能源科、价格管理科负责人为成员的法治政府建设工作领导小组。主要领导作为推进法治建设工作第一责任人每月</w:t>
      </w:r>
      <w:r>
        <w:rPr>
          <w:rFonts w:hint="default" w:ascii="Times New Roman" w:hAnsi="Times New Roman"/>
          <w:sz w:val="32"/>
          <w:szCs w:val="32"/>
        </w:rPr>
        <w:t>主持召开专题会，</w:t>
      </w:r>
      <w:r>
        <w:rPr>
          <w:rFonts w:hint="default" w:ascii="Times New Roman" w:hAnsi="Times New Roman"/>
          <w:color w:val="000000"/>
          <w:sz w:val="32"/>
          <w:szCs w:val="32"/>
        </w:rPr>
        <w:t>制定习近平法治思想学习计划，</w:t>
      </w:r>
      <w:r>
        <w:rPr>
          <w:rFonts w:hint="default" w:ascii="Times New Roman" w:hAnsi="Times New Roman"/>
          <w:sz w:val="32"/>
          <w:szCs w:val="32"/>
        </w:rPr>
        <w:t>学习贯彻习近平法治思想和中央全面依法治国工作会议精神，组织职工开展习近平法治思想专题学习6次；</w:t>
      </w:r>
      <w:r>
        <w:rPr>
          <w:rFonts w:hint="default" w:ascii="Times New Roman" w:hAnsi="Times New Roman"/>
          <w:color w:val="000000"/>
          <w:sz w:val="32"/>
          <w:szCs w:val="32"/>
        </w:rPr>
        <w:t>建立中心组集体学法制度，按照丰委宣发</w:t>
      </w:r>
      <w:r>
        <w:rPr>
          <w:rFonts w:hint="default" w:ascii="Times New Roman" w:hAnsi="Times New Roman"/>
          <w:sz w:val="32"/>
          <w:szCs w:val="32"/>
        </w:rPr>
        <w:t>〔2022〕8号文件要求，组织全体职工针对《习近平法治思想学习纲要》</w:t>
      </w:r>
      <w:r>
        <w:rPr>
          <w:rFonts w:hint="default" w:ascii="Times New Roman" w:hAnsi="Times New Roman"/>
          <w:color w:val="000000"/>
          <w:sz w:val="32"/>
          <w:szCs w:val="32"/>
        </w:rPr>
        <w:t>采取自学、集中学习、以案说法和基地警示教育相结合，定期确定自学知识点，适</w:t>
      </w:r>
      <w:r>
        <w:rPr>
          <w:rFonts w:ascii="Times New Roman" w:hAnsi="Times New Roman"/>
          <w:color w:val="000000"/>
          <w:sz w:val="32"/>
          <w:szCs w:val="32"/>
        </w:rPr>
        <w:t>时</w:t>
      </w:r>
      <w:r>
        <w:rPr>
          <w:rFonts w:hint="default" w:ascii="Times New Roman" w:hAnsi="Times New Roman"/>
          <w:color w:val="000000"/>
          <w:sz w:val="32"/>
          <w:szCs w:val="32"/>
        </w:rPr>
        <w:t>开展集中学习讨论共6次；创建19点课堂及田间课堂、线上课堂、微信课堂及书香课堂，将习近平法治思想纳入讲课内容</w:t>
      </w:r>
      <w:r>
        <w:rPr>
          <w:rFonts w:hint="default" w:ascii="Times New Roman" w:hAnsi="Times New Roman"/>
          <w:color w:val="333333"/>
          <w:sz w:val="32"/>
          <w:szCs w:val="32"/>
        </w:rPr>
        <w:t>中</w:t>
      </w:r>
      <w:r>
        <w:rPr>
          <w:rFonts w:hint="default" w:ascii="Times New Roman" w:hAnsi="Times New Roman"/>
          <w:color w:val="000000"/>
          <w:sz w:val="32"/>
          <w:szCs w:val="32"/>
        </w:rPr>
        <w:t>，运用法治思维和法治方式深化改革、推动发展、化解矛盾、维护稳定，对法治建设重要工作亲自部署、重大问题亲自过问、重点环节亲自协调、重要任务亲自督办。</w:t>
      </w:r>
    </w:p>
    <w:p>
      <w:pPr>
        <w:adjustRightInd w:val="0"/>
        <w:snapToGrid w:val="0"/>
        <w:spacing w:line="560" w:lineRule="exact"/>
        <w:ind w:firstLine="632" w:firstLineChars="200"/>
        <w:rPr>
          <w:rFonts w:eastAsia="方正小标宋_GBK"/>
          <w:sz w:val="44"/>
          <w:szCs w:val="44"/>
        </w:rPr>
      </w:pPr>
      <w:r>
        <w:rPr>
          <w:rFonts w:eastAsia="方正黑体_GBK"/>
          <w:color w:val="000000"/>
          <w:szCs w:val="32"/>
        </w:rPr>
        <w:t>二、强化普法宣传和法治教育培训</w:t>
      </w:r>
    </w:p>
    <w:p>
      <w:pPr>
        <w:adjustRightInd w:val="0"/>
        <w:snapToGrid w:val="0"/>
        <w:spacing w:line="560" w:lineRule="exact"/>
        <w:ind w:firstLine="632" w:firstLineChars="200"/>
        <w:rPr>
          <w:szCs w:val="32"/>
        </w:rPr>
      </w:pPr>
      <w:r>
        <w:rPr>
          <w:szCs w:val="32"/>
        </w:rPr>
        <w:t>制定全委普法学习计划，并将法律知识掌握和运用情况作为干部年度考核和评价的重要内容，做到年终有检查，阶段有测试，不断夯实干部职工普法守法工作基础。</w:t>
      </w:r>
      <w:r>
        <w:rPr>
          <w:b/>
          <w:szCs w:val="32"/>
        </w:rPr>
        <w:t>一是</w:t>
      </w:r>
      <w:r>
        <w:rPr>
          <w:szCs w:val="32"/>
        </w:rPr>
        <w:t>开展以“法润千里 治汇广大”为主题的法治宣传活动。组织职工开展了4次专题法治宣传教育活动，提高职工法治意识和法治理念水平。</w:t>
      </w:r>
      <w:r>
        <w:rPr>
          <w:b/>
          <w:szCs w:val="32"/>
        </w:rPr>
        <w:t>二是</w:t>
      </w:r>
      <w:r>
        <w:rPr>
          <w:szCs w:val="32"/>
        </w:rPr>
        <w:t>加强《中华人民共和国宪法》和《中华人民共和国民法典》</w:t>
      </w:r>
      <w:r>
        <w:rPr>
          <w:rFonts w:hint="eastAsia"/>
          <w:szCs w:val="32"/>
        </w:rPr>
        <w:t>《中华人民共和国反有组织犯罪法》</w:t>
      </w:r>
      <w:r>
        <w:rPr>
          <w:szCs w:val="32"/>
        </w:rPr>
        <w:t>专题宣传学习。组织干部职工开展对《中华人民共和国宪法》《中华人民共和国民法典》知识的深入学习，通过自学、集体学习和知识竞赛等方式掌握宪法知识，提高法治素养。</w:t>
      </w:r>
      <w:r>
        <w:rPr>
          <w:b/>
          <w:szCs w:val="32"/>
        </w:rPr>
        <w:t>三是</w:t>
      </w:r>
      <w:r>
        <w:rPr>
          <w:szCs w:val="32"/>
        </w:rPr>
        <w:t>深入学习行政法规。根据项目投资审批、招投标、价格、粮油、能源等职能职责特点，组织干部职工深入学习国家《政府投资条例》</w:t>
      </w:r>
      <w:r>
        <w:rPr>
          <w:rFonts w:hint="eastAsia"/>
          <w:szCs w:val="32"/>
        </w:rPr>
        <w:t>《中华人民共和国招标投标法》</w:t>
      </w:r>
      <w:r>
        <w:rPr>
          <w:rFonts w:hint="eastAsia"/>
          <w:szCs w:val="32"/>
          <w:lang w:eastAsia="zh-CN"/>
        </w:rPr>
        <w:t>《中华人民共和国招标投标法实施条例》</w:t>
      </w:r>
      <w:r>
        <w:rPr>
          <w:szCs w:val="32"/>
        </w:rPr>
        <w:t>《工程建设项目招标范围和规模标准规定》《</w:t>
      </w:r>
      <w:r>
        <w:rPr>
          <w:rFonts w:hint="eastAsia"/>
          <w:szCs w:val="32"/>
        </w:rPr>
        <w:t>中华人民共和国</w:t>
      </w:r>
      <w:r>
        <w:rPr>
          <w:szCs w:val="32"/>
        </w:rPr>
        <w:t>价格法》《重庆市招投标活动投诉处理实施细则》《</w:t>
      </w:r>
      <w:r>
        <w:rPr>
          <w:rFonts w:hint="eastAsia"/>
          <w:szCs w:val="32"/>
        </w:rPr>
        <w:t>中华人民共和国</w:t>
      </w:r>
      <w:r>
        <w:rPr>
          <w:szCs w:val="32"/>
        </w:rPr>
        <w:t>行政处罚法》《公共资源交易监督管理改革的意见》《重庆市政务数据管理暂行办法》等法律法规，为各科室规范行政、依法行政打下基础。</w:t>
      </w:r>
      <w:r>
        <w:rPr>
          <w:b/>
          <w:szCs w:val="32"/>
        </w:rPr>
        <w:t>四是</w:t>
      </w:r>
      <w:r>
        <w:rPr>
          <w:szCs w:val="32"/>
        </w:rPr>
        <w:t>组织开展法治宣传活动。组织职工参加年度法治理论考试，参考率、合格率达100%。积极开展主题宣传活动，通过设立宣传台、发放资料、网络平台向群众讲解宣传法律、法规知识。</w:t>
      </w:r>
    </w:p>
    <w:p>
      <w:pPr>
        <w:adjustRightInd w:val="0"/>
        <w:snapToGrid w:val="0"/>
        <w:spacing w:line="560" w:lineRule="exact"/>
        <w:ind w:firstLine="632" w:firstLineChars="200"/>
        <w:rPr>
          <w:rFonts w:eastAsia="方正黑体_GBK"/>
          <w:bCs/>
          <w:color w:val="000000"/>
          <w:szCs w:val="32"/>
          <w:lang w:val="zh-CN"/>
        </w:rPr>
      </w:pPr>
      <w:r>
        <w:rPr>
          <w:rFonts w:eastAsia="方正黑体_GBK"/>
          <w:bCs/>
          <w:color w:val="000000"/>
          <w:szCs w:val="32"/>
          <w:lang w:val="zh-CN"/>
        </w:rPr>
        <w:t>三、优化法治化营商环境</w:t>
      </w:r>
    </w:p>
    <w:p>
      <w:pPr>
        <w:adjustRightInd w:val="0"/>
        <w:snapToGrid w:val="0"/>
        <w:spacing w:line="560" w:lineRule="exact"/>
        <w:ind w:firstLine="632" w:firstLineChars="200"/>
        <w:rPr>
          <w:bCs/>
          <w:color w:val="000000"/>
          <w:szCs w:val="32"/>
          <w:lang w:val="zh-CN"/>
        </w:rPr>
      </w:pPr>
      <w:r>
        <w:rPr>
          <w:bCs/>
          <w:color w:val="000000"/>
          <w:szCs w:val="32"/>
          <w:lang w:val="zh-CN"/>
        </w:rPr>
        <w:t>深入贯彻落实“放管服”改革要求，打造市场化国际化法治化营商环境，紧紧围绕《重庆市优化营商环境条例》《丰都县营商环境创新试点方案》等政策文件开展工作，以“1+4”模式（“1”即以“问题整改”为抓手，把问题整改工作贯穿于优化营商环境全过程，以问题为导向促进营商环境持续优化；“4”即抓实“品牌创建、流程再造、流量助力、设岗立哨”四大重点任务）推动落实“减材料、缩时间、降成本、提效率”目标要求，优化行政审批流程，提升干部“精气神”，形成全县上下抓营商环境的浓厚氛围。探索建立营商环境观察员制度，对水电气要素保障进行流程再造，改变传统宣传方式，利用“抖音”新媒体把营商环境“抖”进百姓心中，营造“人人都是营商环境、事事都是营商环境”良好氛围，进一步增强干部职工服务民营企业的政治意识、法治意识和责任意识，切实提高法治化水平，着力保障民营企业健康发展。</w:t>
      </w:r>
    </w:p>
    <w:p>
      <w:pPr>
        <w:adjustRightInd w:val="0"/>
        <w:snapToGrid w:val="0"/>
        <w:spacing w:line="560" w:lineRule="exact"/>
        <w:ind w:firstLine="632" w:firstLineChars="200"/>
        <w:rPr>
          <w:rFonts w:eastAsia="方正楷体_GBK"/>
          <w:bCs/>
          <w:color w:val="000000"/>
          <w:szCs w:val="32"/>
        </w:rPr>
      </w:pPr>
      <w:r>
        <w:rPr>
          <w:rFonts w:eastAsia="方正楷体_GBK"/>
          <w:bCs/>
          <w:color w:val="000000"/>
          <w:szCs w:val="32"/>
        </w:rPr>
        <w:t>（一）构建依法行政机制</w:t>
      </w:r>
    </w:p>
    <w:p>
      <w:pPr>
        <w:adjustRightInd w:val="0"/>
        <w:snapToGrid w:val="0"/>
        <w:spacing w:line="560" w:lineRule="exact"/>
        <w:ind w:firstLine="612" w:firstLineChars="200"/>
        <w:rPr>
          <w:b/>
          <w:color w:val="000000"/>
          <w:szCs w:val="32"/>
        </w:rPr>
      </w:pPr>
      <w:r>
        <w:rPr>
          <w:color w:val="000000"/>
          <w:kern w:val="0"/>
          <w:sz w:val="31"/>
          <w:szCs w:val="31"/>
        </w:rPr>
        <w:t>我委在政务服务一体化“渝快办”平台已全部承接的行政权力事项分别为行政许可30项、行政处罚20项、行政确认1项、行政奖励1项、行政裁决1项、其他行政权力8项、公共服务6项等，按照政务服务相关要求，线上线下同时向县级相关单位公布受理、办结所需的有关依据、条件、程序、时限、材料、示范文本、办事指南、系统操作等资料，确保执行标准“上下一致，统一规范”。按照“规范化、标准化、流程化”要求，提升窗口服务人员业务水平，让办事群众切实体会“不跑冤枉路、不进弹簧门、不看差脸色”的获得感，进一步提升行政审批效率和满意度。严格落实“容缺受理”和“并联审批”制度，行政审批事项运行顺畅，切实做到“接的住、批得快、管得好”。</w:t>
      </w:r>
    </w:p>
    <w:p>
      <w:pPr>
        <w:adjustRightInd w:val="0"/>
        <w:snapToGrid w:val="0"/>
        <w:spacing w:line="560" w:lineRule="exact"/>
        <w:ind w:firstLine="632" w:firstLineChars="200"/>
        <w:rPr>
          <w:rFonts w:eastAsia="方正楷体_GBK"/>
          <w:bCs/>
          <w:color w:val="000000"/>
          <w:szCs w:val="32"/>
        </w:rPr>
      </w:pPr>
      <w:r>
        <w:rPr>
          <w:rFonts w:eastAsia="方正楷体_GBK"/>
          <w:bCs/>
          <w:color w:val="000000"/>
          <w:szCs w:val="32"/>
        </w:rPr>
        <w:t>（二）规范项目行政审批</w:t>
      </w:r>
    </w:p>
    <w:p>
      <w:pPr>
        <w:adjustRightInd w:val="0"/>
        <w:snapToGrid w:val="0"/>
        <w:spacing w:line="560" w:lineRule="exact"/>
        <w:ind w:firstLine="632" w:firstLineChars="200"/>
        <w:rPr>
          <w:color w:val="000000"/>
          <w:kern w:val="0"/>
          <w:szCs w:val="32"/>
        </w:rPr>
      </w:pPr>
      <w:r>
        <w:rPr>
          <w:b/>
          <w:color w:val="000000"/>
          <w:kern w:val="0"/>
          <w:szCs w:val="32"/>
        </w:rPr>
        <w:t>一是</w:t>
      </w:r>
      <w:r>
        <w:rPr>
          <w:color w:val="000000"/>
          <w:kern w:val="0"/>
          <w:szCs w:val="32"/>
        </w:rPr>
        <w:t>项目审批更加规范。坚持“法定职责必须为，法无授权不可为”，严格执行《政府投资条例》《重庆市政府投资管理办法》《重庆市市场准入负面清单》《四川省、重庆市长江经济带发展负面清单实施细则（试行）》《丰都县政府投资管理办理》等规定。认真落实县委、县政府对项目审批工作的要求，严格控制设计变更。社会投资项目严格按备案规定执行，对列入不予准入类的项目，一律不得准入，对列入限制准入类的项目，满足相应行业要求后方可报我委按权限备案；对未列入不予准入、限制准入的项目，各类市场主体皆可依法平等进入。</w:t>
      </w:r>
      <w:r>
        <w:rPr>
          <w:b/>
          <w:color w:val="000000"/>
          <w:kern w:val="0"/>
          <w:szCs w:val="32"/>
        </w:rPr>
        <w:t>二是</w:t>
      </w:r>
      <w:r>
        <w:rPr>
          <w:color w:val="000000"/>
          <w:kern w:val="0"/>
          <w:szCs w:val="32"/>
        </w:rPr>
        <w:t>深化行政审批制度改革，提高行政审批效率。严格执行《重庆市投资项目在线服务监管平台运行管理暂行办法》《投资项目代码应用管理服务指南》，所有固定资产投资项目实行项目代码制度，利用项目代码协同部门管理，提高服务水平。落实“三集中、三到位”， 实行“一窗受理、分类审批、统一出件”，未出现行政许可事项超期办结现象。</w:t>
      </w:r>
    </w:p>
    <w:p>
      <w:pPr>
        <w:adjustRightInd w:val="0"/>
        <w:snapToGrid w:val="0"/>
        <w:spacing w:line="560" w:lineRule="exact"/>
        <w:ind w:firstLine="632" w:firstLineChars="200"/>
        <w:rPr>
          <w:rFonts w:eastAsia="方正楷体_GBK"/>
          <w:bCs/>
          <w:color w:val="000000"/>
          <w:szCs w:val="32"/>
        </w:rPr>
      </w:pPr>
      <w:r>
        <w:rPr>
          <w:rFonts w:eastAsia="方正楷体_GBK"/>
          <w:bCs/>
          <w:color w:val="000000"/>
          <w:szCs w:val="32"/>
        </w:rPr>
        <w:t>（三）严格落实市场准入</w:t>
      </w:r>
    </w:p>
    <w:p>
      <w:pPr>
        <w:adjustRightInd w:val="0"/>
        <w:snapToGrid w:val="0"/>
        <w:spacing w:line="560" w:lineRule="exact"/>
        <w:ind w:firstLine="632" w:firstLineChars="200"/>
        <w:rPr>
          <w:b/>
          <w:color w:val="000000"/>
          <w:szCs w:val="32"/>
        </w:rPr>
      </w:pPr>
      <w:r>
        <w:rPr>
          <w:b/>
          <w:color w:val="000000"/>
          <w:szCs w:val="32"/>
        </w:rPr>
        <w:t>一是</w:t>
      </w:r>
      <w:r>
        <w:rPr>
          <w:color w:val="000000"/>
          <w:kern w:val="0"/>
          <w:szCs w:val="32"/>
        </w:rPr>
        <w:t>实行统一的市场准入制度，落实市场准入负面清单。严格执行《重庆市产业投资准入工作手册》（渝发改投〔2018〕541号）、《四川省、重庆市长江经济带发展负面清单实施细则（试行）》（川长江办〔2022〕17号），对列入不予准入类的项目，县政府投资主管部门不得予以审批、核准、备案。</w:t>
      </w:r>
      <w:r>
        <w:rPr>
          <w:b/>
          <w:color w:val="000000"/>
          <w:kern w:val="0"/>
          <w:sz w:val="31"/>
          <w:szCs w:val="31"/>
        </w:rPr>
        <w:t>二是</w:t>
      </w:r>
      <w:r>
        <w:rPr>
          <w:color w:val="000000"/>
          <w:kern w:val="0"/>
          <w:szCs w:val="32"/>
        </w:rPr>
        <w:t>加大规范价格秩序力度，严格执行行政事业性收费目录。</w:t>
      </w:r>
      <w:r>
        <w:rPr>
          <w:color w:val="000000"/>
          <w:kern w:val="0"/>
          <w:sz w:val="31"/>
          <w:szCs w:val="31"/>
        </w:rPr>
        <w:t>对全县行政事业性收费项目实行收费动态监管，在政务网及时公布《重庆市公布行政事业性收费目录》，做到清单之外无收费。</w:t>
      </w:r>
    </w:p>
    <w:p>
      <w:pPr>
        <w:adjustRightInd w:val="0"/>
        <w:snapToGrid w:val="0"/>
        <w:spacing w:line="560" w:lineRule="exact"/>
        <w:ind w:firstLine="632" w:firstLineChars="200"/>
        <w:rPr>
          <w:rFonts w:eastAsia="方正楷体_GBK"/>
          <w:bCs/>
          <w:color w:val="000000"/>
          <w:szCs w:val="32"/>
        </w:rPr>
      </w:pPr>
      <w:r>
        <w:rPr>
          <w:rFonts w:eastAsia="方正楷体_GBK"/>
          <w:bCs/>
          <w:color w:val="000000"/>
          <w:szCs w:val="32"/>
        </w:rPr>
        <w:t>（四）认真开展规范性文件备案</w:t>
      </w:r>
    </w:p>
    <w:p>
      <w:pPr>
        <w:adjustRightInd w:val="0"/>
        <w:snapToGrid w:val="0"/>
        <w:spacing w:line="560" w:lineRule="exact"/>
        <w:ind w:firstLine="612" w:firstLineChars="200"/>
        <w:rPr>
          <w:b/>
          <w:color w:val="000000"/>
          <w:szCs w:val="32"/>
        </w:rPr>
      </w:pPr>
      <w:r>
        <w:rPr>
          <w:color w:val="000000"/>
          <w:kern w:val="0"/>
          <w:sz w:val="31"/>
          <w:szCs w:val="31"/>
        </w:rPr>
        <w:t>坚持以法律为准绳，高标准严要求，聘请法律顾问对规范性文件开展合法</w:t>
      </w:r>
      <w:r>
        <w:rPr>
          <w:rFonts w:hint="eastAsia"/>
          <w:color w:val="000000"/>
          <w:kern w:val="0"/>
          <w:sz w:val="31"/>
          <w:szCs w:val="31"/>
        </w:rPr>
        <w:t>性</w:t>
      </w:r>
      <w:r>
        <w:rPr>
          <w:color w:val="000000"/>
          <w:kern w:val="0"/>
          <w:sz w:val="31"/>
          <w:szCs w:val="31"/>
        </w:rPr>
        <w:t>审查，涉及市场主体的进行市场公平竞争性审查，切实做到严格依法行政。</w:t>
      </w:r>
      <w:r>
        <w:rPr>
          <w:szCs w:val="32"/>
        </w:rPr>
        <w:t>按照“谁起草文件，谁负责备案报告及文件制定说明”的原则，各类规范性文件经分管领导审核签批后上报，同时主动健全备案文件台账，形成《备案文件</w:t>
      </w:r>
      <w:r>
        <w:rPr>
          <w:rFonts w:hint="eastAsia"/>
          <w:szCs w:val="32"/>
        </w:rPr>
        <w:t>登记簿</w:t>
      </w:r>
      <w:r>
        <w:rPr>
          <w:szCs w:val="32"/>
        </w:rPr>
        <w:t>》《备案文件上报签发单》，做到了有件必备、及时报备和规范报备。</w:t>
      </w:r>
    </w:p>
    <w:p>
      <w:pPr>
        <w:adjustRightInd w:val="0"/>
        <w:snapToGrid w:val="0"/>
        <w:spacing w:line="560" w:lineRule="exact"/>
        <w:ind w:firstLine="632" w:firstLineChars="200"/>
        <w:rPr>
          <w:rFonts w:eastAsia="方正楷体_GBK"/>
          <w:bCs/>
          <w:color w:val="000000"/>
          <w:szCs w:val="32"/>
        </w:rPr>
      </w:pPr>
      <w:r>
        <w:rPr>
          <w:rFonts w:eastAsia="方正楷体_GBK"/>
          <w:bCs/>
          <w:color w:val="000000"/>
          <w:szCs w:val="32"/>
        </w:rPr>
        <w:t>（五）严格执行招投标监管</w:t>
      </w:r>
    </w:p>
    <w:p>
      <w:pPr>
        <w:adjustRightInd w:val="0"/>
        <w:snapToGrid w:val="0"/>
        <w:spacing w:line="560" w:lineRule="exact"/>
        <w:ind w:firstLine="632" w:firstLineChars="200"/>
        <w:rPr>
          <w:szCs w:val="32"/>
        </w:rPr>
      </w:pPr>
      <w:r>
        <w:rPr>
          <w:b/>
          <w:szCs w:val="32"/>
        </w:rPr>
        <w:t>一是</w:t>
      </w:r>
      <w:r>
        <w:rPr>
          <w:szCs w:val="32"/>
        </w:rPr>
        <w:t>严格执行招投标法律法规。严格执行全市统一的电子招投标系统，2022年全县工程招投标实现电子招投标率100%；严格规范使用重庆市公共资源管理局印发的工程类标准招标文件范本，2022年完成施工类公开招投标项目43个、节约资金1.07亿元，节资率28%。</w:t>
      </w:r>
      <w:r>
        <w:rPr>
          <w:b/>
          <w:szCs w:val="32"/>
        </w:rPr>
        <w:t>二是</w:t>
      </w:r>
      <w:r>
        <w:rPr>
          <w:szCs w:val="32"/>
        </w:rPr>
        <w:t>完善招投标监管体制机制。印发《关于进一步规范工程招标投标领域有关工作的通知》《关于加强低价中标国有投资项目管理的通知》等制度文件7个，构建起程序严密、监督有效的管控机制，扎紧制度笼子，促进我县工程招投标管理的制度化、规范化。</w:t>
      </w:r>
      <w:r>
        <w:rPr>
          <w:b/>
          <w:szCs w:val="32"/>
        </w:rPr>
        <w:t>三是</w:t>
      </w:r>
      <w:r>
        <w:rPr>
          <w:szCs w:val="32"/>
        </w:rPr>
        <w:t>严格招投标执法监督检查。1家中标候选人因提供的资料不实，被信用计分6分。1家中标单位因不缴纳低价风险保证金，被没收投标保证金20万并纳入信用“黑名单”。历时1个多月对新疆北方建设集团有限公司关于“丰都县陈家沟抗旱应急水源工程”的投诉进行立案调查，根据调查认定的事实，作出投诉事项不予支持的处理决定。开展丰都县工程建设项目招标投标领域营商环境专项整治，对专项整治发现的不按时签订合同、不按规定缴纳相关保证金的行为，在全县进行通报批评。</w:t>
      </w:r>
      <w:r>
        <w:rPr>
          <w:b/>
          <w:szCs w:val="32"/>
        </w:rPr>
        <w:t>四是</w:t>
      </w:r>
      <w:r>
        <w:rPr>
          <w:szCs w:val="32"/>
        </w:rPr>
        <w:t>逐步规范交易环节智能化建设。完善公共资源交易中心智能化场地建设，实现评标专家网上审核、自动抽取、智能识别。积极推进远程异地评标工作，分别同四川南充、甘孜成功开展远程异地评标工作。</w:t>
      </w:r>
      <w:r>
        <w:rPr>
          <w:b/>
          <w:szCs w:val="32"/>
        </w:rPr>
        <w:t>五是</w:t>
      </w:r>
      <w:r>
        <w:rPr>
          <w:szCs w:val="32"/>
        </w:rPr>
        <w:t>强化协同监管。建立招投标信息月推送机制，定期向各行业主管部门移交已经完成公开招投标项目信息，督促各行业主管部门对合同履行监管、违法发包转包及挂靠等违法行为进行监督查处。</w:t>
      </w:r>
    </w:p>
    <w:p>
      <w:pPr>
        <w:adjustRightInd w:val="0"/>
        <w:snapToGrid w:val="0"/>
        <w:spacing w:line="560" w:lineRule="exact"/>
        <w:ind w:firstLine="632" w:firstLineChars="200"/>
        <w:rPr>
          <w:rFonts w:eastAsia="方正楷体_GBK"/>
          <w:bCs/>
          <w:color w:val="000000"/>
          <w:szCs w:val="32"/>
        </w:rPr>
      </w:pPr>
      <w:r>
        <w:rPr>
          <w:rFonts w:hint="eastAsia" w:eastAsia="方正楷体_GBK"/>
          <w:bCs/>
          <w:color w:val="000000"/>
          <w:szCs w:val="32"/>
        </w:rPr>
        <w:t>（</w:t>
      </w:r>
      <w:r>
        <w:rPr>
          <w:rFonts w:eastAsia="方正楷体_GBK"/>
          <w:bCs/>
          <w:color w:val="000000"/>
          <w:szCs w:val="32"/>
        </w:rPr>
        <w:t>六</w:t>
      </w:r>
      <w:r>
        <w:rPr>
          <w:rFonts w:hint="eastAsia" w:eastAsia="方正楷体_GBK"/>
          <w:bCs/>
          <w:color w:val="000000"/>
          <w:szCs w:val="32"/>
        </w:rPr>
        <w:t>）</w:t>
      </w:r>
      <w:r>
        <w:rPr>
          <w:rFonts w:eastAsia="方正楷体_GBK"/>
          <w:bCs/>
          <w:color w:val="000000"/>
          <w:szCs w:val="32"/>
        </w:rPr>
        <w:t>创新监管方式</w:t>
      </w:r>
    </w:p>
    <w:p>
      <w:pPr>
        <w:adjustRightInd w:val="0"/>
        <w:snapToGrid w:val="0"/>
        <w:spacing w:line="560" w:lineRule="exact"/>
        <w:ind w:firstLine="632" w:firstLineChars="200"/>
        <w:rPr>
          <w:rFonts w:eastAsia="方正楷体_GBK"/>
          <w:b/>
          <w:color w:val="000000"/>
          <w:szCs w:val="32"/>
        </w:rPr>
      </w:pPr>
      <w:r>
        <w:rPr>
          <w:b/>
          <w:szCs w:val="32"/>
        </w:rPr>
        <w:t>一是</w:t>
      </w:r>
      <w:r>
        <w:rPr>
          <w:szCs w:val="32"/>
        </w:rPr>
        <w:t>建立健全了《丰都县发展和改革委员会“双随机、一公开”抽查机制》，编制随机抽查事项清单并制定了2022年“双随机、一公开”抽查计划，完善更新检查对象库和执法人员库，并对“两库”实施动态管理，保障“双随机、一公开”抽查工作顺利开展。</w:t>
      </w:r>
      <w:r>
        <w:rPr>
          <w:b/>
          <w:szCs w:val="32"/>
        </w:rPr>
        <w:t>二是</w:t>
      </w:r>
      <w:r>
        <w:rPr>
          <w:szCs w:val="32"/>
        </w:rPr>
        <w:t>联合县住建委、县规资局、县交通局、县生态环境局，对2022年度重点项目通过现场督查、如实评定两种督查方式开展“双随机、一公开”专项检查共4次。</w:t>
      </w:r>
      <w:r>
        <w:rPr>
          <w:b/>
          <w:szCs w:val="32"/>
        </w:rPr>
        <w:t>三是</w:t>
      </w:r>
      <w:r>
        <w:rPr>
          <w:szCs w:val="32"/>
        </w:rPr>
        <w:t>联合县农业农村委、县市场监管局，对辖区内从事粮食收购、销售、储存、运输、加工、进出口等粮食经营者开展联合检查</w:t>
      </w:r>
      <w:r>
        <w:rPr>
          <w:b/>
          <w:szCs w:val="32"/>
        </w:rPr>
        <w:t>。四是</w:t>
      </w:r>
      <w:r>
        <w:rPr>
          <w:szCs w:val="32"/>
        </w:rPr>
        <w:t>联合市场监督管理局，对丰都县招标代理机构依法依规开展招标代理业务情况进行了“双随机、一公开”联合检查。</w:t>
      </w:r>
    </w:p>
    <w:p>
      <w:pPr>
        <w:adjustRightInd w:val="0"/>
        <w:snapToGrid w:val="0"/>
        <w:spacing w:line="560" w:lineRule="exact"/>
        <w:ind w:firstLine="632" w:firstLineChars="200"/>
        <w:rPr>
          <w:rFonts w:eastAsia="方正黑体_GBK"/>
          <w:bCs/>
          <w:color w:val="000000"/>
          <w:szCs w:val="32"/>
          <w:lang w:val="zh-CN"/>
        </w:rPr>
      </w:pPr>
      <w:r>
        <w:rPr>
          <w:rFonts w:eastAsia="方正黑体_GBK"/>
          <w:bCs/>
          <w:color w:val="000000"/>
          <w:szCs w:val="32"/>
          <w:lang w:val="zh-CN"/>
        </w:rPr>
        <w:t>四、依法推进政务公开和信用监管</w:t>
      </w:r>
    </w:p>
    <w:p>
      <w:pPr>
        <w:adjustRightInd w:val="0"/>
        <w:snapToGrid w:val="0"/>
        <w:spacing w:line="560" w:lineRule="exact"/>
        <w:ind w:firstLine="632" w:firstLineChars="200"/>
        <w:rPr>
          <w:szCs w:val="32"/>
        </w:rPr>
      </w:pPr>
      <w:r>
        <w:rPr>
          <w:b/>
          <w:szCs w:val="32"/>
        </w:rPr>
        <w:t>一是</w:t>
      </w:r>
      <w:r>
        <w:rPr>
          <w:szCs w:val="32"/>
        </w:rPr>
        <w:t>强化责任落实。为推进丰都县社会信用体系建设，强化信用信息归集，将全县社会信用体系建设任务分解落实到相关部门，要求相关部门将社会信用体系建设工作纳入重要议事日程，并制定具体的工作方案，落实牵头领导和责任科室。组织召开社会信用体系建设推进会，安排部署信用体系建设相关工作，明确行政许可和行政处罚双公示工作相关要求。</w:t>
      </w:r>
      <w:r>
        <w:rPr>
          <w:b/>
          <w:color w:val="000000"/>
          <w:kern w:val="0"/>
          <w:sz w:val="31"/>
          <w:szCs w:val="31"/>
        </w:rPr>
        <w:t>二是</w:t>
      </w:r>
      <w:r>
        <w:rPr>
          <w:szCs w:val="32"/>
        </w:rPr>
        <w:t>强化督促指导。督促相关部门和单位按照“双随机、一公开”的工作要求，及时、准确、全面公开公示行政许可和行政处罚等信用信息，提升数据质量，加强数据源头治理，提高协同处理效率，确保公示信息的完整性、及时性、合规性，实现“双公示”信息“应归集、尽归集”“应公示、尽公示”，形成部门联动、齐抓共管的良好格局。</w:t>
      </w:r>
      <w:r>
        <w:rPr>
          <w:b/>
          <w:szCs w:val="32"/>
        </w:rPr>
        <w:t>三是</w:t>
      </w:r>
      <w:r>
        <w:rPr>
          <w:szCs w:val="32"/>
        </w:rPr>
        <w:t>强化信用信息数据公示。2022年，全县双公示归集总量147289条（30家单位产生数据），行政许可归集6830条，行政处罚归集1057条。“信易贷、渝惠融”平台注册企业、个体工商户2078家，注册量排名全市前列，其他融资平台普惠型小微企业贷款规模和增速涉及8家单位。告知承诺数量占企业总量的比例为27.30%。</w:t>
      </w:r>
    </w:p>
    <w:p>
      <w:pPr>
        <w:adjustRightInd w:val="0"/>
        <w:snapToGrid w:val="0"/>
        <w:spacing w:line="560" w:lineRule="exact"/>
        <w:ind w:firstLine="632" w:firstLineChars="200"/>
        <w:rPr>
          <w:rFonts w:eastAsia="方正黑体_GBK"/>
          <w:color w:val="000000"/>
          <w:szCs w:val="32"/>
        </w:rPr>
      </w:pPr>
      <w:r>
        <w:rPr>
          <w:rFonts w:eastAsia="方正黑体_GBK"/>
          <w:color w:val="000000"/>
          <w:szCs w:val="32"/>
        </w:rPr>
        <w:t>五、严格执法程序、提高执法水平</w:t>
      </w:r>
    </w:p>
    <w:p>
      <w:pPr>
        <w:adjustRightInd w:val="0"/>
        <w:snapToGrid w:val="0"/>
        <w:spacing w:line="560" w:lineRule="exact"/>
        <w:ind w:firstLine="612" w:firstLineChars="200"/>
        <w:rPr>
          <w:color w:val="000000"/>
          <w:kern w:val="0"/>
          <w:sz w:val="31"/>
          <w:szCs w:val="31"/>
        </w:rPr>
      </w:pPr>
      <w:r>
        <w:rPr>
          <w:color w:val="000000"/>
          <w:kern w:val="0"/>
          <w:sz w:val="31"/>
          <w:szCs w:val="31"/>
        </w:rPr>
        <w:t>在政务公开栏中公布办事制度，规范工作内容和执法程序，将机关各科室办事依据、范围、责任、程序等制度主动公开，接受群众监督，促进各项工作向制度化、规范化发展，努力营造良好的法治环境。“以事实为依据、以法律为准绳”，严格对执法案件的调查、审理、处罚等程序进行严格把关，确保执法案件的内部审查落实到位，提高办案水平、增强办案能力。</w:t>
      </w:r>
    </w:p>
    <w:p>
      <w:pPr>
        <w:adjustRightInd w:val="0"/>
        <w:snapToGrid w:val="0"/>
        <w:spacing w:line="560" w:lineRule="exact"/>
        <w:ind w:firstLine="632" w:firstLineChars="200"/>
        <w:rPr>
          <w:rFonts w:eastAsia="方正黑体_GBK"/>
          <w:color w:val="000000"/>
          <w:szCs w:val="32"/>
        </w:rPr>
      </w:pPr>
      <w:r>
        <w:rPr>
          <w:rFonts w:eastAsia="方正黑体_GBK"/>
          <w:color w:val="000000"/>
          <w:szCs w:val="32"/>
        </w:rPr>
        <w:t>六、存在的问题及2023年重点工作</w:t>
      </w:r>
    </w:p>
    <w:p>
      <w:pPr>
        <w:adjustRightInd w:val="0"/>
        <w:snapToGrid w:val="0"/>
        <w:spacing w:line="560" w:lineRule="exact"/>
        <w:ind w:firstLine="632" w:firstLineChars="200"/>
        <w:rPr>
          <w:color w:val="000000"/>
          <w:kern w:val="0"/>
          <w:sz w:val="31"/>
          <w:szCs w:val="31"/>
        </w:rPr>
      </w:pPr>
      <w:r>
        <w:rPr>
          <w:rFonts w:eastAsia="方正楷体_GBK"/>
          <w:bCs/>
          <w:color w:val="000000"/>
          <w:szCs w:val="32"/>
        </w:rPr>
        <w:t>（一）存在的问题。</w:t>
      </w:r>
      <w:r>
        <w:rPr>
          <w:b/>
          <w:color w:val="000000"/>
          <w:kern w:val="0"/>
          <w:sz w:val="31"/>
          <w:szCs w:val="31"/>
        </w:rPr>
        <w:t>一是</w:t>
      </w:r>
      <w:r>
        <w:rPr>
          <w:color w:val="000000"/>
          <w:kern w:val="0"/>
          <w:sz w:val="31"/>
          <w:szCs w:val="31"/>
        </w:rPr>
        <w:t>深入学习宣传习近平法治思想需进一步深入。</w:t>
      </w:r>
      <w:r>
        <w:rPr>
          <w:b/>
          <w:color w:val="000000"/>
          <w:kern w:val="0"/>
          <w:sz w:val="31"/>
          <w:szCs w:val="31"/>
        </w:rPr>
        <w:t>二是</w:t>
      </w:r>
      <w:r>
        <w:rPr>
          <w:color w:val="000000"/>
          <w:kern w:val="0"/>
          <w:sz w:val="31"/>
          <w:szCs w:val="31"/>
        </w:rPr>
        <w:t>创新开展各项工作能力方面还需进一步提升。</w:t>
      </w:r>
      <w:r>
        <w:rPr>
          <w:b/>
          <w:color w:val="000000"/>
          <w:kern w:val="0"/>
          <w:sz w:val="31"/>
          <w:szCs w:val="31"/>
        </w:rPr>
        <w:t>三是</w:t>
      </w:r>
      <w:r>
        <w:rPr>
          <w:color w:val="000000"/>
          <w:kern w:val="0"/>
          <w:sz w:val="31"/>
          <w:szCs w:val="31"/>
        </w:rPr>
        <w:t>行政执法能力还需进一步提高。</w:t>
      </w:r>
    </w:p>
    <w:p>
      <w:pPr>
        <w:pStyle w:val="4"/>
        <w:widowControl/>
        <w:adjustRightInd w:val="0"/>
        <w:snapToGrid w:val="0"/>
        <w:spacing w:line="560" w:lineRule="exact"/>
        <w:ind w:firstLine="632" w:firstLineChars="200"/>
        <w:jc w:val="both"/>
        <w:rPr>
          <w:rFonts w:hint="default" w:ascii="Times New Roman" w:hAnsi="Times New Roman"/>
          <w:color w:val="000000"/>
          <w:kern w:val="2"/>
          <w:sz w:val="32"/>
          <w:szCs w:val="32"/>
        </w:rPr>
      </w:pPr>
      <w:r>
        <w:rPr>
          <w:rFonts w:hint="default" w:ascii="Times New Roman" w:hAnsi="Times New Roman" w:eastAsia="方正楷体_GBK"/>
          <w:bCs/>
          <w:color w:val="000000"/>
          <w:kern w:val="2"/>
          <w:sz w:val="32"/>
          <w:szCs w:val="32"/>
        </w:rPr>
        <w:t>（二）2023年重点工作。</w:t>
      </w:r>
      <w:r>
        <w:rPr>
          <w:rFonts w:hint="default" w:ascii="Times New Roman" w:hAnsi="Times New Roman"/>
          <w:b/>
          <w:color w:val="000000"/>
          <w:sz w:val="31"/>
          <w:szCs w:val="31"/>
        </w:rPr>
        <w:t>一是</w:t>
      </w:r>
      <w:r>
        <w:rPr>
          <w:rFonts w:hint="default" w:ascii="Times New Roman" w:hAnsi="Times New Roman"/>
          <w:color w:val="000000"/>
          <w:sz w:val="31"/>
          <w:szCs w:val="31"/>
        </w:rPr>
        <w:t>坚持以习近平新时代中国特色社会主义思想为指导，全面贯彻落实党的二十大精神，深入学习贯彻习近平法治思想，全面推进法治政府建设。</w:t>
      </w:r>
      <w:r>
        <w:rPr>
          <w:rFonts w:hint="default" w:ascii="Times New Roman" w:hAnsi="Times New Roman"/>
          <w:b/>
          <w:color w:val="000000"/>
          <w:sz w:val="31"/>
          <w:szCs w:val="31"/>
        </w:rPr>
        <w:t>二是</w:t>
      </w:r>
      <w:r>
        <w:rPr>
          <w:rFonts w:hint="default" w:ascii="Times New Roman" w:hAnsi="Times New Roman"/>
          <w:color w:val="000000"/>
          <w:sz w:val="31"/>
          <w:szCs w:val="31"/>
        </w:rPr>
        <w:t>进一步落实党政主要负责人履行推进法治建设第一责任人职责规定，带头学法守法用法，自觉运用法治思维和法治方式深化改革、推动发展、化解矛盾、维护稳定。</w:t>
      </w:r>
      <w:r>
        <w:rPr>
          <w:rFonts w:hint="default" w:ascii="Times New Roman" w:hAnsi="Times New Roman"/>
          <w:b/>
          <w:color w:val="000000"/>
          <w:sz w:val="31"/>
          <w:szCs w:val="31"/>
        </w:rPr>
        <w:t>三是</w:t>
      </w:r>
      <w:r>
        <w:rPr>
          <w:rFonts w:hint="default" w:ascii="Times New Roman" w:hAnsi="Times New Roman"/>
          <w:color w:val="000000"/>
          <w:sz w:val="31"/>
          <w:szCs w:val="31"/>
        </w:rPr>
        <w:t>进一步提升依法行政水平，完善重大行政决策制度，确保重大行政决策更加科学化、民主化和法治化。</w:t>
      </w:r>
      <w:r>
        <w:rPr>
          <w:rFonts w:hint="default" w:ascii="Times New Roman" w:hAnsi="Times New Roman"/>
          <w:b/>
          <w:color w:val="000000"/>
          <w:sz w:val="31"/>
          <w:szCs w:val="31"/>
        </w:rPr>
        <w:t>四是</w:t>
      </w:r>
      <w:r>
        <w:rPr>
          <w:rFonts w:hint="default" w:ascii="Times New Roman" w:hAnsi="Times New Roman"/>
          <w:color w:val="000000"/>
          <w:sz w:val="31"/>
          <w:szCs w:val="31"/>
        </w:rPr>
        <w:t>进一步加强法治宣传，</w:t>
      </w:r>
      <w:r>
        <w:rPr>
          <w:rFonts w:hint="default" w:ascii="Times New Roman" w:hAnsi="Times New Roman"/>
          <w:color w:val="000000"/>
          <w:kern w:val="2"/>
          <w:sz w:val="32"/>
          <w:szCs w:val="32"/>
        </w:rPr>
        <w:t>积极开展丰富多彩的宣传活动，加强推进法治文化建设，使依法治县工作深入人心。</w:t>
      </w:r>
      <w:r>
        <w:rPr>
          <w:rFonts w:hint="default" w:ascii="Times New Roman" w:hAnsi="Times New Roman"/>
          <w:b/>
          <w:color w:val="000000"/>
          <w:sz w:val="31"/>
          <w:szCs w:val="31"/>
        </w:rPr>
        <w:t>五是</w:t>
      </w:r>
      <w:r>
        <w:rPr>
          <w:rFonts w:hint="default" w:ascii="Times New Roman" w:hAnsi="Times New Roman"/>
          <w:color w:val="000000"/>
          <w:kern w:val="2"/>
          <w:sz w:val="32"/>
          <w:szCs w:val="32"/>
        </w:rPr>
        <w:t>结合我委工作实际，普及相关法律知识，树立法治思维，打造特色亮点，提升法治意识，在机关形成尊重法律、遵守法律、崇尚法律的浓厚氛围，使普法工作的实效看得见、摸得着。</w:t>
      </w:r>
    </w:p>
    <w:p>
      <w:pPr>
        <w:pStyle w:val="4"/>
        <w:widowControl/>
        <w:spacing w:line="560" w:lineRule="exact"/>
        <w:rPr>
          <w:rFonts w:hint="default" w:ascii="Times New Roman" w:hAnsi="Times New Roman" w:eastAsia="方正黑体_GBK"/>
          <w:color w:val="000000"/>
          <w:kern w:val="2"/>
          <w:sz w:val="32"/>
          <w:szCs w:val="32"/>
        </w:rPr>
      </w:pPr>
    </w:p>
    <w:p>
      <w:pPr>
        <w:spacing w:line="560" w:lineRule="exact"/>
        <w:rPr>
          <w:color w:val="000000"/>
          <w:kern w:val="0"/>
          <w:sz w:val="31"/>
          <w:szCs w:val="31"/>
        </w:rPr>
      </w:pPr>
    </w:p>
    <w:p>
      <w:pPr>
        <w:spacing w:line="560" w:lineRule="exact"/>
        <w:rPr>
          <w:color w:val="000000"/>
          <w:kern w:val="0"/>
          <w:sz w:val="31"/>
          <w:szCs w:val="31"/>
        </w:rPr>
      </w:pPr>
    </w:p>
    <w:p>
      <w:pPr>
        <w:spacing w:line="560" w:lineRule="exact"/>
        <w:jc w:val="center"/>
        <w:rPr>
          <w:color w:val="000000"/>
          <w:kern w:val="0"/>
          <w:sz w:val="31"/>
          <w:szCs w:val="31"/>
        </w:rPr>
      </w:pPr>
      <w:r>
        <w:rPr>
          <w:rFonts w:hint="eastAsia"/>
          <w:color w:val="000000"/>
          <w:kern w:val="0"/>
          <w:sz w:val="31"/>
          <w:szCs w:val="31"/>
        </w:rPr>
        <w:t xml:space="preserve">                         </w:t>
      </w:r>
      <w:r>
        <w:rPr>
          <w:color w:val="000000"/>
          <w:kern w:val="0"/>
          <w:sz w:val="31"/>
          <w:szCs w:val="31"/>
        </w:rPr>
        <w:t>丰都县发展和改革委员会</w:t>
      </w:r>
    </w:p>
    <w:p>
      <w:pPr>
        <w:spacing w:line="560" w:lineRule="exact"/>
        <w:jc w:val="center"/>
        <w:rPr>
          <w:color w:val="000000"/>
          <w:kern w:val="0"/>
          <w:sz w:val="31"/>
          <w:szCs w:val="31"/>
        </w:rPr>
      </w:pPr>
      <w:r>
        <w:rPr>
          <w:rFonts w:hint="eastAsia"/>
          <w:color w:val="000000"/>
          <w:kern w:val="0"/>
          <w:sz w:val="31"/>
          <w:szCs w:val="31"/>
        </w:rPr>
        <w:t xml:space="preserve">                        </w:t>
      </w:r>
      <w:r>
        <w:rPr>
          <w:color w:val="000000"/>
          <w:kern w:val="0"/>
          <w:sz w:val="31"/>
          <w:szCs w:val="31"/>
        </w:rPr>
        <w:t>2022年2月</w:t>
      </w:r>
      <w:r>
        <w:rPr>
          <w:rFonts w:hint="eastAsia"/>
          <w:color w:val="000000"/>
          <w:kern w:val="0"/>
          <w:sz w:val="31"/>
          <w:szCs w:val="31"/>
        </w:rPr>
        <w:t>20</w:t>
      </w:r>
      <w:r>
        <w:rPr>
          <w:color w:val="000000"/>
          <w:kern w:val="0"/>
          <w:sz w:val="31"/>
          <w:szCs w:val="31"/>
        </w:rPr>
        <w:t>日</w:t>
      </w:r>
      <w:r>
        <w:rPr>
          <w:rFonts w:eastAsia="仿宋_GB2312"/>
          <w:szCs w:val="32"/>
        </w:rPr>
        <w:pict>
          <v:shape id="自选图形 3" o:spid="_x0000_s2050" o:spt="32" type="#_x0000_t32" style="position:absolute;left:0pt;margin-left:-1pt;margin-top:1.4pt;height:0pt;width:0pt;z-index:251659264;mso-width-relative:page;mso-height-relative:page;" o:connectortype="straight" filled="f" coordsize="21600,21600">
            <v:path arrowok="t"/>
            <v:fill on="f" focussize="0,0"/>
            <v:stroke/>
            <v:imagedata o:title=""/>
            <o:lock v:ext="edit"/>
          </v:shape>
        </w:pict>
      </w: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spacing w:line="560" w:lineRule="exact"/>
        <w:ind w:right="22" w:rightChars="7"/>
      </w:pPr>
    </w:p>
    <w:p>
      <w:pPr>
        <w:pBdr>
          <w:top w:val="single" w:color="auto" w:sz="4" w:space="1"/>
          <w:bottom w:val="single" w:color="auto" w:sz="4" w:space="1"/>
        </w:pBdr>
        <w:spacing w:line="560" w:lineRule="exact"/>
        <w:ind w:left="277" w:leftChars="44" w:hanging="138" w:hangingChars="50"/>
      </w:pPr>
      <w:r>
        <w:rPr>
          <w:sz w:val="28"/>
          <w:szCs w:val="28"/>
        </w:rPr>
        <w:t xml:space="preserve">丰都县发展和改革委员会办公室   </w:t>
      </w:r>
      <w:r>
        <w:rPr>
          <w:rFonts w:hint="eastAsia"/>
          <w:sz w:val="28"/>
          <w:szCs w:val="28"/>
        </w:rPr>
        <w:t xml:space="preserve">          </w:t>
      </w:r>
      <w:r>
        <w:rPr>
          <w:sz w:val="28"/>
          <w:szCs w:val="28"/>
        </w:rPr>
        <w:t xml:space="preserve"> 2023年2月</w:t>
      </w:r>
      <w:r>
        <w:rPr>
          <w:rFonts w:hint="eastAsia"/>
          <w:sz w:val="28"/>
          <w:szCs w:val="28"/>
        </w:rPr>
        <w:t>20</w:t>
      </w:r>
      <w:r>
        <w:rPr>
          <w:sz w:val="28"/>
          <w:szCs w:val="28"/>
        </w:rPr>
        <w:t>日印发</w:t>
      </w:r>
    </w:p>
    <w:sectPr>
      <w:footerReference r:id="rId3" w:type="default"/>
      <w:footerReference r:id="rId4" w:type="even"/>
      <w:pgSz w:w="11906" w:h="16838"/>
      <w:pgMar w:top="2098" w:right="1474" w:bottom="1984" w:left="1587"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7495" w:firstLineChars="2677"/>
      <w:rPr>
        <w:sz w:val="28"/>
      </w:rPr>
    </w:pPr>
    <w:r>
      <w:rPr>
        <w:sz w:val="28"/>
      </w:rPr>
      <w:pict>
        <v:shape id="_x0000_s1025"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8"/>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10</w:t>
    </w:r>
    <w:r>
      <w:rPr>
        <w:kern w:val="0"/>
        <w:sz w:val="28"/>
      </w:rPr>
      <w:fldChar w:fldCharType="end"/>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F06B5B"/>
    <w:rsid w:val="00024957"/>
    <w:rsid w:val="00043F86"/>
    <w:rsid w:val="00054D4E"/>
    <w:rsid w:val="000728D9"/>
    <w:rsid w:val="00074980"/>
    <w:rsid w:val="000807A4"/>
    <w:rsid w:val="00094FB9"/>
    <w:rsid w:val="000A6B78"/>
    <w:rsid w:val="000D2A06"/>
    <w:rsid w:val="001026DE"/>
    <w:rsid w:val="00105088"/>
    <w:rsid w:val="001674EA"/>
    <w:rsid w:val="001A447B"/>
    <w:rsid w:val="001C43DD"/>
    <w:rsid w:val="001F4031"/>
    <w:rsid w:val="002335E7"/>
    <w:rsid w:val="00234E2E"/>
    <w:rsid w:val="002B3016"/>
    <w:rsid w:val="002E2501"/>
    <w:rsid w:val="00301DCC"/>
    <w:rsid w:val="00311CAD"/>
    <w:rsid w:val="00325B1D"/>
    <w:rsid w:val="00327B19"/>
    <w:rsid w:val="003302EE"/>
    <w:rsid w:val="003642DE"/>
    <w:rsid w:val="003B281A"/>
    <w:rsid w:val="003D38C6"/>
    <w:rsid w:val="003F5031"/>
    <w:rsid w:val="00432E26"/>
    <w:rsid w:val="00433578"/>
    <w:rsid w:val="004640E1"/>
    <w:rsid w:val="00464168"/>
    <w:rsid w:val="004646C3"/>
    <w:rsid w:val="00470EF7"/>
    <w:rsid w:val="004B409C"/>
    <w:rsid w:val="004C6472"/>
    <w:rsid w:val="005203F5"/>
    <w:rsid w:val="0054415B"/>
    <w:rsid w:val="0055560A"/>
    <w:rsid w:val="00560A15"/>
    <w:rsid w:val="005B41B9"/>
    <w:rsid w:val="005C5DBF"/>
    <w:rsid w:val="005D035C"/>
    <w:rsid w:val="005F2F26"/>
    <w:rsid w:val="00613DDB"/>
    <w:rsid w:val="00633C25"/>
    <w:rsid w:val="00635B6A"/>
    <w:rsid w:val="00656E6B"/>
    <w:rsid w:val="00692CBF"/>
    <w:rsid w:val="006B5259"/>
    <w:rsid w:val="006F0AD0"/>
    <w:rsid w:val="006F4C2A"/>
    <w:rsid w:val="006F7A90"/>
    <w:rsid w:val="00715BE7"/>
    <w:rsid w:val="00740B88"/>
    <w:rsid w:val="0075392F"/>
    <w:rsid w:val="008010AC"/>
    <w:rsid w:val="008024D6"/>
    <w:rsid w:val="00842878"/>
    <w:rsid w:val="008A33AE"/>
    <w:rsid w:val="008F1F43"/>
    <w:rsid w:val="008F3107"/>
    <w:rsid w:val="009542C7"/>
    <w:rsid w:val="00984194"/>
    <w:rsid w:val="009A0FE9"/>
    <w:rsid w:val="009C7FD3"/>
    <w:rsid w:val="009F0934"/>
    <w:rsid w:val="00A07A78"/>
    <w:rsid w:val="00A108EE"/>
    <w:rsid w:val="00A14544"/>
    <w:rsid w:val="00A166D6"/>
    <w:rsid w:val="00A20E24"/>
    <w:rsid w:val="00A2187D"/>
    <w:rsid w:val="00A54253"/>
    <w:rsid w:val="00A67FD9"/>
    <w:rsid w:val="00AB3AD7"/>
    <w:rsid w:val="00AB636E"/>
    <w:rsid w:val="00AE3229"/>
    <w:rsid w:val="00B06656"/>
    <w:rsid w:val="00B201CB"/>
    <w:rsid w:val="00B333C7"/>
    <w:rsid w:val="00BA5D39"/>
    <w:rsid w:val="00BB0DC9"/>
    <w:rsid w:val="00C03B64"/>
    <w:rsid w:val="00C05382"/>
    <w:rsid w:val="00C07192"/>
    <w:rsid w:val="00C34B41"/>
    <w:rsid w:val="00C460CA"/>
    <w:rsid w:val="00C52AB6"/>
    <w:rsid w:val="00C81C19"/>
    <w:rsid w:val="00CC14F6"/>
    <w:rsid w:val="00CC5067"/>
    <w:rsid w:val="00CC7437"/>
    <w:rsid w:val="00CE400F"/>
    <w:rsid w:val="00D0696B"/>
    <w:rsid w:val="00D26CDD"/>
    <w:rsid w:val="00D27E8E"/>
    <w:rsid w:val="00D76D01"/>
    <w:rsid w:val="00DC177C"/>
    <w:rsid w:val="00E03980"/>
    <w:rsid w:val="00E0610D"/>
    <w:rsid w:val="00E27A70"/>
    <w:rsid w:val="00E3597E"/>
    <w:rsid w:val="00E55E0A"/>
    <w:rsid w:val="00E93628"/>
    <w:rsid w:val="00EA5AD6"/>
    <w:rsid w:val="00EB4AE6"/>
    <w:rsid w:val="00F06B5B"/>
    <w:rsid w:val="00F37B10"/>
    <w:rsid w:val="00F51E5B"/>
    <w:rsid w:val="00F64FF6"/>
    <w:rsid w:val="00F65202"/>
    <w:rsid w:val="00F73B5F"/>
    <w:rsid w:val="00FB0096"/>
    <w:rsid w:val="00FB50DD"/>
    <w:rsid w:val="00FC1D78"/>
    <w:rsid w:val="00FD1A54"/>
    <w:rsid w:val="00FD238F"/>
    <w:rsid w:val="00FF01C1"/>
    <w:rsid w:val="037325B4"/>
    <w:rsid w:val="4F1A1458"/>
    <w:rsid w:val="680E1EC2"/>
    <w:rsid w:val="6D6C2916"/>
    <w:rsid w:val="728C5970"/>
    <w:rsid w:val="788766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jc w:val="left"/>
    </w:pPr>
    <w:rPr>
      <w:rFonts w:hint="eastAsia" w:ascii="宋体" w:hAnsi="宋体"/>
      <w:kern w:val="0"/>
      <w:sz w:val="24"/>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4682</Words>
  <Characters>4781</Characters>
  <Lines>34</Lines>
  <Paragraphs>9</Paragraphs>
  <TotalTime>21</TotalTime>
  <ScaleCrop>false</ScaleCrop>
  <LinksUpToDate>false</LinksUpToDate>
  <CharactersWithSpaces>4862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2023-03-09T02:48:00Z</dcterms:created>
  <dc:creator>微软用户</dc:creator>
  <cp:lastModifiedBy>温星星</cp:lastModifiedBy>
  <cp:lastPrinted>2023-03-09T02:48:00Z</cp:lastPrinted>
  <dcterms:modified xsi:type="dcterms:W3CDTF">2024-06-21T09:27:40Z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E1825D89EBC44965B79CADE6EABE8329</vt:lpwstr>
  </property>
</Properties>
</file>