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sz w:val="44"/>
          <w:szCs w:val="44"/>
          <w:shd w:val="clear" w:color="auto" w:fill="auto"/>
          <w:lang w:eastAsia="zh-CN"/>
        </w:rPr>
      </w:pPr>
      <w:bookmarkStart w:id="0" w:name="_Hlk59868334"/>
      <w:bookmarkEnd w:id="0"/>
      <w:bookmarkStart w:id="1" w:name="_Hlk37239649"/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0" w:lineRule="exact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sz w:val="44"/>
          <w:szCs w:val="44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0" w:lineRule="exact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sz w:val="44"/>
          <w:szCs w:val="44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0" w:lineRule="exact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sz w:val="44"/>
          <w:szCs w:val="44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0" w:lineRule="exact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sz w:val="44"/>
          <w:szCs w:val="44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0" w:lineRule="exact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sz w:val="44"/>
          <w:szCs w:val="44"/>
          <w:shd w:val="clear" w:color="auto" w:fil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0" w:lineRule="exact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sz w:val="44"/>
          <w:szCs w:val="4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bookmarkStart w:id="2" w:name="_GoBack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丰都府办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default" w:ascii="Times New Roman" w:hAnsi="Times New Roman" w:cs="Times New Roman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号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Cs/>
          <w:spacing w:val="0"/>
          <w:kern w:val="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eastAsia="方正小标宋_GBK"/>
          <w:spacing w:val="-10"/>
          <w:sz w:val="44"/>
          <w:szCs w:val="44"/>
          <w:highlight w:val="none"/>
        </w:rPr>
      </w:pPr>
      <w:r>
        <w:rPr>
          <w:rFonts w:hint="eastAsia" w:eastAsia="方正小标宋_GBK"/>
          <w:spacing w:val="-10"/>
          <w:sz w:val="44"/>
          <w:szCs w:val="44"/>
          <w:highlight w:val="none"/>
          <w:lang w:val="en-US" w:eastAsia="zh-CN"/>
        </w:rPr>
        <w:t>丰都县</w:t>
      </w:r>
      <w:r>
        <w:rPr>
          <w:rFonts w:hint="eastAsia" w:eastAsia="方正小标宋_GBK"/>
          <w:spacing w:val="-10"/>
          <w:sz w:val="44"/>
          <w:szCs w:val="44"/>
          <w:highlight w:val="none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eastAsia="方正小标宋_GBK"/>
          <w:spacing w:val="-10"/>
          <w:sz w:val="44"/>
          <w:szCs w:val="44"/>
          <w:highlight w:val="none"/>
        </w:rPr>
      </w:pPr>
      <w:r>
        <w:rPr>
          <w:rFonts w:hint="eastAsia" w:eastAsia="方正小标宋_GBK"/>
          <w:spacing w:val="-10"/>
          <w:sz w:val="44"/>
          <w:szCs w:val="44"/>
          <w:highlight w:val="none"/>
        </w:rPr>
        <w:t>关于</w:t>
      </w:r>
      <w:r>
        <w:rPr>
          <w:rFonts w:hint="eastAsia" w:eastAsia="方正小标宋_GBK"/>
          <w:spacing w:val="-10"/>
          <w:sz w:val="44"/>
          <w:szCs w:val="44"/>
          <w:highlight w:val="none"/>
          <w:lang w:val="en-US" w:eastAsia="zh-CN"/>
        </w:rPr>
        <w:t>公布丰都县</w:t>
      </w:r>
      <w:r>
        <w:rPr>
          <w:rFonts w:hint="eastAsia" w:eastAsia="方正小标宋_GBK"/>
          <w:spacing w:val="-10"/>
          <w:sz w:val="44"/>
          <w:szCs w:val="44"/>
          <w:highlight w:val="none"/>
        </w:rPr>
        <w:t>划拨土地价款指导标准的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eastAsia="方正小标宋_GBK"/>
          <w:spacing w:val="-10"/>
          <w:sz w:val="44"/>
          <w:szCs w:val="44"/>
          <w:highlight w:val="none"/>
          <w:lang w:eastAsia="zh-CN"/>
        </w:rPr>
      </w:pPr>
      <w:r>
        <w:rPr>
          <w:rFonts w:hint="eastAsia" w:eastAsia="方正小标宋_GBK"/>
          <w:spacing w:val="-10"/>
          <w:sz w:val="44"/>
          <w:szCs w:val="44"/>
          <w:highlight w:val="none"/>
        </w:rPr>
        <w:t>通</w:t>
      </w:r>
      <w:r>
        <w:rPr>
          <w:rFonts w:hint="eastAsia" w:eastAsia="方正小标宋_GBK"/>
          <w:spacing w:val="-10"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eastAsia="方正小标宋_GBK"/>
          <w:spacing w:val="-10"/>
          <w:sz w:val="44"/>
          <w:szCs w:val="44"/>
          <w:highlight w:val="none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eastAsia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</w:rPr>
        <w:t>各乡镇人民政府、街道办事处，县政府各部门，有关单位：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</w:rPr>
        <w:t>为切实做好划拨土地价款征收工作，促进节约</w:t>
      </w:r>
      <w:r>
        <w:rPr>
          <w:rFonts w:hint="eastAsia" w:cs="Times New Roman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</w:rPr>
        <w:t>集约用地，提高政府投资项目行政审批效率，经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highlight w:val="none"/>
        </w:rPr>
        <w:t>政府同意，现将调整划拨土地价款指导标准有关事宜通知如下：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highlight w:val="none"/>
        </w:rPr>
      </w:pPr>
      <w:r>
        <w:rPr>
          <w:rFonts w:hint="eastAsia" w:ascii="方正黑体_GBK" w:hAnsi="方正黑体_GBK" w:eastAsia="方正黑体_GBK" w:cs="方正黑体_GBK"/>
          <w:highlight w:val="none"/>
        </w:rPr>
        <w:t>一、划拨土地价款分类指导标准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</w:rPr>
        <w:t>（一）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凡在本县行政区域范围内</w:t>
      </w:r>
      <w:r>
        <w:rPr>
          <w:rFonts w:hint="default" w:ascii="Times New Roman" w:hAnsi="Times New Roman" w:eastAsia="方正仿宋_GBK" w:cs="Times New Roman"/>
          <w:highlight w:val="none"/>
        </w:rPr>
        <w:t>符合划拨方式供应建设用地的，按以下标准：</w:t>
      </w:r>
      <w:r>
        <w:rPr>
          <w:rFonts w:hint="default" w:ascii="Times New Roman" w:hAnsi="Times New Roman" w:eastAsia="方正仿宋_GBK" w:cs="Times New Roman"/>
          <w:b/>
          <w:bCs/>
          <w:highlight w:val="none"/>
        </w:rPr>
        <w:t>一类区域</w:t>
      </w:r>
      <w:r>
        <w:rPr>
          <w:rFonts w:hint="default" w:ascii="Times New Roman" w:hAnsi="Times New Roman" w:eastAsia="方正仿宋_GBK" w:cs="Times New Roman"/>
          <w:b/>
          <w:bCs/>
          <w:highlight w:val="none"/>
          <w:lang w:val="en-US" w:eastAsia="zh-CN"/>
        </w:rPr>
        <w:t>为60</w:t>
      </w:r>
      <w:r>
        <w:rPr>
          <w:rFonts w:hint="default" w:ascii="Times New Roman" w:hAnsi="Times New Roman" w:eastAsia="方正仿宋_GBK" w:cs="Times New Roman"/>
          <w:b/>
          <w:bCs/>
          <w:highlight w:val="none"/>
        </w:rPr>
        <w:t>万元/亩</w:t>
      </w:r>
      <w:r>
        <w:rPr>
          <w:rFonts w:hint="default" w:ascii="Times New Roman" w:hAnsi="Times New Roman" w:eastAsia="方正仿宋_GBK" w:cs="Times New Roman"/>
          <w:b/>
          <w:bCs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highlight w:val="none"/>
        </w:rPr>
        <w:t>包括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王家渡组团、名山组团、丁庄溪组团、龙河东组团、双路组团、水天坪组团、镇江组团。</w:t>
      </w:r>
      <w:r>
        <w:rPr>
          <w:rFonts w:hint="default" w:ascii="Times New Roman" w:hAnsi="Times New Roman" w:eastAsia="方正仿宋_GBK" w:cs="Times New Roman"/>
          <w:b/>
          <w:bCs/>
          <w:highlight w:val="none"/>
        </w:rPr>
        <w:t>二类区域</w:t>
      </w:r>
      <w:r>
        <w:rPr>
          <w:rFonts w:hint="default" w:ascii="Times New Roman" w:hAnsi="Times New Roman" w:eastAsia="方正仿宋_GBK" w:cs="Times New Roman"/>
          <w:b/>
          <w:bCs/>
          <w:highlight w:val="none"/>
          <w:lang w:val="en-US" w:eastAsia="zh-CN"/>
        </w:rPr>
        <w:t>为50</w:t>
      </w:r>
      <w:r>
        <w:rPr>
          <w:rFonts w:hint="default" w:ascii="Times New Roman" w:hAnsi="Times New Roman" w:eastAsia="方正仿宋_GBK" w:cs="Times New Roman"/>
          <w:b/>
          <w:bCs/>
          <w:highlight w:val="none"/>
        </w:rPr>
        <w:t>万元/亩</w:t>
      </w:r>
      <w:r>
        <w:rPr>
          <w:rFonts w:hint="default" w:ascii="Times New Roman" w:hAnsi="Times New Roman" w:eastAsia="方正仿宋_GBK" w:cs="Times New Roman"/>
          <w:b/>
          <w:bCs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三合街道（除王家渡组团</w:t>
      </w:r>
      <w:r>
        <w:rPr>
          <w:rFonts w:hint="eastAsia" w:cs="Times New Roman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龙河东组团和丁庄溪组团外）、名山街道（除名山组团和镇江组团外）、高家镇</w:t>
      </w:r>
      <w:r>
        <w:rPr>
          <w:rFonts w:hint="eastAsia" w:cs="Times New Roman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兴义镇（除水天坪组团外）、双路镇（除龙河东组团和双路组团外）、虎威镇、湛普镇、社坛镇、仙女湖镇厢坝组团全域</w:t>
      </w:r>
      <w:r>
        <w:rPr>
          <w:rFonts w:hint="default" w:ascii="Times New Roman" w:hAnsi="Times New Roman" w:eastAsia="方正仿宋_GBK" w:cs="Times New Roman"/>
          <w:highlight w:val="none"/>
        </w:rPr>
        <w:t>；</w:t>
      </w:r>
      <w:r>
        <w:rPr>
          <w:rFonts w:hint="default" w:ascii="Times New Roman" w:hAnsi="Times New Roman" w:eastAsia="方正仿宋_GBK" w:cs="Times New Roman"/>
          <w:b/>
          <w:bCs/>
          <w:highlight w:val="none"/>
        </w:rPr>
        <w:t>三类区域</w:t>
      </w:r>
      <w:r>
        <w:rPr>
          <w:rFonts w:hint="default" w:ascii="Times New Roman" w:hAnsi="Times New Roman" w:eastAsia="方正仿宋_GBK" w:cs="Times New Roman"/>
          <w:b/>
          <w:bCs/>
          <w:highlight w:val="none"/>
          <w:lang w:val="en-US" w:eastAsia="zh-CN"/>
        </w:rPr>
        <w:t>为42</w:t>
      </w:r>
      <w:r>
        <w:rPr>
          <w:rFonts w:hint="default" w:ascii="Times New Roman" w:hAnsi="Times New Roman" w:eastAsia="方正仿宋_GBK" w:cs="Times New Roman"/>
          <w:b/>
          <w:bCs/>
          <w:highlight w:val="none"/>
        </w:rPr>
        <w:t>万元/亩</w:t>
      </w:r>
      <w:r>
        <w:rPr>
          <w:rFonts w:hint="default" w:ascii="Times New Roman" w:hAnsi="Times New Roman" w:eastAsia="方正仿宋_GBK" w:cs="Times New Roman"/>
          <w:b/>
          <w:bCs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highlight w:val="none"/>
        </w:rPr>
        <w:t>包括十直镇、树人镇、龙孔镇、龙河镇、包鸾镇、保合镇、仁沙镇、董家镇、许明寺镇、三元镇、兴龙镇、双龙镇、江池镇、青龙乡全域；</w:t>
      </w:r>
      <w:r>
        <w:rPr>
          <w:rFonts w:hint="default" w:ascii="Times New Roman" w:hAnsi="Times New Roman" w:eastAsia="方正仿宋_GBK" w:cs="Times New Roman"/>
          <w:b/>
          <w:bCs/>
          <w:highlight w:val="none"/>
        </w:rPr>
        <w:t>四类区域</w:t>
      </w:r>
      <w:r>
        <w:rPr>
          <w:rFonts w:hint="default" w:ascii="Times New Roman" w:hAnsi="Times New Roman" w:eastAsia="方正仿宋_GBK" w:cs="Times New Roman"/>
          <w:b/>
          <w:bCs/>
          <w:highlight w:val="none"/>
          <w:lang w:val="en-US" w:eastAsia="zh-CN"/>
        </w:rPr>
        <w:t>为38</w:t>
      </w:r>
      <w:r>
        <w:rPr>
          <w:rFonts w:hint="default" w:ascii="Times New Roman" w:hAnsi="Times New Roman" w:eastAsia="方正仿宋_GBK" w:cs="Times New Roman"/>
          <w:b/>
          <w:bCs/>
          <w:highlight w:val="none"/>
        </w:rPr>
        <w:t>万元/亩</w:t>
      </w:r>
      <w:r>
        <w:rPr>
          <w:rFonts w:hint="default" w:ascii="Times New Roman" w:hAnsi="Times New Roman" w:eastAsia="方正仿宋_GBK" w:cs="Times New Roman"/>
          <w:b/>
          <w:bCs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highlight w:val="none"/>
        </w:rPr>
        <w:t>包括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南天湖镇、暨龙镇、武平镇、三建镇</w:t>
      </w:r>
      <w:r>
        <w:rPr>
          <w:rFonts w:hint="eastAsia" w:cs="Times New Roman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栗子乡</w:t>
      </w:r>
      <w:r>
        <w:rPr>
          <w:rFonts w:hint="eastAsia" w:cs="Times New Roman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都督乡、太平坝乡全</w:t>
      </w:r>
      <w:r>
        <w:rPr>
          <w:rFonts w:hint="default" w:ascii="Times New Roman" w:hAnsi="Times New Roman" w:eastAsia="方正仿宋_GBK" w:cs="Times New Roman"/>
          <w:highlight w:val="none"/>
        </w:rPr>
        <w:t>域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；仙女湖镇除厢坝组团外其余区域</w:t>
      </w:r>
      <w:r>
        <w:rPr>
          <w:rFonts w:hint="default" w:ascii="Times New Roman" w:hAnsi="Times New Roman" w:eastAsia="方正仿宋_GBK" w:cs="Times New Roman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</w:rPr>
        <w:t>（二</w:t>
      </w:r>
      <w:r>
        <w:rPr>
          <w:rFonts w:hint="eastAsia" w:cs="Times New Roman"/>
          <w:highlight w:val="none"/>
          <w:lang w:eastAsia="zh-CN"/>
        </w:rPr>
        <w:t>）</w:t>
      </w:r>
      <w:r>
        <w:rPr>
          <w:rFonts w:hint="eastAsia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highlight w:val="none"/>
        </w:rPr>
        <w:t>若征地机构前期根据用地协议直接收取了征地费用的，则在后期用地单位申请办理划拨土地手续时</w:t>
      </w:r>
      <w:r>
        <w:rPr>
          <w:rFonts w:hint="eastAsia" w:cs="Times New Roman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highlight w:val="none"/>
        </w:rPr>
        <w:t>由征地（收）机构或者土地储备机构、有关议事协调机构代为缴纳划拨土地成本。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</w:rPr>
        <w:t>（三）以下项目在办理划拨审批时可不缴纳划拨土地价款：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highlight w:val="none"/>
        </w:rPr>
        <w:t>1.城市道路、公共绿化（公园除外）划拨用地项目，且供地主体单位出具相关土地成本分摊证明或分摊承诺的</w:t>
      </w:r>
      <w:r>
        <w:rPr>
          <w:rFonts w:hint="eastAsia" w:cs="Times New Roman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highlight w:val="none"/>
        </w:rPr>
        <w:t>.自有土地权属范围内新建或者改扩建项目，且符合划拨目录或继续保留划拨用地方式的。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highlight w:val="none"/>
        </w:rPr>
        <w:t>国家及市级明确规定可不缴纳划拨成本的项目（未分摊土地成本的除外），可按上级文件执行免缴政策。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highlight w:val="none"/>
        </w:rPr>
      </w:pPr>
      <w:r>
        <w:rPr>
          <w:rFonts w:hint="eastAsia" w:ascii="方正黑体_GBK" w:hAnsi="方正黑体_GBK" w:eastAsia="方正黑体_GBK" w:cs="方正黑体_GBK"/>
          <w:highlight w:val="none"/>
        </w:rPr>
        <w:t>二、其他事项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highlight w:val="none"/>
        </w:rPr>
        <w:t>（一）对已纳入政府投资计划目录、已取得投资主管部门立项批复（核准、备案）的，按照上述对应指导标准核算划拨土地价款后，直接上报审批用地手续。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highlight w:val="none"/>
        </w:rPr>
        <w:t>（二）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highlight w:val="none"/>
        </w:rPr>
        <w:t>财政局、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highlight w:val="none"/>
        </w:rPr>
        <w:t>规划自然资源局会同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highlight w:val="none"/>
        </w:rPr>
        <w:t>征地事务中心</w:t>
      </w:r>
      <w:r>
        <w:rPr>
          <w:rFonts w:hint="eastAsia" w:cs="Times New Roman"/>
          <w:highlight w:val="none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highlight w:val="none"/>
        </w:rPr>
        <w:t>有关整治实施机构，指导项目用地单位做好划拨土地价款缴纳工作，对具体执行中遇</w:t>
      </w:r>
      <w:r>
        <w:rPr>
          <w:rFonts w:hint="eastAsia" w:cs="Times New Roman"/>
          <w:highlight w:val="none"/>
          <w:lang w:eastAsia="zh-CN"/>
        </w:rPr>
        <w:t>到的</w:t>
      </w:r>
      <w:r>
        <w:rPr>
          <w:rFonts w:hint="default" w:ascii="Times New Roman" w:hAnsi="Times New Roman" w:eastAsia="方正仿宋_GBK" w:cs="Times New Roman"/>
          <w:highlight w:val="none"/>
        </w:rPr>
        <w:t>问题应及时报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highlight w:val="none"/>
        </w:rPr>
        <w:t>政府研究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highlight w:val="none"/>
        </w:rPr>
        <w:t>如遇用地单位申请按照低于本通知划拨土地价款划拨土地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highlight w:val="none"/>
        </w:rPr>
        <w:t>特殊情形需</w:t>
      </w:r>
      <w:r>
        <w:rPr>
          <w:rFonts w:hint="eastAsia" w:cs="Times New Roman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highlight w:val="none"/>
        </w:rPr>
        <w:t>一事一议</w:t>
      </w:r>
      <w:r>
        <w:rPr>
          <w:rFonts w:hint="eastAsia" w:cs="Times New Roman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highlight w:val="none"/>
        </w:rPr>
        <w:t>，应按程序报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highlight w:val="none"/>
        </w:rPr>
        <w:t>政府决策后，按议定意见办理。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土地划拨地价</w:t>
      </w:r>
      <w:r>
        <w:rPr>
          <w:rFonts w:hint="default" w:ascii="Times New Roman" w:hAnsi="Times New Roman" w:eastAsia="方正仿宋_GBK" w:cs="Times New Roman"/>
          <w:highlight w:val="none"/>
        </w:rPr>
        <w:t>原则上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highlight w:val="none"/>
        </w:rPr>
        <w:t>年调整一次，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县政府可依据经济发展状况和征地补偿、土地报批等土地取得成本的变化，适时调整划拨土地价款指导标准。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highlight w:val="none"/>
        </w:rPr>
        <w:t>本通知自印发之日起正式实施。执行前已受理的划拨项目，仍按原政策执行。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 xml:space="preserve">                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   </w:t>
      </w:r>
      <w:r>
        <w:rPr>
          <w:rFonts w:hint="eastAsia" w:cs="Times New Roman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 xml:space="preserve"> 丰都县</w:t>
      </w:r>
      <w:r>
        <w:rPr>
          <w:rFonts w:hint="default" w:ascii="Times New Roman" w:hAnsi="Times New Roman" w:eastAsia="方正仿宋_GBK" w:cs="Times New Roman"/>
          <w:highlight w:val="none"/>
        </w:rPr>
        <w:t>人民政府办公室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                  </w:t>
      </w:r>
      <w:r>
        <w:rPr>
          <w:rFonts w:hint="eastAsia" w:cs="Times New Roman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highlight w:val="none"/>
        </w:rPr>
        <w:t>年</w:t>
      </w:r>
      <w:r>
        <w:rPr>
          <w:rFonts w:hint="eastAsia" w:cs="Times New Roman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highlight w:val="none"/>
        </w:rPr>
        <w:t>月</w:t>
      </w:r>
      <w:r>
        <w:rPr>
          <w:rFonts w:hint="eastAsia" w:cs="Times New Roman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highlight w:val="none"/>
        </w:rPr>
        <w:t>日</w:t>
      </w:r>
      <w:r>
        <w:rPr>
          <w:rFonts w:hint="eastAsia" w:cs="Times New Roman"/>
          <w:highlight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highlight w:val="none"/>
        </w:rPr>
        <w:t>（此件公开发布）</w:t>
      </w:r>
    </w:p>
    <w:p>
      <w:pPr>
        <w:rPr>
          <w:rFonts w:hint="default" w:ascii="Times New Roman" w:hAnsi="Times New Roman" w:eastAsia="方正仿宋_GBK" w:cs="Times New Roman"/>
          <w:highlight w:val="none"/>
        </w:rPr>
      </w:pPr>
    </w:p>
    <w:p>
      <w:pPr>
        <w:spacing w:line="570" w:lineRule="exact"/>
        <w:jc w:val="left"/>
        <w:rPr>
          <w:rFonts w:hint="eastAsia"/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3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3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3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3"/>
        <w:rPr>
          <w:highlight w:val="none"/>
        </w:rPr>
      </w:pPr>
    </w:p>
    <w:p/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3"/>
        <w:rPr>
          <w:highlight w:val="none"/>
        </w:rPr>
      </w:pPr>
    </w:p>
    <w:p>
      <w:pPr>
        <w:rPr>
          <w:highlight w:val="none"/>
        </w:rPr>
      </w:pPr>
    </w:p>
    <w:p>
      <w:pPr>
        <w:pStyle w:val="3"/>
        <w:jc w:val="both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28"/>
          <w:szCs w:val="28"/>
          <w:lang w:bidi="he-IL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0"/>
          <w:sz w:val="28"/>
          <w:szCs w:val="28"/>
          <w:lang w:val="en-US" w:eastAsia="zh-CN" w:bidi="he-IL"/>
        </w:rPr>
        <w:t>丰都县人民政府</w:t>
      </w:r>
      <w:r>
        <w:rPr>
          <w:rFonts w:hint="default" w:ascii="Times New Roman" w:hAnsi="Times New Roman" w:eastAsia="方正仿宋_GBK" w:cs="Times New Roman"/>
          <w:spacing w:val="0"/>
          <w:kern w:val="0"/>
          <w:sz w:val="28"/>
          <w:szCs w:val="28"/>
          <w:lang w:bidi="he-IL"/>
        </w:rPr>
        <w:t xml:space="preserve">办公室          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en-US" w:eastAsia="zh-CN" w:bidi="he-IL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kern w:val="0"/>
          <w:sz w:val="28"/>
          <w:szCs w:val="28"/>
          <w:lang w:val="en-US" w:eastAsia="zh-CN" w:bidi="he-IL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0"/>
          <w:sz w:val="28"/>
          <w:szCs w:val="28"/>
          <w:lang w:bidi="he-IL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kern w:val="0"/>
          <w:sz w:val="28"/>
          <w:szCs w:val="28"/>
          <w:lang w:val="en-US" w:eastAsia="zh-CN" w:bidi="he-IL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kern w:val="0"/>
          <w:sz w:val="28"/>
          <w:szCs w:val="28"/>
          <w:lang w:bidi="he-IL"/>
        </w:rPr>
        <w:t xml:space="preserve"> 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en-US" w:eastAsia="zh-CN" w:bidi="he-IL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kern w:val="0"/>
          <w:sz w:val="28"/>
          <w:szCs w:val="28"/>
          <w:lang w:bidi="he-IL"/>
        </w:rPr>
        <w:t>20</w:t>
      </w:r>
      <w:r>
        <w:rPr>
          <w:rFonts w:hint="default" w:ascii="Times New Roman" w:hAnsi="Times New Roman" w:eastAsia="方正仿宋_GBK" w:cs="Times New Roman"/>
          <w:spacing w:val="0"/>
          <w:kern w:val="0"/>
          <w:sz w:val="28"/>
          <w:szCs w:val="28"/>
          <w:lang w:val="en-US" w:eastAsia="zh-CN" w:bidi="he-IL"/>
        </w:rPr>
        <w:t>2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en-US" w:eastAsia="zh-CN" w:bidi="he-IL"/>
        </w:rPr>
        <w:t>5</w:t>
      </w:r>
      <w:r>
        <w:rPr>
          <w:rFonts w:hint="default" w:ascii="Times New Roman" w:hAnsi="Times New Roman" w:eastAsia="方正仿宋_GBK" w:cs="Times New Roman"/>
          <w:spacing w:val="0"/>
          <w:kern w:val="0"/>
          <w:sz w:val="28"/>
          <w:szCs w:val="28"/>
          <w:lang w:bidi="he-IL"/>
        </w:rPr>
        <w:t>年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en-US" w:eastAsia="zh-CN" w:bidi="he-IL"/>
        </w:rPr>
        <w:t>7</w:t>
      </w:r>
      <w:r>
        <w:rPr>
          <w:rFonts w:hint="default" w:ascii="Times New Roman" w:hAnsi="Times New Roman" w:eastAsia="方正仿宋_GBK" w:cs="Times New Roman"/>
          <w:spacing w:val="0"/>
          <w:kern w:val="0"/>
          <w:sz w:val="28"/>
          <w:szCs w:val="28"/>
          <w:lang w:bidi="he-IL"/>
        </w:rPr>
        <w:t>月</w:t>
      </w:r>
      <w:r>
        <w:rPr>
          <w:rFonts w:hint="eastAsia" w:ascii="Times New Roman" w:hAnsi="Times New Roman" w:eastAsia="方正仿宋_GBK" w:cs="Times New Roman"/>
          <w:spacing w:val="0"/>
          <w:kern w:val="0"/>
          <w:sz w:val="28"/>
          <w:szCs w:val="28"/>
          <w:lang w:val="en-US" w:eastAsia="zh-CN" w:bidi="he-IL"/>
        </w:rPr>
        <w:t>23</w:t>
      </w:r>
      <w:r>
        <w:rPr>
          <w:rFonts w:hint="default" w:ascii="Times New Roman" w:hAnsi="Times New Roman" w:eastAsia="方正仿宋_GBK" w:cs="Times New Roman"/>
          <w:spacing w:val="0"/>
          <w:kern w:val="0"/>
          <w:sz w:val="28"/>
          <w:szCs w:val="28"/>
          <w:lang w:bidi="he-IL"/>
        </w:rPr>
        <w:t>日印发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en-US" w:eastAsia="zh-CN"/>
        </w:rPr>
        <w:t xml:space="preserve">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  <w:p>
    <w:pPr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932E3"/>
    <w:rsid w:val="04C803EE"/>
    <w:rsid w:val="07F039D0"/>
    <w:rsid w:val="087B27AC"/>
    <w:rsid w:val="0A560642"/>
    <w:rsid w:val="0A694EC7"/>
    <w:rsid w:val="0CB27AE1"/>
    <w:rsid w:val="0F0A1DF9"/>
    <w:rsid w:val="123A0C48"/>
    <w:rsid w:val="130354DD"/>
    <w:rsid w:val="13EE5846"/>
    <w:rsid w:val="146D531B"/>
    <w:rsid w:val="15717A8F"/>
    <w:rsid w:val="18277E87"/>
    <w:rsid w:val="1A0B083F"/>
    <w:rsid w:val="1AAF0BC7"/>
    <w:rsid w:val="1CB3762C"/>
    <w:rsid w:val="1DC33119"/>
    <w:rsid w:val="20B41BC5"/>
    <w:rsid w:val="246102B6"/>
    <w:rsid w:val="29A547A1"/>
    <w:rsid w:val="2BB138D1"/>
    <w:rsid w:val="2D957BCE"/>
    <w:rsid w:val="2DDD6BFF"/>
    <w:rsid w:val="335F3754"/>
    <w:rsid w:val="3525337D"/>
    <w:rsid w:val="352944D8"/>
    <w:rsid w:val="36C7044C"/>
    <w:rsid w:val="38237904"/>
    <w:rsid w:val="3B762C7E"/>
    <w:rsid w:val="3D1D5FDF"/>
    <w:rsid w:val="4175610F"/>
    <w:rsid w:val="431F6F1A"/>
    <w:rsid w:val="439F7E9C"/>
    <w:rsid w:val="442742D8"/>
    <w:rsid w:val="452C1613"/>
    <w:rsid w:val="47376F28"/>
    <w:rsid w:val="47D429C9"/>
    <w:rsid w:val="4A8045F9"/>
    <w:rsid w:val="4BAD5A0B"/>
    <w:rsid w:val="4E956119"/>
    <w:rsid w:val="53CC1231"/>
    <w:rsid w:val="56B53598"/>
    <w:rsid w:val="57D6042B"/>
    <w:rsid w:val="58F07E12"/>
    <w:rsid w:val="59352B9C"/>
    <w:rsid w:val="5A672A61"/>
    <w:rsid w:val="5DC015CE"/>
    <w:rsid w:val="5F733846"/>
    <w:rsid w:val="604E1113"/>
    <w:rsid w:val="61A00737"/>
    <w:rsid w:val="62A97FB0"/>
    <w:rsid w:val="64E738E4"/>
    <w:rsid w:val="656932E3"/>
    <w:rsid w:val="683F5106"/>
    <w:rsid w:val="684B23DC"/>
    <w:rsid w:val="6B7E377C"/>
    <w:rsid w:val="6C6920F9"/>
    <w:rsid w:val="6D991B88"/>
    <w:rsid w:val="721052AB"/>
    <w:rsid w:val="77E912C9"/>
    <w:rsid w:val="78535589"/>
    <w:rsid w:val="78E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line="594" w:lineRule="exact"/>
      <w:jc w:val="center"/>
      <w:outlineLvl w:val="0"/>
    </w:pPr>
    <w:rPr>
      <w:rFonts w:eastAsia="方正小标宋_GBK"/>
      <w:b/>
      <w:bCs/>
      <w:sz w:val="44"/>
      <w:szCs w:val="32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1085</Words>
  <Characters>1104</Characters>
  <Lines>0</Lines>
  <Paragraphs>0</Paragraphs>
  <TotalTime>8</TotalTime>
  <ScaleCrop>false</ScaleCrop>
  <LinksUpToDate>false</LinksUpToDate>
  <CharactersWithSpaces>1205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2025-05-20T15:23:00Z</dcterms:created>
  <dc:creator>诉不尽的。。。</dc:creator>
  <cp:lastModifiedBy>user</cp:lastModifiedBy>
  <cp:lastPrinted>2025-07-28T17:35:00Z</cp:lastPrinted>
  <dcterms:modified xsi:type="dcterms:W3CDTF">2025-07-30T15:20:33Z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F34E25B13EAD40DC84742AE3E5B3F143_11</vt:lpwstr>
  </property>
  <property fmtid="{D5CDD505-2E9C-101B-9397-08002B2CF9AE}" pid="4" name="KSOTemplateDocerSaveRecord">
    <vt:lpwstr>eyJoZGlkIjoiMDU3YWE3YjVjMGE5YmJkM2M4OTZhM2E4OGViOWViZjAiLCJ1c2VySWQiOiI5NjExMTkwMjkifQ==</vt:lpwstr>
  </property>
</Properties>
</file>