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FF0000"/>
          <w:w w:val="1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FF0000"/>
          <w:w w:val="1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color w:val="FF0000"/>
          <w:w w:val="100"/>
          <w:kern w:val="0"/>
          <w:szCs w:val="32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FF0000"/>
          <w:w w:val="60"/>
          <w:kern w:val="0"/>
          <w:sz w:val="130"/>
          <w:szCs w:val="130"/>
        </w:rPr>
        <w:t>中共丰都县委办公室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156" w:firstLineChars="49"/>
        <w:jc w:val="center"/>
        <w:textAlignment w:val="auto"/>
        <w:outlineLvl w:val="9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丰委办〔20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kern w:val="0"/>
          <w:szCs w:val="32"/>
        </w:rPr>
        <w:t>〕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58</w:t>
      </w:r>
      <w:r>
        <w:rPr>
          <w:rFonts w:hint="default" w:ascii="Times New Roman" w:hAnsi="Times New Roman" w:cs="Times New Roman"/>
          <w:kern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left"/>
        <w:textAlignment w:val="auto"/>
        <w:outlineLvl w:val="9"/>
        <w:rPr>
          <w:rFonts w:hint="default" w:ascii="Times New Roman" w:hAnsi="Times New Roman" w:cs="Times New Roman"/>
          <w:spacing w:val="0"/>
          <w:kern w:val="0"/>
        </w:rPr>
      </w:pPr>
      <w:r>
        <w:rPr>
          <w:rFonts w:hint="default" w:ascii="Times New Roman" w:hAnsi="Times New Roman" w:cs="Times New Roman"/>
          <w:spacing w:val="0"/>
          <w:kern w:val="0"/>
          <w:szCs w:val="32"/>
        </w:rPr>
        <w:pict>
          <v:line id="_x0000_s1026" o:spid="_x0000_s1026" o:spt="20" style="position:absolute;left:0pt;flip:y;margin-left:1.3pt;margin-top:1.65pt;height:2.05pt;width:442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spacing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_GBK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snapToGrid w:val="0"/>
          <w:kern w:val="0"/>
          <w:sz w:val="44"/>
          <w:szCs w:val="44"/>
        </w:rPr>
        <w:t>中共丰都县委办公室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_GBK"/>
          <w:b w:val="0"/>
          <w:bCs w:val="0"/>
          <w:snapToGrid w:val="0"/>
          <w:spacing w:val="-22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snapToGrid w:val="0"/>
          <w:spacing w:val="-22"/>
          <w:kern w:val="0"/>
          <w:sz w:val="44"/>
          <w:szCs w:val="44"/>
        </w:rPr>
        <w:t>丰都县人民政府办公室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关于印发《丰都县“揭榜挂帅”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工作方案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》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通  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outlineLvl w:val="9"/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u w:val="none"/>
          <w:lang w:val="en-US" w:eastAsia="zh-CN"/>
        </w:rPr>
        <w:t>各乡镇党委、政府，各街道党工委、办事处，县委各部委，县级国家机关各部门，各人民团体及有关企事业单位：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 w:val="0"/>
          <w:bCs w:val="0"/>
          <w:kern w:val="2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2"/>
          <w:sz w:val="32"/>
          <w:szCs w:val="32"/>
          <w:u w:val="none"/>
          <w:lang w:val="en-US" w:eastAsia="zh-CN" w:bidi="he-IL"/>
        </w:rPr>
        <w:t>《丰都县“揭榜挂帅”工作方案》已经县委、县政府研究同意，现印发给你们，请结合本地区本部门（单位）实际，认真组织实施。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napToGrid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snapToGrid w:val="0"/>
          <w:kern w:val="0"/>
          <w:sz w:val="32"/>
          <w:szCs w:val="32"/>
          <w:lang w:val="en-US" w:eastAsia="zh-CN" w:bidi="ar"/>
        </w:rPr>
        <w:t>（此页无正文）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napToGrid w:val="0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楷体_GBK" w:cs="方正楷体_GBK"/>
          <w:snapToGrid w:val="0"/>
          <w:kern w:val="0"/>
          <w:sz w:val="32"/>
          <w:szCs w:val="32"/>
          <w:lang w:val="en-US" w:eastAsia="zh-CN" w:bidi="ar"/>
        </w:rPr>
        <w:t xml:space="preserve">                             中共丰都县委办公室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napToGrid w:val="0"/>
          <w:spacing w:val="-16"/>
          <w:kern w:val="0"/>
          <w:sz w:val="32"/>
          <w:szCs w:val="32"/>
          <w:lang w:val="en-US" w:eastAsia="zh-CN" w:bidi="ar"/>
        </w:rPr>
        <w:t xml:space="preserve">                                     丰都县人民政府办公室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napToGrid w:val="0"/>
          <w:kern w:val="0"/>
        </w:rPr>
      </w:pPr>
      <w:r>
        <w:rPr>
          <w:rFonts w:hint="eastAsia" w:ascii="Times New Roman" w:hAnsi="Times New Roman" w:eastAsia="方正楷体_GBK" w:cs="方正楷体_GBK"/>
          <w:snapToGrid w:val="0"/>
          <w:kern w:val="0"/>
          <w:sz w:val="32"/>
          <w:szCs w:val="32"/>
          <w:lang w:val="en-US" w:eastAsia="zh-CN"/>
        </w:rPr>
        <w:t xml:space="preserve">                                 2023年6月26日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left="0" w:lef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丰都县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揭榜挂帅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（一）主要目的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坚持谁有本事谁揭榜，围绕经济社会发展、党的建设、基层社会治理发布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榜单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，组织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体制内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单位或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社会人士“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，着力啃下事关丰都高质量发展的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硬骨头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，为把丰都建设成为丰都人民喜欢的样子提供坚强保障。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自上而下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自下而上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相结合。聚焦群众关心的热点难点痛点问题和县委、县政府急需解决的问题，开展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坚持以小切口解决大课题。从小范围、小切口、小问题着手，打破工作的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天花板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、信息壁垒，以最小的行政代价、试错成本推动工作有突破、有成果。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坚持财政资金与社会资本相结合。发挥财政资金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四两拨千斤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的作用，撬动社会资本参与，推动经济社会高质量发展。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坚持竞争性立项与集中性攻坚相结合。围绕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不属于公开招投标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等项目，动员行政力量、社会力量竞争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二、揭榜程序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（一）建榜。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由县委办公室牵头，县政府办公室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县委组织部、县基层社会治理中心负责，有关县级部门（单位）配合，围绕经济社会发展、党的建设、基层社会治理长年征集并分别建立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榜单库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。榜单内容主要包括：发榜单位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揭榜对象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主要目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成果要求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资源匹配和配套政策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时间周期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其他事宜等内容。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（二）发榜。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”工作专班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负责，对榜单的可行性、必要性进行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研判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，重点遴选影响力大、带动性强、应用面广的榜单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，并按程序送审。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”工作专班牵头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各发榜单位负责，具体通过协同办公内网、丰都县人民政府网等渠道发布榜单。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（三）揭榜。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符合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公告规定条件的单位或个人，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可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单独或联合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向发榜单位申报揭榜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（四）定榜。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由发榜单位对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参与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的对象进行审核，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提出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拟参与的揭榜对象并公示。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（五）评榜。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由分管县领导、发榜单位、专家学者等组建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评榜团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，通过实地查验、第三方测评等方式，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对揭榜方进行达标验收、评比排名等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。顺利完成既定目标、各方面反响好的揭榜项目，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属于确需进行技术攻关等方面的重难点榜单，按规定给予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资源匹配和配套政策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；属于揭榜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多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的普发性榜单，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除按规定享受普惠政策外，还可按照揭榜单位总数的10%—30%进行奖励。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（六）用榜。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建立推广应用机制，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加大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通报表扬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力度，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最大程度转化成果。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三、保障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（一）完善组织机构。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由县委办公室、县政府办公室、县委组织部、县基层社会治理中心明确专人组建“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”工作专班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负责抓好“揭榜挂帅”有关工作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。坚持边干边完善，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加强过程指导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及时总结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复盘，确保工作落到实处、做出成效。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（二）压实工作责任。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将“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纳入动态比试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“一把手”例会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内容，纳入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三牛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典型评选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内容，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纳入经济社会发展业绩考核内容。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”工作专班要加强引导，动员社会团体、各级各部门尤其是乡镇（街道）揭榜当先锋、领衔破难题，推动形成敢闯敢干、唯实争先的浓厚氛围。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县财政局和各发榜单位要加强资金争取和统筹保障。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（三）注重容错激励。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各级各部门要坚持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三个区分开来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的原则，营造鼓励创新、宽容失败的氛围，做到该容的容、该奖的奖。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（四）加强宣传引导。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”工作专班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要加强提炼总结，形成一批有辨识度、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可复制推广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“示范榜”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。县属融媒体平台要加强宣传报道，及时回应各方关切，最大程度凝聚共识，营造良好舆论环境。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附件：丰都县首批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揭榜挂帅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榜单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  <w:lang w:eastAsia="zh-CN"/>
        </w:rPr>
        <w:t>丰都县首批“揭榜挂帅”榜单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一、肉牛养殖实训基地榜单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国有企业、社会投资主体。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16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建设5个满足10人及以上实训规模的肉牛产业培训示范基地。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打造能够满足10人及以上培训学习、生产生活，配备必要教学设施设备的教学场所。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常态化开展“打工式”“师徒式”培训，培育成长新农人3人以上。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形成一套科学的“打工式”“师徒式”培训模式和培训机制。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对实训基地室内教学场所培训设备、住宿物资、生活用品等给予10万元补助。同时，享受新农人培训补助政策。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2023年11月底前完成。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有能支撑“打工式”“师徒式”培训的师资力量。最终解释权归县农业农村委。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何川东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13996724651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二、雪花肉牛养殖榜单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国有企业、社会投资主体。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建设3个标准化高档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肉牛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养殖场，单个养殖场养殖“丰都牛”“安格斯牛”或“日本和牛”等优质品种40头以上。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采用彩钢或琉璃瓦顶棚，垫料围栏圈舍，每头牛平均占地面积在12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平方米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bidi="ar-SA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bidi="ar-SA"/>
        </w:rPr>
        <w:t>饲养周期30月龄，雪花等级A3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 w:bidi="ar-SA"/>
        </w:rPr>
        <w:t>级以上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 w:bidi="ar-SA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形成一套成熟的标准化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养殖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规范，并可推广运用。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16" w:firstLineChars="20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办理土地备案、环评备案（报告书）和动物条件合格证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16" w:firstLineChars="20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）饲养科学规范、绿色生态。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无环境污染，无异味。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对达到标准的给予30万元补助。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2024年11月底前完成。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联系人：何川东，13996724651。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三、麻辣鸡原料鸡养殖基地榜单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1．发榜单位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国有企业、社会投资主体。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建设5个麻辣鸡原料鸡养殖基地，单个基地需建成50亩以上的麻辣鸡原料鸡林下散养基地或存栏3000只的标准化麻辣鸡原料鸡养殖大棚基地。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利用全县现有林下资源，以10亩林下生态散养为1个单元，每个养殖单元配套建设100平方米的圈舍及防护网、养殖原料鸡500只，基地总体规模达50亩以上。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新建500平方米标准养殖大棚，配套建设自动投料、自动供水及自动温控等设施，养殖麻辣鸡原料鸡3000只以上。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与麻辣鸡生产企业形成稳定的供销机制。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产业发展符合国土、林业、环保等相关法律法规要求。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以上1、2项为任选一项，第3、4项为必备项。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综合评比排名前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5的给予补助。其中，对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达到要求的林下散养基地给予8万元补助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对达到要求的养殖大棚基地给予10万元补助。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2023年11月底前完成。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形成麻辣鸡原料鸡标准化养殖技术规程。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麻辣鸡原料鸡散养要控制养殖密度，大棚养殖推行垫草垫料，确保养殖生态化。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一个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揭榜对象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原则上只建设1个麻辣鸡原料鸡养殖基地。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何川东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13996724651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四、农业社会化服务组织建设榜单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1．发榜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rPr>
          <w:rFonts w:hint="default" w:ascii="Times New Roman" w:hAnsi="Times New Roman" w:cs="Times New Roman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新组建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3个社会化服务组织，每个社会化服务组织全年开展2000亩的水稻社会化服务。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新组建社会化服务组织装备完善，有固定办公场所，取得相应从业资质。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针对我县山地丘陵地形特征，打造2000亩的水稻社会化服务示范片，摸索总结形成一套可复制、可推广的农业社会化服务模式，为“谁来种地”“怎么种地”提供解决方案。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）普惠政策。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对新组建的社会化服务组织，在水稻种—收环节开展服务的，按照100元/亩予以补贴。对新组建的社会化服务组织，在水稻病虫害防治、水肥管理环节开展服务的，按照75元/亩补贴。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（2）经费补助。按照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社会化服务组织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规模、质量等进行评选，取前3名的乡镇（街道），分别给予5万元、3万元、2万元的经费补助。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2023年11月底前完成。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联系人：李洪，13658438753。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五、新农人示范乡镇（街道）榜单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打造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3个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产业兴旺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新农人引领、带动小农户增收致富效果显著的新农人示范乡镇（街道）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年收入100万以上的新农人数量占2023年培育任务15%以上；或年收入50万元以上的新农人数量占2023年培育任务的25%以上。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回引大学毕业生、外出务工人员、城市工商资本返乡开展适度规模经营成为新农人，及在乡能人新发展产业成为新农人的数量占2023年培育任务的10%以上。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新农人通过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土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地流转、务工带动、技术指导、产业发展、社会化服务等方式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人均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带动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小农户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户以上，且户均增收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000元以上。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新农人发展产业须符合土地、环保等相关法律法规规定。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的相关指标由高到低取前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3名，分别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给予5万元的产业发展经费奖励。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3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年1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月底前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刘明文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18315155596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六、共富农场示范乡镇（街道）榜单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按照共建共管共享的模式建设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3个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共富农场，带动村集体经济组织平均年经营性收益20万元以上。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乡镇（街道）牵头，多个村联合组建一个实体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（如：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成立股份制公司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等）建设共富农场。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村集体经济组织为共富农场的主要投资方（占股51%以上），充分体现集体的性质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；积极鼓励村集体经济组织负责人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新农人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农户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经营管理人员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等投资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参股，乡贤捐赠资金入股，闲置资产折价入股，合作企业入股等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多方参与的投入模式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共富农场有完备的管理、经营、利益分配机制。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揭榜的乡镇（街道）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按照规模、效益、机制等方面进行评价，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由高到低取前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3名，分别给予5万元、3万元、2万元的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经费补助。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3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年1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月底前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共富农场建设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须符合土地、环保等相关法律法规规定。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易芙蓉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15823697123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七、种植业“亩产论英雄”榜单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建设200亩的单季水稻或玉米种植高产示范片，探索和完善“亩产论英雄”的导向、约束、评判等机制，提高单位产出率。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以“亩产效益”为核心，结合我县单季水稻、玉米等主要农产品重点推广种植模式，分别打造200亩的水稻或玉米种植高产示范片，在全县范围内倡导集约发展，以最少的土地获取最大的“亩产效益”。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针对200亩的水稻高产示范片，单季水稻亩产至少达到650公斤以上；针对200亩的玉米种植高产示范片，玉米亩产至少达到600公斤以上。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结合我县山区丘陵地形地貌特征，提升并集成我县单季水稻、玉米种植技术，总结出一套适合我县实际的单季水稻、玉米种植标准化技术规范。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以绿色发展为导向，促进农产品产量与质量并举为目标，推进化肥农药减量增效，高产示范片的化肥、农药亩均使用量较常规农户减少15%以上，农产品检测结果合格。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针对规模达到200亩，亩产达到650公斤以上的单季水稻高产示范片和对规模达到200亩，亩产达到600公斤以上的玉米种植高产示范片的揭榜对象，由县农业农村委委托专家团队进行测产评比。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对单季水稻亩产排名前三名的乡镇（街道）分别按照5万元、3万元、2万元的标准予以补助资金奖励。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对单季玉米亩产排名前三名的乡镇（街道）分别按照5万元、3万元、2万元的标准予以补助资金奖励。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2023年11月底前完成。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联系人：李洪，13658438753。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八、畜禽产业“亩产论英雄”榜单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国有企业、社会投资主体。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肉牛养殖场存栏大于等于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100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头，成活率大于9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8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%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，全程日增重大于1.2公斤。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生猪养殖场存栏大于等于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24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00头，成活率大于95%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，全程料肉比小于等于2.8：1。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蛋鸡养殖场存栏大于等于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万只，成活率大于95%，年均每只蛋鸡产蛋量大于1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8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16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办理土地备案、环评备案（报告书）和动物条件合格证。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具有标准化养殖圈舍及先进养殖配套设施。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饲养科学规范、产品质量合格。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无环境污染。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评定方式。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　　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①肉牛：对单位面积出栏肉牛数量、出栏肉牛平均重量、全程日增重3个指标进行单独排名，每低1名降5个百分点，3个指标综合排名全县前三名。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②生猪：对单位面积出栏生猪数量、出栏生猪平均重量、全程料肉比3个指标进行单独排名，每低1名降5个百分点，3个指标综合排名全县前三名。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16" w:firstLineChars="200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③蛋鸡：年产蛋总量与养殖场占地面积总量之比全县前三名。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对肉牛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全县前三名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的揭榜对象分别按照6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、4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、2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的标准予以补助资金奖励。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生猪全县前三名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的揭榜对象分别按照8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、5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、3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的标准予以补助资金奖励。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对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蛋鸡全县前三名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的揭榜对象分别按照3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、2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的标准予以补助资金奖励。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2023年11月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底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参评统计时间为2022年11月至2023年10月。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养殖场生产用地面积以乡镇（街道）备案养殖设施用地面积为准。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按照比值高低排序，高者胜。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肉牛、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生猪年出栏总量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以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产地检疫证明为准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。出栏肉牛平均重量、全程肉牛日增重由企业提供佐证资料计算。出栏生猪平均重量、全程生猪料肉比由企业提供佐证资料计算。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16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蛋鸡产蛋量按照养殖场栏位数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×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95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%×19公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斤的方式计算。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最终解释权归县农业农村委。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联系人：何川东，13996724651。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九、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发展民宿酒店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县商务委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16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乡镇（街道）、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 w:bidi="he-IL"/>
        </w:rPr>
        <w:t>机关事业单位、国有企业、民营企业和自然人。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为全面推进乡村振兴，满足人民群众休闲旅游需求，同时激活和扩大内需、增加和保障就业，建设一批有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差异化、特色化、个性化，有较强市场影响力、经营效益好的城镇民宿和乡村民宿。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（1）投资额不少于50万元，单栋房屋客房不超过15间，建筑层数不超过4层，且总建筑面积不超过800平方米。基础设施完善，建筑物和设施设备产权明晰，能为客人提供当地自然、文化与生产生活方式体验。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（2）符合治安、消防、环境保护和安全等规定，取得营业执照、特种行业经营许可证、餐饮经营许可证和个人卫生健康证等的合法民宿。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（3）构建“三产联动、多业融合”民宿经济业态，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推出具有民俗风情、人文底蕴、生态康养、旅游观光、休闲娱乐、户外运动等特色的旅游民宿产品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（4）民宿外在形象要充分体现地方民俗和文化特征，内部设施要现代化，体现舒适感。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（1）积极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支持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企业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享受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中央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市级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相关扶持政策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和招商引资政策。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（2）依据重庆地方标准，达到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客栈民宿、特色民宿、精品民宿和金牌民宿三朵山茶花及以上标准的及时组织申报并授牌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（3）新发展三朵山茶花级及以上的民宿，按照“谁引进、谁获奖”的原则，每发展1家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客栈民宿、特色民宿、精品民宿和金牌民宿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分别给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揭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榜对象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2万、3万、4万、6万元工作经费。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2023年12月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揭榜对象的认定以书面申请为准。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县商务委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张艳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70605266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十、丰都品牌餐饮店发展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县商务委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16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eastAsia="zh-CN"/>
        </w:rPr>
        <w:t>乡镇（街道）、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 w:bidi="he-IL"/>
        </w:rPr>
        <w:t>机关事业单位、国有企业、民营企业及自然人。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通过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引入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或培育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知名品牌连锁餐饮，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让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餐饮从个体化为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的粗放式经营进入品牌思维的发展格局，提升城市形象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，满足人民对美好生活的需求。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（1）引入餐饮连锁榜单上的餐饮连锁（含分类项的火锅连锁、奶茶连锁）十大品牌榜、人气品牌榜和实力榜的连锁餐饮企业入驻丰都。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（2）将丰都本土餐饮企业培育成全市乃至全国的知名品牌，并向全市或全国推广发展。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（1）普惠政策。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引入或培育成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品牌连锁企业享受招商引资相应优惠政策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引入或培育成的品牌餐饮支持享受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中央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市级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相关扶持政策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（2）经费补助。按照“谁引进、谁获奖”的原则，每引入1家品牌餐饮给予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he-IL"/>
        </w:rPr>
        <w:t>揭榜对象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7万元工作经费，每培育一家本土品牌餐饮连锁企业给予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he-IL"/>
        </w:rPr>
        <w:t>揭榜对象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10万元工作经费。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2023年12月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揭榜对象的认定以书面申请为准。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最终解释权归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县商务委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张艳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70605266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十一、创建丰都博士后科研工作站榜单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县委组织部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、县人力社保局。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符合申报设立市级博士后科研工作站的各类在丰企事业单位，及满足博士后科研人员入站要求、熟悉相关设站申报工作的博士联合揭榜。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为深入贯彻党的二十大和中央人才工作会议精神，全面贯彻落实习近平总书记关于做好新时代人才工作的重要思想，根据关于加强和改进新时代博士后工作相关要求，加快博士后青年科研人才队伍建设，培养造就一批高层次创新型青年人才。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通过校地合作、校企共建等模式，探索建立高层次人才联合培养机制，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发挥高层次人才作用，结合我县特色优势产业，创建丰都首家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市级博士后科研工作站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，吸引和鼓励更多高层次人才到丰都开展博士后科研工作，使博士后这支高层次人才生力军成为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丰都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企业科技创新的助推器，以产学研转化促进乡村振兴产业发展，为引领丰都经济社会发展提供源源不断的人才动力。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（1）正式获批设立市级博士后科研工作站。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（2）签订同高校科研院所的联合培养博士后人员协议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（3）完成博士后流动站和工作站双合作导师聘任工作。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（4）形成博士后工作站一系列管理办法及配套措施。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-6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-6"/>
          <w:kern w:val="0"/>
          <w:sz w:val="32"/>
          <w:szCs w:val="32"/>
          <w:u w:val="none"/>
          <w:shd w:val="clear" w:color="auto" w:fill="FFFFFF"/>
          <w:lang w:val="en-US" w:eastAsia="zh-CN"/>
        </w:rPr>
        <w:t>（5）成功入站一批博士后，完成博士后进站备案审批等工作。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（6）启动一批科研项目、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研究课题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（1）县财政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对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在丰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新设立博士后科研工作站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的企事业单位及个人揭榜对象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给予建站资助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奖励30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万元，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对新进站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博士后人员给予一次性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进站奖励10万元，每人每年给予10万元的人才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培养资助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补贴（首年进站后发放，次年根据上一年考核结果发放），入选市级及以上博士后资助及支持项目的博士后，按照市级资助1:1配套，及其他相关政策。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（2）设站单位需同时配套相关专项资金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对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入站培养的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博士后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设立薪酬、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科研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生活补助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专项经费，具体以协议约定为准，以保证在丰博士后科研工作站正常运行，博士后工作顺利开展。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（3）博士后在站及留丰工作期间，每年县财政按个人缴纳个税县级留成部分标准（据实确定）予以补助。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2023年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12月底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前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最终解释权归丰都县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委组织部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、县人力社保局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曾妮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15086807887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邹建铭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13638256105。</w:t>
      </w:r>
    </w:p>
    <w:p>
      <w:pPr>
        <w:keepNext w:val="0"/>
        <w:keepLines w:val="0"/>
        <w:pageBreakBefore w:val="0"/>
        <w:tabs>
          <w:tab w:val="right" w:pos="7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十二、争取改革试点示范榜单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县委改革办。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各乡镇（街道），县委各部委，县级国家机关各部门，各人民团体及有关企事业单位。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聚焦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党建统领体制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经济体制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社会民生领域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民主与法制领域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文化体制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和平安法治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领域六大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重点板块，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围绕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解决制约发展的堵点难点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、解决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群众企业基层所思所盼的改革需求，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各揭榜单位争取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国家或市级试点示范。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成果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争取国家试点示范1个以上或市级试点示范1个以上（以改革报表系统认定为准）。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在经济社会发展业绩考核中予以激励（争取国家试点示范1个加0.2分、市级试点示范1个加0.1分，累计加分不超过1分）。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2023年12月底前完成。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县委改革办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唐宇，13140326998。</w:t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十三、五星活力党组织建设榜单</w:t>
      </w:r>
    </w:p>
    <w:p>
      <w:pPr>
        <w:keepNext w:val="0"/>
        <w:keepLines w:val="0"/>
        <w:pageBreakBefore w:val="0"/>
        <w:widowControl w:val="0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县级各部门党组织、全县各村（社区）党组织。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依托村（社区）党组织、县级部门党组织建立起可以接纳任何党员的“开放式”党组织，让党组织“看得见”“摸得着”，让任何党员都可以就近就便参加活力党组织的活动，让有条件、有资源、有能力的党组织可以管理更多党员、引领更多组织、服务更多群众、提供更多服务。每年分两次共评选20个五星活力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（1）基本要求。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一是党组织号召力强、有威信，社会资源整合力强，在群众中口碑好、社会影响大；二是党组织负责人党性强、能力强、经验丰富；三是有开放的党建活动阵地，有庄重的礼堂、书生气的学堂、烟火气的食堂；四是制度要健全、管理要规范；五是能够统领群团组织、社会组织开展活动，家庭教育互助会健康发展。六是有一个年经营性收入达20万元的“共富农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（2）基本标准。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一是吸引更多党员，活力党组织的注册党员村20人以上、社区100人以上；二是引领更多组织，活力党组织至少要引领成立2个以上的社会组织、1个以上“五跨协同”战斗队等；三是服务更多群众，活力党组织要服务“一老一小”100人以上，服务低保、残疾等重点人群50人以上；四是开展更多活动，活力党组织引领各类组织每个月至少要开展10场次以上的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（3）三力两度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①号召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力——流动党员广泛参与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党组织积极引导流动党员利用“红岩先锋”丰都智慧党建平台，到居住地和联系社区党组织亮明身份、扫码注册，取得参加党组织各种活动的资格，就近就便到各种行业性功能党组织注册。原则上，在职党员每2个月必须报到1次、县级部门党组织每季度必须到联系村（社区）报到1次，党员根据党组织活动发布结合自身安排随时开展报到。报到结束后，及时在云区发布活动信息，获取点赞数量作为活动评价内容，形成闭环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②统领力——统领成立各类组织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在辖区内根据实际情况，引领建立新农人互助会、家庭教育互助会、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健康互助会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、道德评议会、村民议事会等各类法人社会组织、群众自治组织、社区社会组织、群团组织，组建“五跨协同”党员战斗队，更好服务基层，服务群众。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③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吸引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力——开展各类特色活动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党建统领，注重培养党员骨干担任各类组织的负责人，引领各种组织开展丰富多彩的各类活动，通过活动把党员组织起来、人才凝聚起来、群众动员起来，提升社会组织化程度，让社区、小区、院落重新变成“熟人社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④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规范度——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在册党员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按照“体制内党员随供给、体制外党员随户籍”的原则，依托“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红岩先锋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丰都智慧党建平台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，采取“上门+集中”相结合的方式，本人每年到组织关系所在地登记一次，向党组织报告学习、工作、思想等情况。积极参加红岩先锋丰都智慧党建平台在线学习、每日打卡等活动，认真落实“三会一课”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、支部主题党日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、组织生活会、民主评议党员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等组织生活，并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通过“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红岩先锋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丰都智慧党建平台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全流程纪实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33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⑤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满意度——群众满意度测评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采取线上+线下相结合的方式，对村（社区）活力党组织开展群众满意度测评，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he-IL"/>
        </w:rPr>
        <w:t>群众满意度90%以上、知晓度95%以上。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（1）根据评选办法，每半年评选五星活力党组织10个，其中村3个、社区5个、县级部门2个，奖励一次性工作经费3万元/个，共计60万元。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（2）被评选为五星活力党组织的村（社区）党组织书记，在参加面向村干部招录（招聘）公务员（事业单位、国有企业）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时，给予一定加分奖励（加分标准经请示市级主管部门后再明确）。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每年评选2次，7月1日前评选1次，12月31日前评选1次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16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县级部门（单位）党组织参照执行，最终解释权归县委组织部。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陈侯奇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18290575777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十四、党建统领社区（网格）物业自治共管榜单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1．发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县委组织部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县住房城乡建委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全县城市社区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（物业服务中心）或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网格党组织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物业自管小组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业主委员会）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鼓励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三服务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、驻网工作队、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物业服务企业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积极参与，并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进行联合揭榜。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在全县城市社区网格内打造5个“党建统领网格物业自治共管”示范项目。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形成党建统领网格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物业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自治共管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示范点或现场教学基地，经验案例能生长、可复制。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具体达到“六有”标准：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（1）有各类组织成立。有号召力的网格党组织，有能充分发挥作用的物业自管小组（业委会），至少有1个常态化运行的志愿服务组织和兴趣组织。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（2）有网格阵地保障。有一个标准化规范化，开放活力、亲民舒适的党组织活动阵地和物业服务用房，保障居民群众自主议事活动，且运行管理良好。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（3）有物业服务进入。引入物业服务企业、自管物业等不同的物业形态进入网格，统一管理且运行良好。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（4）有自治自管机制。有2个及以上的务实管用、易操作的“居规民约”“功德银行”“红黑榜”等居民议事协调决策机制，网格内无群众重大上访信访事件，居民满意度达98%以上。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5）有集体经济收入。社区及网格有集体经济项目，如结合实际统一网格物业服务、家政服务，推进彩票销售点、快递配送点、代买代送、养老互助食堂等创收项目，增强持续造血功能，集体经济固定利润超过1万元/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6）有网格活动品牌。至少有1个辨识度高、影响力大的“网格活动品牌”，如家庭教育、养老、医疗等互助活动品牌，网格春晚、网格运动会、棋牌社、坝坝舞团等群众文体娱乐活动品牌等，并常态化开展群众喜闻乐见的活动，实现自治互助，把陌生人网格变成熟人网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可生长、可推广等标准评估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验收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后，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每个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奖励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万元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，共计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40万元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；同时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老旧小区改造等项目优先倾斜。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2023年11月底前完成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最终解释权归县委组织部、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县住房城乡建委。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联系人：江霞18996867369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陈江林18996037727。</w:t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十五、新媒体作品创作榜单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县委宣传部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新媒体从业人员或爱好创作新媒体作品的专业人士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通过开展新媒体作品创作榜单活动，充分调动各级网络媒体平台及广大网友宣传丰都、推介丰都，构建网络宣传大矩阵，更好凝聚社会共识，立体传播丰都好声音，全方位展示丰都新形象，全面提升丰都的知名度、美誉度和影响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成果要求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在各大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网络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平台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投放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推介丰都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历史文化、分享丰都美食美景、展现丰都风土人情的新媒体作品，力争推出一批现象级新媒体作品。综合流量指标和作品创造价值，组织相关专家对所有入围作品进行评审，择优选定最终获奖作品。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月度阅读播放量、点赞量、评论量、收藏量、转发量综合数据指标达100W+，奖励3万元。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月度阅读播放量、点赞量、评论量、收藏量、转发量综合数据指标300W+，奖励5万元。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月度阅读播放量、点赞量、评论量、收藏量、转发量综合数据指标1000W+，奖励10万元。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2023年12月底前完成。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最终解释权归县委宣传部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陈健淑；联系电话：15340572172。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十六、养老互助会建设榜单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乡镇（街道）；具有独立法人资格且具备良好诚信的社会组织。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乡镇（街道）建立养老互助会，村（社区）建立养老互助点，完善养老服务网络，形成帮扶机制，帮助解决老年人尤其是生活不能自理或不能完全自理的特困、高龄、空巢、留守老人等特殊群体的看护照料、精神关爱、权益维护等方面的困难，有利于缓解老年人养老难问题，减轻人口老龄化带来的压力，有利于推动居家养老服务的开展，大力整合资源，提升养老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乡镇（街道）建立1个以上的养老互助会。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建立养老互助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，自然村建立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养老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互助小组，开展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一对一、多对一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等互帮互助活动，倡导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互相帮助、助人自助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我帮人人、人人帮我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的互助理念。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参与互助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会的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60岁以上老人不少于该辖区常住老年人口的80%。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建立养老互助会活动规章，发放互助联系卡，设立互助台账，签订帮扶协议，明确帮扶人员、帮扶对象、帮扶内容、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帮扶方式以及帮扶对象子女应承担的责任义务。每月组织老人活动不少于2次。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（4）把养老互助会与“助老”志愿服务活动和居家养老服务相结合，切实发挥好整体效益。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（5）互助养老服务社会满意度不低于95%。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" w:eastAsia="zh-CN"/>
        </w:rPr>
        <w:t>财政筹集资金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60万元，进行综合评比，对有示范引领作用的前20个养老互助会匹配资金3万元/个。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2023年12月底前完成。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7．其他事宜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最终解释权归县民政局。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黄银华，15123604477。</w:t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十七、老年爱心食堂建设榜单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县民政局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依法在民政局注册登记的社会组织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依法在市场监督管理局注册登记的企业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3．主要目标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建设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10个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标准化老年爱心食堂，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采取定点膳食、配送到户等方式，为老年人提供订餐、就餐、送餐便捷服务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解决老年人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一餐热饭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问题，以满足广大老年群体的用餐需求。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老年爱心食堂规模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社区老年爱心食堂建设规模不低于150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平方米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，村老年爱心食堂建设规模不低于100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平方米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老年爱心食堂分区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每个村（社区）老年爱心食堂设有后厨操作区、取餐区、用餐区、储藏区。同时，配备适合老年人使用的桌椅（20张餐饮桌）、餐具（社区不少于60套、村不少于30套）及空调等设施。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（3）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老年爱心食堂标识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每个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老年爱心食堂要在室外明显位置悬挂统一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Logo和店招店牌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，室内打造与老年服务对象就餐匹配的风格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。同时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配备文化娱乐、健身康复等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设施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，丰富老年人生活。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老年爱心食堂经营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每个老年爱心食堂应全天对外开放，提供早、中、晚三餐，对行动不便的老年群体开展送餐上门服务。并按照年龄结构、经济状况、群体类别等不同对象给予有偿、低偿等差异化就餐服务。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firstLine="640" w:firstLineChars="200"/>
        <w:jc w:val="both"/>
        <w:textAlignment w:val="baseline"/>
        <w:rPr>
          <w:rStyle w:val="29"/>
          <w:rFonts w:hint="eastAsia" w:ascii="Times New Roman" w:hAnsi="Times New Roman" w:eastAsia="方正楷体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（5）</w:t>
      </w:r>
      <w:r>
        <w:rPr>
          <w:rStyle w:val="29"/>
          <w:rFonts w:hint="eastAsia" w:ascii="Times New Roman" w:hAnsi="Times New Roman" w:eastAsia="方正楷体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/>
        </w:rPr>
        <w:t>其他成果要求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firstLine="640" w:firstLineChars="200"/>
        <w:jc w:val="both"/>
        <w:textAlignment w:val="baseline"/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</w:pPr>
      <w:r>
        <w:rPr>
          <w:rStyle w:val="29"/>
          <w:rFonts w:hint="eastAsia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/>
        </w:rPr>
        <w:t>①</w:t>
      </w:r>
      <w:r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  <w:t>社区老年爱心食堂月服务人次达1800人次以上，村老年爱心食堂月服务人次达900人次以上。同时，老年爱心食堂老年人服务对象、社会评价满意度达90%。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firstLine="640" w:firstLineChars="200"/>
        <w:jc w:val="both"/>
        <w:textAlignment w:val="baseline"/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</w:pPr>
      <w:r>
        <w:rPr>
          <w:rStyle w:val="29"/>
          <w:rFonts w:hint="eastAsia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/>
        </w:rPr>
        <w:t>②</w:t>
      </w:r>
      <w:r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  <w:t>制定适宜老年</w:t>
      </w:r>
      <w:bookmarkStart w:id="0" w:name="_GoBack"/>
      <w:bookmarkEnd w:id="0"/>
      <w:r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  <w:t>人的营养菜谱，并按时对外公开菜谱及价格，每月应有老年人供餐花名册。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firstLine="640" w:firstLineChars="200"/>
        <w:jc w:val="both"/>
        <w:textAlignment w:val="baseline"/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</w:pPr>
      <w:r>
        <w:rPr>
          <w:rStyle w:val="29"/>
          <w:rFonts w:hint="eastAsia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/>
        </w:rPr>
        <w:t>③</w:t>
      </w:r>
      <w:r>
        <w:rPr>
          <w:rStyle w:val="29"/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  <w:t>每个老年爱心食堂应有适度空间，为老年人开展其他拓展服务配备设施设备及活动阵地。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Style w:val="29"/>
          <w:rFonts w:hint="eastAsia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/>
        </w:rPr>
        <w:t>④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</w:rPr>
        <w:t>每个老年爱心食堂规范运转，落实公示制度，将食品经营许可证、食品安全管理制度、食品安全承诺书、健康证、服务（投诉）电话、开放时间等上墙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（1）费用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减免。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首批建设的老年爱心食堂，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县级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部门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规定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对其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水、电、气等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相关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开户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费用兑现优惠政策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建设补贴。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选定的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老年人爱心食堂参照《丰都县老年爱心食堂建设及星级评定参考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标准建设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，并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进行场所分区及功能配置，对建成后的老年爱心食堂全面评估验收，对验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收评估合格的将划定不同的星级，并按照各类星级补贴标准的60%划拨建设补贴。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（3）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运营补贴。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对建成后正常运营的老年爱心食堂，建立年度考核评估机制，通过机构自评、服务对象满意度测评、行业部门监督考核、社会评价等方式进行运营年度评估考核，根据评估验收结果拨付县级补贴剩余的40%。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指导服务。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县餐饮协会派出在全国厨师大赛上获得高级资质的厨师下沉乡镇（街道）对食谱搭配和烹饪技术开展培训和指导，做到膳食营养丰富、合理均衡、按季更新。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（5）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" w:eastAsia="zh-CN"/>
        </w:rPr>
        <w:t>财政筹集资金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100万元，用于老年爱心食堂的建设和运营补贴。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2023年9月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前完成。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县民政局。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联系人：黄银华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15123604477。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十八、打造青少年家庭教育互助会升级版榜单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发榜单位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县委组织部、团县委、县妇联。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围绕党建引领、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家庭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互助、组织互促、城乡互动，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打造3个特色品牌家庭教育互助会。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辖区留守儿童覆盖率达95%以上，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学生、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家长满意度达95%以上。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（2）至少有1门特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色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课程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能在全县复制推广。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家长参与互助活动频率平均达90%以上，30%的互助会支出由家长负担。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开展家庭教育指导服务每月不少于1次，服务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家长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600人次以上，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家长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满意度达9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城乡互动活动每月不少于1次。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（6）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与社会组织交流互动活动每月不少于1次。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根据评估得分高低，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对前3名分别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给予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7万元、5万元、3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万元的资金或物品奖补。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2023年9月底前完成。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县委组织部、团县委、县妇联。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孙应霞，18325099209；任维利，13658251325；胡曦月，13996789882。</w:t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十九、新丰院落榜单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乡镇（街道）党（工）委、村（院落）。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打造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个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党建引领强、群众参与高、人居环境优、邻里关系好、文明新风靓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的乡村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新丰院落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4．成果要求</w:t>
      </w:r>
    </w:p>
    <w:p>
      <w:pPr>
        <w:keepNext w:val="0"/>
        <w:keepLines w:val="0"/>
        <w:pageBreakBefore w:val="0"/>
        <w:widowControl w:val="0"/>
        <w:tabs>
          <w:tab w:val="left" w:pos="4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每个“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新丰院落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”达到“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1无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”标准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（1）有干净整洁的人居环境。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院落内干净整洁，院落内部及联通外部的道路硬化；院落内有太阳能路灯，群众夜间出行方便；有体育设施、小型活动场所，可供居民休闲健身；院落群众生活习惯好，每户有垃圾设施并且垃圾及时入垃圾桶；院落每年至少开展2次以垃圾分类、衣橱收纳整理等为内容的家居收纳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（2）有健全的道德评议体系和文化活动体系。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建立院落长领导下的议事机构，有村规民约，有红黑榜、积分制等自治体系及展示平台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；有一个完整的文化活动体系，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有1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~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2名专人负责院落日常管理工作；每季度至少开展1次喜闻乐见的群众性活动。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（3）有规范的议事平台。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有1个合适的议事亭、议事点等自治平台等。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（4）院落无非法上访事件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无非法上访、急访，无人参与群访。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（1）开展“新丰院落”建设综合评比，对前10名每个给予6万元补助，共计60万元；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优先考虑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用于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所在村党群服务中心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提档升级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改造和示范党组织创建指导等。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2023年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前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完成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7.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最终解释权归县委组织部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联系人：陈侯奇，18290575777。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二十、新丰书院榜单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发榜单位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县委宣传部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、县文化旅游研究院。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揭榜对象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乡镇（街道）村（社区）。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通过开展新丰书院建设，为广大群众提供阅读、议事、休闲、娱乐、仪式、餐食等活动阵地，通过开展喜闻乐见、形式丰富的群众性活动，进一步丰富人民群众精神文化生活，更好推进乡村自治。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成果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（1）硬件设施方面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①学堂：套内面积不小于30平米，配备图书不少于2000册，配备可供20人同时使用的桌椅等阅读设施若干，保证固定的开放时间。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②礼堂：套内面积不小于40平米，设置文化礼堂，展陈村镇历史文化，开通无线WIFI，配备可供50人同时使用的会议（休闲）桌椅、电视机、音响话筒等设施，提供免费茶水、充电服务。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室外面积不小于100平米，投用健身器材、广场舞音响等设施设备。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③食堂：套内面积不小于20平米，设置共享食堂，建设标准化厨房，配齐厨具设施，能够提供简便餐食。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（2）日常运行方面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①明确1名兼职书院管理员进行日常管理；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②及时更新报刊、杂志、书籍；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③每周至少开展1次针对老年、青年、学生等群体的文娱、议事、阅读等活动；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④在重阳、端午等传统节假日开展村风村俗文化活动；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⑤举办新兵入伍、成人礼等仪式；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⑥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为乡村孤寡老人、留守儿童等特殊群体提供简便餐食；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⑦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由村干部、热心人士兼职为行动不便群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体提供送餐服务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⑧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在春节等重要节假日举办长街宴。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Fonts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资源匹配和配套政策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对“新丰书院”建设进行综合评比，按照标准完成场地打造且运行良好1年以上，一次性补贴揭榜对象5万元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，补贴对象不超过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8个。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he-IL"/>
        </w:rPr>
        <w:t>6．时间周期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202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年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底前完成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7．其他事宜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最终解释权归县委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宣传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部、县文化旅游研究院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联系人：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秦锋，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18996758658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kern w:val="0"/>
          <w:szCs w:val="32"/>
        </w:rPr>
      </w:pPr>
    </w:p>
    <w:p>
      <w:pPr>
        <w:pStyle w:val="12"/>
        <w:rPr>
          <w:rFonts w:hint="eastAsia" w:ascii="Times New Roman" w:hAnsi="Times New Roman" w:eastAsia="方正仿宋_GBK"/>
          <w:lang w:eastAsia="zh-CN"/>
        </w:rPr>
      </w:pPr>
    </w:p>
    <w:p>
      <w:pPr>
        <w:pStyle w:val="12"/>
        <w:rPr>
          <w:rFonts w:hint="eastAsia" w:ascii="Times New Roman" w:hAnsi="Times New Roman" w:eastAsia="方正仿宋_GBK"/>
          <w:lang w:eastAsia="zh-CN"/>
        </w:rPr>
      </w:pPr>
    </w:p>
    <w:p>
      <w:pPr>
        <w:pStyle w:val="12"/>
        <w:rPr>
          <w:rFonts w:hint="eastAsia" w:ascii="Times New Roman" w:hAnsi="Times New Roman" w:eastAsia="方正仿宋_GBK"/>
          <w:lang w:eastAsia="zh-CN"/>
        </w:rPr>
      </w:pPr>
    </w:p>
    <w:p>
      <w:pPr>
        <w:pStyle w:val="12"/>
        <w:rPr>
          <w:rFonts w:hint="eastAsia" w:ascii="Times New Roman" w:hAnsi="Times New Roman" w:eastAsia="方正仿宋_GBK"/>
          <w:lang w:eastAsia="zh-CN"/>
        </w:rPr>
      </w:pPr>
    </w:p>
    <w:p>
      <w:pPr>
        <w:pStyle w:val="12"/>
        <w:rPr>
          <w:rFonts w:hint="eastAsia" w:eastAsia="方正仿宋_GBK"/>
          <w:lang w:eastAsia="zh-CN"/>
        </w:rPr>
      </w:pPr>
    </w:p>
    <w:p>
      <w:pPr>
        <w:pStyle w:val="12"/>
        <w:rPr>
          <w:rFonts w:hint="eastAsia" w:eastAsia="方正仿宋_GBK"/>
          <w:lang w:eastAsia="zh-CN"/>
        </w:rPr>
      </w:pPr>
    </w:p>
    <w:p>
      <w:pPr>
        <w:pStyle w:val="12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2"/>
        <w:rPr>
          <w:rFonts w:hint="eastAsia" w:eastAsia="方正仿宋_GBK"/>
          <w:lang w:eastAsia="zh-CN"/>
        </w:rPr>
      </w:pPr>
    </w:p>
    <w:p>
      <w:pPr>
        <w:pStyle w:val="12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he-IL"/>
        </w:rPr>
        <w:t xml:space="preserve">  中共丰都县委办公室          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he-IL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he-IL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he-IL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he-IL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he-IL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he-IL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he-IL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he-IL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he-IL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he-IL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he-IL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he-IL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he-IL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he-IL"/>
        </w:rPr>
        <w:t>日印发</w:t>
      </w:r>
      <w:r>
        <w:rPr>
          <w:rFonts w:hint="eastAsia" w:ascii="Times New Roman" w:hAnsi="Times New Roman" w:cs="Times New Roman"/>
          <w:spacing w:val="0"/>
          <w:kern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2070" o:spid="_x0000_s2070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- 8 -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321098"/>
    <w:rsid w:val="00030B66"/>
    <w:rsid w:val="001E58FD"/>
    <w:rsid w:val="002B2C68"/>
    <w:rsid w:val="002C1E4F"/>
    <w:rsid w:val="002D3288"/>
    <w:rsid w:val="002E6D88"/>
    <w:rsid w:val="003113FB"/>
    <w:rsid w:val="003C2813"/>
    <w:rsid w:val="00496087"/>
    <w:rsid w:val="005452AE"/>
    <w:rsid w:val="005E0C76"/>
    <w:rsid w:val="00671BCD"/>
    <w:rsid w:val="00691BD7"/>
    <w:rsid w:val="006F239A"/>
    <w:rsid w:val="00702D6F"/>
    <w:rsid w:val="00705A39"/>
    <w:rsid w:val="007E2FB0"/>
    <w:rsid w:val="00822FA6"/>
    <w:rsid w:val="008E483A"/>
    <w:rsid w:val="00980D6A"/>
    <w:rsid w:val="009A7217"/>
    <w:rsid w:val="00B42960"/>
    <w:rsid w:val="00B5178F"/>
    <w:rsid w:val="00CC75E6"/>
    <w:rsid w:val="00CE2948"/>
    <w:rsid w:val="00CE600A"/>
    <w:rsid w:val="00DC6E5C"/>
    <w:rsid w:val="00E528B7"/>
    <w:rsid w:val="00E94391"/>
    <w:rsid w:val="00EE50E1"/>
    <w:rsid w:val="0108376C"/>
    <w:rsid w:val="013A7791"/>
    <w:rsid w:val="014562E9"/>
    <w:rsid w:val="0174136D"/>
    <w:rsid w:val="0185603E"/>
    <w:rsid w:val="02296438"/>
    <w:rsid w:val="027E383C"/>
    <w:rsid w:val="033B7130"/>
    <w:rsid w:val="03B068F2"/>
    <w:rsid w:val="03E3724A"/>
    <w:rsid w:val="03E939A4"/>
    <w:rsid w:val="04624889"/>
    <w:rsid w:val="04F15D28"/>
    <w:rsid w:val="05926493"/>
    <w:rsid w:val="05CF1A32"/>
    <w:rsid w:val="06CC5181"/>
    <w:rsid w:val="08264698"/>
    <w:rsid w:val="083D721A"/>
    <w:rsid w:val="08483B85"/>
    <w:rsid w:val="08FB419D"/>
    <w:rsid w:val="090C7118"/>
    <w:rsid w:val="0AB405FD"/>
    <w:rsid w:val="0B9B2B0F"/>
    <w:rsid w:val="0BB644C1"/>
    <w:rsid w:val="0C9656E3"/>
    <w:rsid w:val="0CD97FDE"/>
    <w:rsid w:val="0E8D3D6E"/>
    <w:rsid w:val="0F8D3E0F"/>
    <w:rsid w:val="115F57E9"/>
    <w:rsid w:val="116B0793"/>
    <w:rsid w:val="11760F43"/>
    <w:rsid w:val="133919F5"/>
    <w:rsid w:val="140750DF"/>
    <w:rsid w:val="155E65B4"/>
    <w:rsid w:val="15E804DD"/>
    <w:rsid w:val="15FF43CC"/>
    <w:rsid w:val="160F36E7"/>
    <w:rsid w:val="16CB299C"/>
    <w:rsid w:val="17004E7F"/>
    <w:rsid w:val="175664EA"/>
    <w:rsid w:val="194F1F75"/>
    <w:rsid w:val="1A65726D"/>
    <w:rsid w:val="1A9A6DBB"/>
    <w:rsid w:val="1B02611E"/>
    <w:rsid w:val="1C5B31C5"/>
    <w:rsid w:val="1F6D2204"/>
    <w:rsid w:val="1FEC78B9"/>
    <w:rsid w:val="2217544B"/>
    <w:rsid w:val="222611AC"/>
    <w:rsid w:val="22D91EA3"/>
    <w:rsid w:val="232C5263"/>
    <w:rsid w:val="25BA72DB"/>
    <w:rsid w:val="274265E8"/>
    <w:rsid w:val="28B832B6"/>
    <w:rsid w:val="2A0F79B4"/>
    <w:rsid w:val="2A940CAA"/>
    <w:rsid w:val="2C130AC9"/>
    <w:rsid w:val="2D43530F"/>
    <w:rsid w:val="2DDA3284"/>
    <w:rsid w:val="2DFA0DD7"/>
    <w:rsid w:val="2E6C138D"/>
    <w:rsid w:val="2EC516C9"/>
    <w:rsid w:val="30A66D36"/>
    <w:rsid w:val="363438C0"/>
    <w:rsid w:val="36750027"/>
    <w:rsid w:val="368F319D"/>
    <w:rsid w:val="372C59F2"/>
    <w:rsid w:val="38065507"/>
    <w:rsid w:val="391D1AB8"/>
    <w:rsid w:val="3A095AC2"/>
    <w:rsid w:val="3A740C3B"/>
    <w:rsid w:val="3B7F4DEB"/>
    <w:rsid w:val="3BCC1B38"/>
    <w:rsid w:val="3CD14BF5"/>
    <w:rsid w:val="3D0F0F67"/>
    <w:rsid w:val="3D1115F8"/>
    <w:rsid w:val="3E2F7783"/>
    <w:rsid w:val="3F020610"/>
    <w:rsid w:val="40CC6857"/>
    <w:rsid w:val="40ED3C9F"/>
    <w:rsid w:val="4104198B"/>
    <w:rsid w:val="41571A88"/>
    <w:rsid w:val="42CC482E"/>
    <w:rsid w:val="43595973"/>
    <w:rsid w:val="43B422A9"/>
    <w:rsid w:val="43F33A22"/>
    <w:rsid w:val="447177A8"/>
    <w:rsid w:val="467A5DA6"/>
    <w:rsid w:val="46D1430A"/>
    <w:rsid w:val="4768126B"/>
    <w:rsid w:val="48775D54"/>
    <w:rsid w:val="4A665814"/>
    <w:rsid w:val="4E2F6CCD"/>
    <w:rsid w:val="4E7A5E9E"/>
    <w:rsid w:val="4EB82DB3"/>
    <w:rsid w:val="4F767A56"/>
    <w:rsid w:val="50DE4DCB"/>
    <w:rsid w:val="517A66B9"/>
    <w:rsid w:val="51C64963"/>
    <w:rsid w:val="51F14BC5"/>
    <w:rsid w:val="52FD6F85"/>
    <w:rsid w:val="53DF63FA"/>
    <w:rsid w:val="54AB3DCA"/>
    <w:rsid w:val="57AB53A1"/>
    <w:rsid w:val="5B072D89"/>
    <w:rsid w:val="5B5865C4"/>
    <w:rsid w:val="5B714B4B"/>
    <w:rsid w:val="5BCC032C"/>
    <w:rsid w:val="5C5C6FD5"/>
    <w:rsid w:val="5CDD4E96"/>
    <w:rsid w:val="5D786803"/>
    <w:rsid w:val="5DAA0B64"/>
    <w:rsid w:val="5EB2142B"/>
    <w:rsid w:val="5FC96958"/>
    <w:rsid w:val="5FFF1F1F"/>
    <w:rsid w:val="62DA3AEC"/>
    <w:rsid w:val="6379666B"/>
    <w:rsid w:val="64347E89"/>
    <w:rsid w:val="65672DE0"/>
    <w:rsid w:val="664809C5"/>
    <w:rsid w:val="67980D99"/>
    <w:rsid w:val="67A4281C"/>
    <w:rsid w:val="67FC5E33"/>
    <w:rsid w:val="68321098"/>
    <w:rsid w:val="68FF43EA"/>
    <w:rsid w:val="69F360D0"/>
    <w:rsid w:val="6B1C594E"/>
    <w:rsid w:val="6B5C5E6C"/>
    <w:rsid w:val="6B986776"/>
    <w:rsid w:val="6C1D32AB"/>
    <w:rsid w:val="6DFB1E49"/>
    <w:rsid w:val="6F0C2AD4"/>
    <w:rsid w:val="6FD71ED3"/>
    <w:rsid w:val="70FB2BC4"/>
    <w:rsid w:val="71423BD4"/>
    <w:rsid w:val="7179553E"/>
    <w:rsid w:val="72375D5B"/>
    <w:rsid w:val="72885446"/>
    <w:rsid w:val="73552500"/>
    <w:rsid w:val="73916AA1"/>
    <w:rsid w:val="74606F26"/>
    <w:rsid w:val="75CD4C69"/>
    <w:rsid w:val="75E8556A"/>
    <w:rsid w:val="77987ED2"/>
    <w:rsid w:val="782B2F1D"/>
    <w:rsid w:val="79BD3A65"/>
    <w:rsid w:val="79D21DA8"/>
    <w:rsid w:val="79E75F23"/>
    <w:rsid w:val="7A755BE5"/>
    <w:rsid w:val="7ACB6432"/>
    <w:rsid w:val="7AED1A3F"/>
    <w:rsid w:val="7B494331"/>
    <w:rsid w:val="7BAB414B"/>
    <w:rsid w:val="7BEC0E57"/>
    <w:rsid w:val="7C087D93"/>
    <w:rsid w:val="7D60655E"/>
    <w:rsid w:val="7E100305"/>
    <w:rsid w:val="7E183E18"/>
    <w:rsid w:val="7E3363EE"/>
    <w:rsid w:val="7E8317EB"/>
    <w:rsid w:val="7F276889"/>
    <w:rsid w:val="7FDF77CD"/>
    <w:rsid w:val="BDFF4516"/>
    <w:rsid w:val="EBFF8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7"/>
    <w:qFormat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table of authorities"/>
    <w:basedOn w:val="1"/>
    <w:next w:val="1"/>
    <w:qFormat/>
    <w:uiPriority w:val="0"/>
    <w:pPr>
      <w:ind w:left="200" w:leftChars="200"/>
    </w:pPr>
  </w:style>
  <w:style w:type="paragraph" w:styleId="8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9">
    <w:name w:val="Body Text Indent"/>
    <w:basedOn w:val="1"/>
    <w:next w:val="10"/>
    <w:qFormat/>
    <w:uiPriority w:val="0"/>
    <w:pPr>
      <w:tabs>
        <w:tab w:val="left" w:pos="1980"/>
      </w:tabs>
      <w:ind w:firstLine="645"/>
    </w:pPr>
    <w:rPr>
      <w:rFonts w:ascii="宋体" w:hAnsi="宋体"/>
      <w:sz w:val="32"/>
      <w:szCs w:val="32"/>
    </w:rPr>
  </w:style>
  <w:style w:type="paragraph" w:styleId="10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qFormat/>
    <w:uiPriority w:val="99"/>
    <w:rPr>
      <w:sz w:val="18"/>
      <w:szCs w:val="18"/>
    </w:rPr>
  </w:style>
  <w:style w:type="paragraph" w:styleId="13">
    <w:name w:val="footer"/>
    <w:basedOn w:val="1"/>
    <w:next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paragraph" w:styleId="15">
    <w:name w:val="Body Text First Indent 2"/>
    <w:basedOn w:val="9"/>
    <w:qFormat/>
    <w:uiPriority w:val="99"/>
    <w:pPr>
      <w:ind w:left="0" w:firstLine="420"/>
    </w:pPr>
    <w:rPr>
      <w:rFonts w:ascii="??_GB2312" w:eastAsia="Times New Roman" w:cs="??_GB2312"/>
      <w:sz w:val="32"/>
      <w:szCs w:val="32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0">
    <w:name w:val="Strong"/>
    <w:basedOn w:val="19"/>
    <w:qFormat/>
    <w:uiPriority w:val="0"/>
    <w:rPr>
      <w:b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图表目录1"/>
    <w:basedOn w:val="24"/>
    <w:next w:val="1"/>
    <w:qFormat/>
    <w:uiPriority w:val="99"/>
    <w:pPr>
      <w:ind w:left="400" w:leftChars="200" w:hanging="200" w:hangingChars="200"/>
    </w:pPr>
  </w:style>
  <w:style w:type="paragraph" w:customStyle="1" w:styleId="24">
    <w:name w:val="Normal New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25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2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7">
    <w:name w:val="正文文本 Char"/>
    <w:basedOn w:val="19"/>
    <w:link w:val="2"/>
    <w:qFormat/>
    <w:uiPriority w:val="0"/>
    <w:rPr>
      <w:rFonts w:ascii="Times New Roman" w:hAnsi="Times New Roman" w:eastAsia="仿宋_GB2312" w:cs="Times New Roman"/>
      <w:spacing w:val="-6"/>
      <w:kern w:val="2"/>
      <w:sz w:val="32"/>
    </w:rPr>
  </w:style>
  <w:style w:type="paragraph" w:customStyle="1" w:styleId="28">
    <w:name w:val="TableOfAuthoring"/>
    <w:basedOn w:val="1"/>
    <w:next w:val="1"/>
    <w:qFormat/>
    <w:uiPriority w:val="0"/>
    <w:pPr>
      <w:ind w:left="420" w:leftChars="200"/>
    </w:pPr>
  </w:style>
  <w:style w:type="character" w:customStyle="1" w:styleId="29">
    <w:name w:val="NormalCharacter"/>
    <w:semiHidden/>
    <w:qFormat/>
    <w:uiPriority w:val="0"/>
  </w:style>
  <w:style w:type="paragraph" w:customStyle="1" w:styleId="30">
    <w:name w:val="p0"/>
    <w:basedOn w:val="1"/>
    <w:qFormat/>
    <w:uiPriority w:val="0"/>
    <w:pPr>
      <w:widowControl/>
      <w:spacing w:line="240" w:lineRule="atLeast"/>
    </w:pPr>
    <w:rPr>
      <w:rFonts w:ascii="仿宋_GB2312" w:hAnsi="宋体" w:eastAsia="仿宋_GB2312" w:cs="宋体"/>
      <w:spacing w:val="-6"/>
      <w:kern w:val="0"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正文首行缩进 21"/>
    <w:basedOn w:val="33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33">
    <w:name w:val="Body Text Indent1"/>
    <w:basedOn w:val="1"/>
    <w:qFormat/>
    <w:uiPriority w:val="0"/>
    <w:pPr>
      <w:ind w:left="200" w:leftChars="200"/>
    </w:pPr>
  </w:style>
  <w:style w:type="paragraph" w:customStyle="1" w:styleId="3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  <w:style w:type="character" w:customStyle="1" w:styleId="35">
    <w:name w:val="fontstyle31"/>
    <w:basedOn w:val="19"/>
    <w:qFormat/>
    <w:uiPriority w:val="0"/>
    <w:rPr>
      <w:rFonts w:ascii="方正仿宋_GBK" w:hAnsi="方正仿宋_GBK" w:eastAsia="方正仿宋_GBK" w:cs="方正仿宋_GBK"/>
      <w:color w:val="000000"/>
      <w:sz w:val="34"/>
      <w:szCs w:val="34"/>
    </w:rPr>
  </w:style>
  <w:style w:type="paragraph" w:customStyle="1" w:styleId="36">
    <w:name w:val="BodyText1I"/>
    <w:basedOn w:val="37"/>
    <w:qFormat/>
    <w:uiPriority w:val="0"/>
    <w:pPr>
      <w:spacing w:line="600" w:lineRule="exact"/>
      <w:ind w:firstLine="420" w:firstLineChars="100"/>
      <w:jc w:val="both"/>
      <w:textAlignment w:val="baseline"/>
    </w:pPr>
  </w:style>
  <w:style w:type="paragraph" w:customStyle="1" w:styleId="37">
    <w:name w:val="BodyText"/>
    <w:basedOn w:val="1"/>
    <w:next w:val="38"/>
    <w:qFormat/>
    <w:uiPriority w:val="0"/>
    <w:pPr>
      <w:spacing w:line="600" w:lineRule="exact"/>
      <w:jc w:val="both"/>
      <w:textAlignment w:val="baseline"/>
    </w:pPr>
    <w:rPr>
      <w:rFonts w:ascii="Times New Roman" w:eastAsia="方正仿宋_GBK"/>
      <w:kern w:val="2"/>
      <w:sz w:val="36"/>
      <w:szCs w:val="32"/>
      <w:lang w:val="en-US" w:eastAsia="zh-CN" w:bidi="zh-CN"/>
    </w:rPr>
  </w:style>
  <w:style w:type="paragraph" w:customStyle="1" w:styleId="38">
    <w:name w:val="UserStyle_0"/>
    <w:qFormat/>
    <w:uiPriority w:val="0"/>
    <w:pPr>
      <w:widowControl/>
      <w:textAlignment w:val="baseline"/>
    </w:pPr>
    <w:rPr>
      <w:rFonts w:ascii="Helvetica" w:hAnsi="Helvetica" w:eastAsia="Times New Roman" w:cs="Times New Roman"/>
      <w:color w:val="000000"/>
      <w:sz w:val="22"/>
      <w:szCs w:val="22"/>
      <w:lang w:val="en-US" w:eastAsia="zh-CN" w:bidi="ar-SA"/>
    </w:rPr>
  </w:style>
  <w:style w:type="paragraph" w:customStyle="1" w:styleId="39">
    <w:name w:val="NormalIndent"/>
    <w:basedOn w:val="1"/>
    <w:next w:val="1"/>
    <w:qFormat/>
    <w:uiPriority w:val="0"/>
    <w:pPr>
      <w:spacing w:line="600" w:lineRule="exact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13662</Words>
  <Characters>14201</Characters>
  <Lines>26</Lines>
  <Paragraphs>7</Paragraphs>
  <TotalTime>77</TotalTime>
  <ScaleCrop>false</ScaleCrop>
  <LinksUpToDate>false</LinksUpToDate>
  <CharactersWithSpaces>14334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2017-12-29T02:24:00Z</dcterms:created>
  <dc:creator>Administrator</dc:creator>
  <cp:lastModifiedBy>Administrator</cp:lastModifiedBy>
  <cp:lastPrinted>2023-06-26T08:12:30Z</cp:lastPrinted>
  <dcterms:modified xsi:type="dcterms:W3CDTF">2023-06-26T08:20:43Z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