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76674">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附件25</w:t>
      </w:r>
    </w:p>
    <w:p w14:paraId="7E5CA45A">
      <w:pPr>
        <w:pStyle w:val="7"/>
        <w:jc w:val="left"/>
        <w:rPr>
          <w:rFonts w:ascii="方正公文小标宋" w:eastAsia="方正公文小标宋"/>
          <w:b w:val="0"/>
          <w:sz w:val="84"/>
          <w:szCs w:val="84"/>
          <w:lang w:eastAsia="zh-CN"/>
        </w:rPr>
      </w:pPr>
    </w:p>
    <w:p w14:paraId="0C7E8A29">
      <w:pPr>
        <w:rPr>
          <w:rFonts w:ascii="方正公文小标宋" w:eastAsia="方正公文小标宋"/>
          <w:b w:val="0"/>
          <w:sz w:val="84"/>
          <w:szCs w:val="84"/>
          <w:lang w:eastAsia="zh-CN"/>
        </w:rPr>
      </w:pPr>
    </w:p>
    <w:p w14:paraId="35C449A8">
      <w:pPr>
        <w:pStyle w:val="12"/>
        <w:rPr>
          <w:lang w:eastAsia="zh-CN"/>
        </w:rPr>
      </w:pPr>
    </w:p>
    <w:p w14:paraId="109CF3D5">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重庆市丰都县仙女湖镇履行职责事项清单</w:t>
      </w:r>
    </w:p>
    <w:p w14:paraId="37191D7E">
      <w:pPr>
        <w:rPr>
          <w:rFonts w:ascii="方正公文小标宋" w:eastAsia="方正公文小标宋"/>
          <w:sz w:val="84"/>
          <w:szCs w:val="84"/>
          <w:lang w:eastAsia="zh-CN"/>
        </w:rPr>
      </w:pPr>
    </w:p>
    <w:p w14:paraId="45651095">
      <w:pPr>
        <w:rPr>
          <w:rFonts w:ascii="方正公文小标宋" w:eastAsia="方正公文小标宋"/>
          <w:sz w:val="84"/>
          <w:szCs w:val="84"/>
          <w:lang w:eastAsia="zh-CN"/>
        </w:rPr>
      </w:pPr>
    </w:p>
    <w:p w14:paraId="4E079D39">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13F45B5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B57D14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57</w:t>
      </w:r>
    </w:p>
    <w:p w14:paraId="0DC6FBEC">
      <w:pPr>
        <w:pStyle w:val="7"/>
        <w:jc w:val="both"/>
        <w:rPr>
          <w:rFonts w:ascii="Times New Roman" w:hAnsi="Times New Roman" w:eastAsia="方正小标宋_GBK" w:cs="Times New Roman"/>
          <w:color w:val="auto"/>
          <w:spacing w:val="7"/>
          <w:sz w:val="44"/>
          <w:szCs w:val="44"/>
          <w:lang w:eastAsia="zh-CN"/>
        </w:rPr>
      </w:pPr>
      <w:r>
        <w:rPr>
          <w:rFonts w:hint="default" w:ascii="Times New Roman" w:hAnsi="Times New Roman" w:eastAsia="方正仿宋_GBK" w:cs="Times New Roman"/>
          <w:snapToGrid/>
          <w:color w:val="auto"/>
          <w:spacing w:val="7"/>
          <w:sz w:val="32"/>
          <w:szCs w:val="32"/>
          <w:lang w:eastAsia="zh-CN"/>
        </w:rPr>
        <w:fldChar w:fldCharType="end"/>
      </w:r>
    </w:p>
    <w:p w14:paraId="7F8E660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GoBack"/>
      <w:bookmarkEnd w:id="0"/>
    </w:p>
    <w:p w14:paraId="174BC9DC">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公文小标宋" w:cs="Times New Roman"/>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3C252DE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E0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477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5EE3BFC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CE9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9E6D3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6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F6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FA3D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E0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78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595126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A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F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D0385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9C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5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7CCB08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C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EE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318307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0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0E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48C649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3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2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1CF49A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B1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A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64E752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33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3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D430F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A7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D0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31B066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A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09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7E184D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C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8C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D312B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68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E2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4C14F8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CE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6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5972B0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FE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737ACE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7E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14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7FA086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EB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15D78B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69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8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11C5A4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54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72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6F616C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DC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1C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744A5E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42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8B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4E2F497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DA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8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53D63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B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77D481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44ED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46F9A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5C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E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5D2864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A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F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0EE9FC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72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66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12D4DA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B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D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1A7818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5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A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3D191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0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3D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6FB273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D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6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28C043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D4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31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769F5B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9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B3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430C51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4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D6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4376D65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DF2E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三、民生服务（15项）</w:t>
            </w:r>
          </w:p>
        </w:tc>
      </w:tr>
      <w:tr w14:paraId="609845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C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3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32A9E9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4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1E4C9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7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6B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44D3E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E6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D7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C9AF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F6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6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401802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5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9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0B971F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67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7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55BBA5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60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45B7">
            <w:pPr>
              <w:keepNext w:val="0"/>
              <w:keepLines w:val="0"/>
              <w:widowControl/>
              <w:suppressLineNumbers w:val="0"/>
              <w:shd w:val="clear"/>
              <w:wordWrap/>
              <w:adjustRightInd/>
              <w:snapToGrid/>
              <w:spacing w:before="0" w:beforeAutospacing="0" w:after="0" w:afterAutospacing="0" w:line="300" w:lineRule="exact"/>
              <w:ind w:left="0" w:leftChars="0" w:right="0" w:firstLine="0" w:firstLineChars="0"/>
              <w:jc w:val="left"/>
              <w:textAlignment w:val="center"/>
              <w:rPr>
                <w:rFonts w:hint="default" w:ascii="Times New Roman" w:hAnsi="Times New Roman" w:eastAsia="方正仿宋_GBK" w:cs="Times New Roman"/>
                <w:b w:val="0"/>
                <w:bCs w:val="0"/>
                <w:i w:val="0"/>
                <w:iCs w:val="0"/>
                <w:color w:val="auto"/>
                <w:kern w:val="2"/>
                <w:sz w:val="21"/>
                <w:szCs w:val="21"/>
                <w:u w:val="none"/>
                <w:lang w:val="en-US" w:eastAsia="en-US" w:bidi="ar-SA"/>
              </w:rPr>
            </w:pPr>
            <w:r>
              <w:rPr>
                <w:rFonts w:hint="default" w:ascii="Times New Roman" w:hAnsi="Times New Roman" w:eastAsia="方正仿宋_GBK" w:cs="Times New Roman"/>
                <w:b w:val="0"/>
                <w:bCs w:val="0"/>
                <w:i w:val="0"/>
                <w:iCs w:val="0"/>
                <w:color w:val="auto"/>
                <w:kern w:val="0"/>
                <w:sz w:val="21"/>
                <w:szCs w:val="21"/>
                <w:u w:val="none"/>
                <w:lang w:val="en-US" w:eastAsia="zh-CN"/>
              </w:rPr>
              <w:t>开展未成年人保护工作，摸排并建立辖区内孤儿、留守儿童和事实无人抚养儿童等信息台账，做好关心服务和基本生活保障。</w:t>
            </w:r>
          </w:p>
        </w:tc>
      </w:tr>
      <w:tr w14:paraId="7092D3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C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9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负责残疾人证、困难残疾人生活补贴、重度残疾人护理补贴的申请受理、查验审核等工作，组织残疾人参加职业技能培训，帮助康复就业，做好残疾人服务和关心关爱</w:t>
            </w:r>
            <w:r>
              <w:rPr>
                <w:rFonts w:hint="default" w:ascii="Times New Roman" w:hAnsi="Times New Roman" w:eastAsia="方正仿宋_GBK" w:cs="Times New Roman"/>
                <w:b w:val="0"/>
                <w:bCs w:val="0"/>
                <w:snapToGrid w:val="0"/>
                <w:color w:val="auto"/>
                <w:kern w:val="0"/>
                <w:sz w:val="21"/>
                <w:szCs w:val="21"/>
                <w:lang w:eastAsia="en-US" w:bidi="ar"/>
              </w:rPr>
              <w:t>。</w:t>
            </w:r>
          </w:p>
        </w:tc>
      </w:tr>
      <w:tr w14:paraId="699B19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23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5D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开展老年人服务工作，建立好独居、空巢、失能、重残特殊家庭老年人台账，提供探访关爱服务。</w:t>
            </w:r>
          </w:p>
        </w:tc>
      </w:tr>
      <w:tr w14:paraId="5BBE63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89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23FBA1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7B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85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7C7BDA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33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4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45F8A8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6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3D86FD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7D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6C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7142AC0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60E3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494CD7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7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9E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A03FE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1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38C579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F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82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50D211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5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E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1031C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00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FB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7127B6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D5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B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208F74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E2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2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30D420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FF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9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7D6A5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C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FD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1FDAF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7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5E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1CDCDD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74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46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63ECD7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2E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8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6A8501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A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5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0A2E0D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52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75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66A1AA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4A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2A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43872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D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9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4616FAE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9779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8</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30A28C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EA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A2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283ACC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F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C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i w:val="0"/>
                <w:iCs w:val="0"/>
                <w:color w:val="auto"/>
                <w:kern w:val="0"/>
                <w:sz w:val="21"/>
                <w:szCs w:val="21"/>
                <w:u w:val="none"/>
                <w:lang w:val="en-US" w:eastAsia="zh-CN"/>
              </w:rPr>
              <w:t>负责农业设施用地选址、备案、监督等工作。</w:t>
            </w:r>
          </w:p>
        </w:tc>
      </w:tr>
      <w:tr w14:paraId="7F256A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EE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0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677AC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5A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FC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2B732F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2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CA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554267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FB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1F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03C276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36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2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6C89B8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9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60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4DF8A76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0C4A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56412E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8B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B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7F14F8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9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0F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7A21D4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4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7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负责自然保护区生态环境问题核查反馈工作。</w:t>
            </w:r>
          </w:p>
        </w:tc>
      </w:tr>
      <w:tr w14:paraId="799AE5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6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C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0C5887F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13A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2EE469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2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48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7B2A49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05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A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2947C5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C1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cs="Times New Roman"/>
                <w:b w:val="0"/>
                <w:bCs w:val="0"/>
                <w:snapToGrid w:val="0"/>
                <w:color w:val="auto"/>
                <w:kern w:val="0"/>
                <w:sz w:val="21"/>
                <w:szCs w:val="21"/>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33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03DB6B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0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94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负责本镇背街小巷市容环卫、市政设施维护、园林绿化管理、垃圾分类、农村垃圾清运等工作。</w:t>
            </w:r>
          </w:p>
        </w:tc>
      </w:tr>
      <w:tr w14:paraId="7D6050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E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E1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494C1A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38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C3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8D5E81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9C2E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八、文化和旅游（6项）</w:t>
            </w:r>
          </w:p>
        </w:tc>
      </w:tr>
      <w:tr w14:paraId="5F389D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D1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DD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负责辖区内公共文化场地的开放、管理和服务，组织开展文化娱乐活动。</w:t>
            </w:r>
          </w:p>
        </w:tc>
      </w:tr>
      <w:tr w14:paraId="7C926C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B5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32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打造厢坝旅游集镇度假康养、主客共享等特色文化旅游品牌。</w:t>
            </w:r>
          </w:p>
        </w:tc>
      </w:tr>
      <w:tr w14:paraId="46DB2F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1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B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开展村镇传统风貌区的保护建设管理，做好金竹林村“朱家园”等传统村落的保护发展。</w:t>
            </w:r>
          </w:p>
        </w:tc>
      </w:tr>
      <w:tr w14:paraId="5259AB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1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BA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负责厢坝旅游集镇周边环境整治工作。</w:t>
            </w:r>
          </w:p>
        </w:tc>
      </w:tr>
      <w:tr w14:paraId="3359C9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7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D0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负责辖区生态旅游资源、红色旅游资源等文旅资源的挖掘开发。</w:t>
            </w:r>
          </w:p>
        </w:tc>
      </w:tr>
      <w:tr w14:paraId="48EFE8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0C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57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负责编制乡村旅游发展规划，推进实施旅游项目建设，宣传推介特色文旅，组织开展车厘子、草莓采摘以及垂钓、捉泥鳅、环湖徒步等特色农文旅融合乡村活动。</w:t>
            </w:r>
          </w:p>
        </w:tc>
      </w:tr>
      <w:tr w14:paraId="45D5D4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D79D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054F0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DA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C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084403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85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eastAsia" w:ascii="Times New Roman" w:hAnsi="Times New Roman" w:cs="Times New Roman"/>
                <w:b w:val="0"/>
                <w:bCs w:val="0"/>
                <w:snapToGrid w:val="0"/>
                <w:color w:val="auto"/>
                <w:kern w:val="0"/>
                <w:sz w:val="21"/>
                <w:szCs w:val="21"/>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0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10B6D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83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3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483294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94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E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5D5881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8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C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0EAD18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7A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7C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006152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E0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C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098DCE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8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D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513A6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74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590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59FA252D">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31B049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7E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6EB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6A3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FE7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896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0F49E73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BF13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1C6A6D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0B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54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A9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75313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E2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4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6CD8170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40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1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B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3C54A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D79D5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867B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BAB06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586AA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EC27A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63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5A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2756FF4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0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98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8A756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C5D4E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11224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6861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0FB59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7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F1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00A0CDA2">
        <w:tblPrEx>
          <w:tblCellMar>
            <w:top w:w="0" w:type="dxa"/>
            <w:left w:w="108" w:type="dxa"/>
            <w:bottom w:w="0" w:type="dxa"/>
            <w:right w:w="108" w:type="dxa"/>
          </w:tblCellMar>
        </w:tblPrEx>
        <w:trPr>
          <w:trHeight w:val="6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C4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E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3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01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E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4CA3AA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3C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C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88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B5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4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36E70F4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1F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BB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1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51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C6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A18629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49D82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0D5862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C4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9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15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8CB62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8FC19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DB015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4792E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7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6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4.牵头本镇（街道）投资项目欠薪处置工作。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0BCB330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C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2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0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9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02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5974992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17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D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A6560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E2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94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4B59DB6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99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60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63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BF2BC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0D0F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A756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97C3B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C5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5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58C92E9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3B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9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6F1DF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727C8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3A443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7E167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D468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9111F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0EBFE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3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61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78E2508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CB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D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A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9C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E6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4406466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9E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3B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05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2D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8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46441C7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6B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03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7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B0D97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0E7B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DA170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5CC36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F7AA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8F31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6518A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59FB8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D6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A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4CA256E7">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27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A4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35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B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6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7853009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11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C2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07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4F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5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27485BB9">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F5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8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E6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C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64064D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B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DA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8B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C5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8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370E13A7">
        <w:tblPrEx>
          <w:tblCellMar>
            <w:top w:w="0" w:type="dxa"/>
            <w:left w:w="108" w:type="dxa"/>
            <w:bottom w:w="0" w:type="dxa"/>
            <w:right w:w="108" w:type="dxa"/>
          </w:tblCellMar>
        </w:tblPrEx>
        <w:trPr>
          <w:trHeight w:val="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6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D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2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9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CB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92A3D6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F4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90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E4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4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63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73FF29E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C6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1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3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B4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B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03889C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64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7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D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C0393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B9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9C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2A1DD2C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C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DC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A5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290A0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E12F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0C99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78E4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8B09F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9D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49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0558A25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23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BE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7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3B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D4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5D8DDC5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66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9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28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748B07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5314E4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0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34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6FEAA59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4D118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31458E0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AC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0E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713F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0970D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A37ED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2150C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4A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5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711A3AE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2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5D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B0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2FA5F7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2EE18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2C5F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0B4F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A6BE8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C049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AD1BA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2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90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31AC9E6F">
        <w:tblPrEx>
          <w:tblCellMar>
            <w:top w:w="0" w:type="dxa"/>
            <w:left w:w="108" w:type="dxa"/>
            <w:bottom w:w="0" w:type="dxa"/>
            <w:right w:w="108" w:type="dxa"/>
          </w:tblCellMar>
        </w:tblPrEx>
        <w:trPr>
          <w:trHeight w:val="5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DB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8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7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236F0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5FB24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2637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D0DDD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F30D7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3BDB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1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C0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3D44495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CD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7D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3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D73D2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A652B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EDC86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98DEB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69C308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BAE4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CD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9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7FDAB5A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7C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CE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eastAsia" w:ascii="Times New Roman" w:hAnsi="Times New Roman" w:eastAsia="方正仿宋_GBK" w:cs="方正仿宋_GBK"/>
                <w:b w:val="0"/>
                <w:bCs w:val="0"/>
                <w:i w:val="0"/>
                <w:iCs w:val="0"/>
                <w:color w:val="auto"/>
                <w:spacing w:val="-11"/>
                <w:kern w:val="0"/>
                <w:sz w:val="21"/>
                <w:szCs w:val="21"/>
                <w:u w:val="none"/>
                <w:lang w:val="en-US" w:eastAsia="zh-CN"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29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县教委</w:t>
            </w:r>
          </w:p>
          <w:p w14:paraId="7EB504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县市场监管局</w:t>
            </w:r>
          </w:p>
          <w:p w14:paraId="72F587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县公安局</w:t>
            </w:r>
          </w:p>
          <w:p w14:paraId="08216B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县住房城乡建委</w:t>
            </w:r>
          </w:p>
          <w:p w14:paraId="1C6CEE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县消防救援局</w:t>
            </w:r>
          </w:p>
          <w:p w14:paraId="784C43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县文化旅游委</w:t>
            </w:r>
          </w:p>
          <w:p w14:paraId="292B0A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E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县教委</w:t>
            </w:r>
            <w:r>
              <w:rPr>
                <w:rStyle w:val="24"/>
                <w:rFonts w:hint="eastAsia" w:ascii="Times New Roman" w:hAnsi="Times New Roman" w:eastAsia="方正仿宋_GBK" w:cs="方正仿宋_GBK"/>
                <w:b w:val="0"/>
                <w:bCs w:val="0"/>
                <w:color w:val="auto"/>
                <w:sz w:val="21"/>
                <w:szCs w:val="21"/>
                <w:lang w:val="en-US" w:eastAsia="zh-CN" w:bidi="ar"/>
              </w:rPr>
              <w:t>：</w:t>
            </w:r>
          </w:p>
          <w:p w14:paraId="386E7F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1.牵头开展校外培训政策宣传。</w:t>
            </w:r>
          </w:p>
          <w:p w14:paraId="6763B1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2.负责实时公布已经审批的校外培训机构基本信息。</w:t>
            </w:r>
          </w:p>
          <w:p w14:paraId="532DC9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3.负责定期巡查，受理投诉举报并查证。</w:t>
            </w:r>
          </w:p>
          <w:p w14:paraId="625561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4.牵头组织开展校外培训综合治理，配合执法部门开展联合执法。</w:t>
            </w:r>
          </w:p>
          <w:p w14:paraId="664CBD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5.牵头组织开展校外培训机构定期评估、考核评价、责任追究。</w:t>
            </w:r>
          </w:p>
          <w:p w14:paraId="3299C1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6.对合规机构的办学资质、办学行为、招生宣传等内容进行审查备案。</w:t>
            </w:r>
          </w:p>
          <w:p w14:paraId="40417E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7.协同有关部门按照各自职责抓好监管工作。</w:t>
            </w:r>
          </w:p>
          <w:p w14:paraId="10C5F4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县市场监管局</w:t>
            </w:r>
            <w:r>
              <w:rPr>
                <w:rStyle w:val="24"/>
                <w:rFonts w:hint="eastAsia" w:ascii="Times New Roman" w:hAnsi="Times New Roman" w:eastAsia="方正仿宋_GBK" w:cs="方正仿宋_GBK"/>
                <w:b w:val="0"/>
                <w:bCs w:val="0"/>
                <w:color w:val="auto"/>
                <w:sz w:val="21"/>
                <w:szCs w:val="21"/>
                <w:lang w:val="en-US" w:eastAsia="zh-CN" w:bidi="ar"/>
              </w:rPr>
              <w:t>：</w:t>
            </w:r>
          </w:p>
          <w:p w14:paraId="1D0FB9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1.负责校外培训机构相关登记、价格行为、广告宣传、食品安全、反垄断等方面监管工作。</w:t>
            </w:r>
          </w:p>
          <w:p w14:paraId="334947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2.依法对县教委划转的涉及校外培训机构的违法行为进行查处。</w:t>
            </w:r>
          </w:p>
          <w:p w14:paraId="7ED729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县公安局</w:t>
            </w:r>
            <w:r>
              <w:rPr>
                <w:rStyle w:val="24"/>
                <w:rFonts w:hint="eastAsia" w:ascii="Times New Roman" w:hAnsi="Times New Roman" w:eastAsia="方正仿宋_GBK" w:cs="方正仿宋_GBK"/>
                <w:b w:val="0"/>
                <w:bCs w:val="0"/>
                <w:color w:val="auto"/>
                <w:sz w:val="21"/>
                <w:szCs w:val="21"/>
                <w:lang w:val="en-US" w:eastAsia="zh-CN" w:bidi="ar"/>
              </w:rPr>
              <w:t>：</w:t>
            </w:r>
          </w:p>
          <w:p w14:paraId="7010B47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1.配合主管部门维护校外培训机构政策治安秩序。</w:t>
            </w:r>
          </w:p>
          <w:p w14:paraId="5F9E33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2.配合主管部门查处违规组织教育培训行为，依法打击利用培训之名实施诈骗、组织培训贷、恶意转移或抽逃培训经费等违法行为。</w:t>
            </w:r>
          </w:p>
          <w:p w14:paraId="55BB12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县住房城乡建委</w:t>
            </w:r>
            <w:r>
              <w:rPr>
                <w:rStyle w:val="24"/>
                <w:rFonts w:hint="eastAsia" w:ascii="Times New Roman" w:hAnsi="Times New Roman" w:eastAsia="方正仿宋_GBK" w:cs="方正仿宋_GBK"/>
                <w:b w:val="0"/>
                <w:bCs w:val="0"/>
                <w:color w:val="auto"/>
                <w:sz w:val="21"/>
                <w:szCs w:val="21"/>
                <w:lang w:val="en-US" w:eastAsia="zh-CN" w:bidi="ar"/>
              </w:rPr>
              <w:t>：</w:t>
            </w:r>
          </w:p>
          <w:p w14:paraId="715A67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负责校外培训机构户外广告、招牌设置管理工作。</w:t>
            </w:r>
          </w:p>
          <w:p w14:paraId="6542DA0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县消防救援局</w:t>
            </w:r>
            <w:r>
              <w:rPr>
                <w:rStyle w:val="24"/>
                <w:rFonts w:hint="eastAsia" w:ascii="Times New Roman" w:hAnsi="Times New Roman" w:eastAsia="方正仿宋_GBK" w:cs="方正仿宋_GBK"/>
                <w:b w:val="0"/>
                <w:bCs w:val="0"/>
                <w:color w:val="auto"/>
                <w:sz w:val="21"/>
                <w:szCs w:val="21"/>
                <w:lang w:val="en-US" w:eastAsia="zh-CN" w:bidi="ar"/>
              </w:rPr>
              <w:t>：</w:t>
            </w:r>
          </w:p>
          <w:p w14:paraId="5EEC47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负责校外培训机构消防安全监督检查工作，对未依法进行消防设计、竣工验收备案和存在重大安全隐患的校外培训机构进行监管和查处。</w:t>
            </w:r>
          </w:p>
          <w:p w14:paraId="5EAC13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县文化旅游委</w:t>
            </w:r>
            <w:r>
              <w:rPr>
                <w:rStyle w:val="24"/>
                <w:rFonts w:hint="eastAsia" w:ascii="Times New Roman" w:hAnsi="Times New Roman" w:eastAsia="方正仿宋_GBK" w:cs="方正仿宋_GBK"/>
                <w:b w:val="0"/>
                <w:bCs w:val="0"/>
                <w:color w:val="auto"/>
                <w:sz w:val="21"/>
                <w:szCs w:val="21"/>
                <w:lang w:val="en-US" w:eastAsia="zh-CN" w:bidi="ar"/>
              </w:rPr>
              <w:t>：</w:t>
            </w:r>
          </w:p>
          <w:p w14:paraId="3EB712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负责对申请设立的校外艺术类培训机构，从机构名称、办学场所、办学内容等方面进行前置审核。</w:t>
            </w:r>
          </w:p>
          <w:p w14:paraId="52B2D8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3"/>
                <w:rFonts w:hint="eastAsia" w:ascii="Times New Roman" w:hAnsi="Times New Roman" w:eastAsia="方正仿宋_GBK" w:cs="方正仿宋_GBK"/>
                <w:b w:val="0"/>
                <w:bCs w:val="0"/>
                <w:color w:val="auto"/>
                <w:sz w:val="21"/>
                <w:szCs w:val="21"/>
                <w:lang w:val="en-US" w:eastAsia="zh-CN" w:bidi="ar"/>
              </w:rPr>
              <w:t>县卫生健康委</w:t>
            </w:r>
            <w:r>
              <w:rPr>
                <w:rStyle w:val="24"/>
                <w:rFonts w:hint="eastAsia" w:ascii="Times New Roman" w:hAnsi="Times New Roman" w:eastAsia="方正仿宋_GBK" w:cs="方正仿宋_GBK"/>
                <w:b w:val="0"/>
                <w:bCs w:val="0"/>
                <w:color w:val="auto"/>
                <w:sz w:val="21"/>
                <w:szCs w:val="21"/>
                <w:lang w:val="en-US" w:eastAsia="zh-CN" w:bidi="ar"/>
              </w:rPr>
              <w:t>：</w:t>
            </w:r>
          </w:p>
          <w:p w14:paraId="7537E8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auto"/>
                <w:sz w:val="21"/>
                <w:szCs w:val="21"/>
                <w:lang w:val="en-US" w:eastAsia="zh-CN" w:bidi="ar"/>
              </w:rPr>
            </w:pPr>
            <w:r>
              <w:rPr>
                <w:rStyle w:val="24"/>
                <w:rFonts w:hint="eastAsia" w:ascii="Times New Roman" w:hAnsi="Times New Roman" w:eastAsia="方正仿宋_GBK" w:cs="方正仿宋_GBK"/>
                <w:b w:val="0"/>
                <w:bCs w:val="0"/>
                <w:color w:val="auto"/>
                <w:sz w:val="21"/>
                <w:szCs w:val="21"/>
                <w:lang w:val="en-US" w:eastAsia="zh-CN" w:bidi="ar"/>
              </w:rPr>
              <w:t>1.负责校外培训机构卫生防疫和公共卫生事件处置等相关工作。</w:t>
            </w:r>
          </w:p>
          <w:p w14:paraId="7D1758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Style w:val="24"/>
                <w:rFonts w:hint="eastAsia" w:ascii="Times New Roman" w:hAnsi="Times New Roman" w:eastAsia="方正仿宋_GBK" w:cs="方正仿宋_GBK"/>
                <w:b w:val="0"/>
                <w:bCs w:val="0"/>
                <w:color w:val="auto"/>
                <w:sz w:val="21"/>
                <w:szCs w:val="21"/>
                <w:lang w:val="en-US" w:eastAsia="zh-CN"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9F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1.开展校外培训机构有关政策宣传。</w:t>
            </w:r>
          </w:p>
          <w:p w14:paraId="6ED4BF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2.负责将校外培训机构纳入网格化管理，加强日常巡查检查，接受群众举报线索，发现违规问题劝阻并上报相关部门。</w:t>
            </w:r>
          </w:p>
          <w:p w14:paraId="41DF1A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auto"/>
                <w:kern w:val="0"/>
                <w:sz w:val="21"/>
                <w:szCs w:val="21"/>
                <w:u w:val="none"/>
                <w:lang w:val="en-US" w:eastAsia="zh-CN"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3.协助相关部门督促培训机构做好整改工作。</w:t>
            </w:r>
          </w:p>
          <w:p w14:paraId="3A329A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eastAsia" w:ascii="Times New Roman" w:hAnsi="Times New Roman" w:eastAsia="方正仿宋_GBK" w:cs="方正仿宋_GBK"/>
                <w:b w:val="0"/>
                <w:bCs w:val="0"/>
                <w:i w:val="0"/>
                <w:iCs w:val="0"/>
                <w:color w:val="auto"/>
                <w:kern w:val="0"/>
                <w:sz w:val="21"/>
                <w:szCs w:val="21"/>
                <w:u w:val="none"/>
                <w:lang w:val="en-US" w:eastAsia="zh-CN" w:bidi="ar"/>
              </w:rPr>
              <w:t>4.协助县教委开展消防安全检查。</w:t>
            </w:r>
          </w:p>
        </w:tc>
      </w:tr>
      <w:tr w14:paraId="009370E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95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4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8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2B059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531F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445DF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E4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spacing w:val="-11"/>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37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19D537B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FD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7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567D6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B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45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2.指导村（社区）制定应急预案，建立健全乡镇 （街道）应急预案体系。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7049DB5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24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E0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00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593D9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CD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D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1.组织开展安全生产知识普及，按照乡镇（街道）综合应急预案组织开展演练。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AA363D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86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5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7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81C0E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A1553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E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37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2BF7BE6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BF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5B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D6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FD268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DF12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B1D8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5812AF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F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A0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1.开展本乡镇（街道）森林防火和农村野外用火安全宣传教育。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BB63C1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07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6E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5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63A03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1C97B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175C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1F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62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7D79528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E1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CB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A5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444B6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A535D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7A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9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392BBC4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8C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3D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1B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64954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A77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762A2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F2006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E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9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77B3F5C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93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DB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C0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62631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34BA9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2B3A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90609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F1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4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6344F6C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E2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66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C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18848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5B5F37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9AC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4DDD3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2FA5F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0B9D4B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67A13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73A03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AF4C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6B732D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73952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7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EF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D44C6F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16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4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9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EBD8D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E12CA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36C7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E1BE1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D5B75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CD755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20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DB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58A09E5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34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0C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8E2E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4DF100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A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6C8A45F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63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DF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29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0A5F2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6C3A1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D4D58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95FDB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3C571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BBBAE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C9774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8A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20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2517C4EA">
        <w:tblPrEx>
          <w:tblCellMar>
            <w:top w:w="0" w:type="dxa"/>
            <w:left w:w="108" w:type="dxa"/>
            <w:bottom w:w="0" w:type="dxa"/>
            <w:right w:w="108" w:type="dxa"/>
          </w:tblCellMar>
        </w:tblPrEx>
        <w:trPr>
          <w:trHeight w:val="13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D2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42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F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05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D1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5D9559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5C8C2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61B97D1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9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C3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47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D0E91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CB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1785C1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BF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AC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6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B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E1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496C54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8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C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D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5C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6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0699EE2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43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1A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2F4A5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8E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01DC5B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7E51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1DCEBFC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4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50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D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38425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44E70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47702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B0D24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E0E7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A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ED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310099E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3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4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9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742F3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2A1C6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5AD51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56DB4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9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3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5A7189E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83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1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2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BD700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8013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059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9927E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C60F2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7F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BA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0F62489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95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2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DC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5E3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94E9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6096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D0FBC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9E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6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E40501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01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C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62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4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C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36321AB">
        <w:tblPrEx>
          <w:tblCellMar>
            <w:top w:w="0" w:type="dxa"/>
            <w:left w:w="108" w:type="dxa"/>
            <w:bottom w:w="0" w:type="dxa"/>
            <w:right w:w="108" w:type="dxa"/>
          </w:tblCellMar>
        </w:tblPrEx>
        <w:trPr>
          <w:trHeight w:val="12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BF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B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0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B4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17E23DE6">
        <w:tblPrEx>
          <w:tblCellMar>
            <w:top w:w="0" w:type="dxa"/>
            <w:left w:w="108" w:type="dxa"/>
            <w:bottom w:w="0" w:type="dxa"/>
            <w:right w:w="108" w:type="dxa"/>
          </w:tblCellMar>
        </w:tblPrEx>
        <w:trPr>
          <w:trHeight w:val="16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B0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2A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66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3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FD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4F375791">
        <w:tblPrEx>
          <w:tblCellMar>
            <w:top w:w="0" w:type="dxa"/>
            <w:left w:w="108" w:type="dxa"/>
            <w:bottom w:w="0" w:type="dxa"/>
            <w:right w:w="108" w:type="dxa"/>
          </w:tblCellMar>
        </w:tblPrEx>
        <w:trPr>
          <w:trHeight w:val="12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6D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5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F7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E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E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1E81F9B6">
        <w:tblPrEx>
          <w:tblCellMar>
            <w:top w:w="0" w:type="dxa"/>
            <w:left w:w="108" w:type="dxa"/>
            <w:bottom w:w="0" w:type="dxa"/>
            <w:right w:w="108" w:type="dxa"/>
          </w:tblCellMar>
        </w:tblPrEx>
        <w:trPr>
          <w:cantSplit/>
          <w:trHeight w:val="316"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BC45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29EE38D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D2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3F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2D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A59F3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18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6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67BE77BF">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4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25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D7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53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E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20E7794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53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7B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2F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E3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85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784A499E">
        <w:tblPrEx>
          <w:tblCellMar>
            <w:top w:w="0" w:type="dxa"/>
            <w:left w:w="108" w:type="dxa"/>
            <w:bottom w:w="0" w:type="dxa"/>
            <w:right w:w="108" w:type="dxa"/>
          </w:tblCellMar>
        </w:tblPrEx>
        <w:trPr>
          <w:trHeight w:val="5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3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4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81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C20D8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0E724A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DC059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3D9AD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58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55CB90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78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0475F92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E8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8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CE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BF99D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A13DC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5A2C39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6882A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7C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7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529893D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8C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24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5CDDD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E6EE2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DACED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50B6E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6F01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D7E18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7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1F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7083FB6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ECEE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69CF66E8">
        <w:tblPrEx>
          <w:tblCellMar>
            <w:top w:w="0" w:type="dxa"/>
            <w:left w:w="108" w:type="dxa"/>
            <w:bottom w:w="0" w:type="dxa"/>
            <w:right w:w="108" w:type="dxa"/>
          </w:tblCellMar>
        </w:tblPrEx>
        <w:trPr>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9C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02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D5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7C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2B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452B6A3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CF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5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C1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B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5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288F56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23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39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93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34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62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1667A340">
        <w:tblPrEx>
          <w:tblCellMar>
            <w:top w:w="0" w:type="dxa"/>
            <w:left w:w="108" w:type="dxa"/>
            <w:bottom w:w="0" w:type="dxa"/>
            <w:right w:w="108" w:type="dxa"/>
          </w:tblCellMar>
        </w:tblPrEx>
        <w:trPr>
          <w:trHeight w:val="12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89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6F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E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37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DE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658623E9">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94B242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61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81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8F7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20D548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EDD6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28224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94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03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E2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5660A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B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51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295D3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EE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0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BD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328E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FE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3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54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02726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45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1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3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3E9C5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7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13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54105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65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39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D9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5411E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88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CC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C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783568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93FBC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28960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A9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B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8C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13A26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C9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E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AD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11586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20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7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53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58BAD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71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8E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75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49E4E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B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E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B5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5B69273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3D23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7AE829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A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4F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91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24D9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1F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7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9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03A19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C1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0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B0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085BA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FF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D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07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6AB77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8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45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488A7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24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E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641B1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D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93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1A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76003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2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0B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8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1EB17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F8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C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55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21F6BF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D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BD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3D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020A4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6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F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4A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078E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6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FF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C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2C87D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72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9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0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E602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F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9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7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0484FD3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5B8C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3500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C0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9B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FA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405E3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35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32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95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7947B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9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4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7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1362C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1D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27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0C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1F572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A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4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A1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E67A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8C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12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17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7637E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71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A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F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72692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6D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84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49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364F2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9E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73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B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23F3F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2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E5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58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13CB8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72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5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0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0D248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34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A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6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788C7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0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E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D3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59AF3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A8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D9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523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A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15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F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EF62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5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4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5D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4407C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52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F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0B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1331CC7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DCDD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4B54C22E">
        <w:tblPrEx>
          <w:tblCellMar>
            <w:top w:w="0" w:type="dxa"/>
            <w:left w:w="108" w:type="dxa"/>
            <w:bottom w:w="0" w:type="dxa"/>
            <w:right w:w="108" w:type="dxa"/>
          </w:tblCellMar>
        </w:tblPrEx>
        <w:trPr>
          <w:cantSplit/>
          <w:trHeight w:val="6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5E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24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6F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0CE731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52B9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68348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B8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4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B0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17D1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82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B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E5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50CF0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DC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F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E815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63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A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6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09EF2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2E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C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E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441C2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99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08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9A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5D76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A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6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37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57DA7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6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CF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6EA4F2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E5E5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220D4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6A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3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9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083E3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84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98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287BF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DB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75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F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1F302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D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A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9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086F3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2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E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1897BDE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6FD8A">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509B92D">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509B92D">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352F">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441D61"/>
    <w:rsid w:val="07CE5307"/>
    <w:rsid w:val="08FA5CA1"/>
    <w:rsid w:val="0D093B48"/>
    <w:rsid w:val="11F845CD"/>
    <w:rsid w:val="19F24359"/>
    <w:rsid w:val="37DC3A83"/>
    <w:rsid w:val="44AC3A83"/>
    <w:rsid w:val="4BF61160"/>
    <w:rsid w:val="50744D49"/>
    <w:rsid w:val="53E06F85"/>
    <w:rsid w:val="54300F87"/>
    <w:rsid w:val="63B55005"/>
    <w:rsid w:val="67817217"/>
    <w:rsid w:val="693A5666"/>
    <w:rsid w:val="748F53FE"/>
    <w:rsid w:val="7521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151"/>
    <w:qFormat/>
    <w:uiPriority w:val="0"/>
    <w:rPr>
      <w:rFonts w:hint="eastAsia" w:ascii="方正仿宋_GBK" w:hAnsi="方正仿宋_GBK" w:eastAsia="方正仿宋_GBK" w:cs="方正仿宋_GBK"/>
      <w:b/>
      <w:bCs/>
      <w:color w:val="000000"/>
      <w:sz w:val="20"/>
      <w:szCs w:val="20"/>
      <w:u w:val="none"/>
    </w:rPr>
  </w:style>
  <w:style w:type="character" w:customStyle="1" w:styleId="24">
    <w:name w:val="font21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79</Words>
  <Characters>86</Characters>
  <Lines>1</Lines>
  <Paragraphs>1</Paragraphs>
  <TotalTime>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2025-07-30T03:43:25Z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10C583D5B4824FB0B72F66CB977BFFE9_12</vt:lpwstr>
  </property>
</Properties>
</file>