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AD959">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丰都县金融服务中心</w:t>
      </w:r>
    </w:p>
    <w:p w14:paraId="0DE104A6">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仿宋_GBK" w:cs="Times New Roman"/>
          <w:sz w:val="44"/>
          <w:szCs w:val="44"/>
          <w:shd w:val="clear" w:color="auto" w:fill="FFFFFF"/>
          <w:lang w:val="en-US" w:eastAsia="zh-CN" w:bidi="ar-SA"/>
        </w:rPr>
        <w:t>2024</w:t>
      </w:r>
      <w:r>
        <w:rPr>
          <w:rFonts w:ascii="方正小标宋_GBK" w:hAnsi="方正小标宋_GBK" w:eastAsia="方正小标宋_GBK" w:cs="方正小标宋_GBK"/>
          <w:sz w:val="44"/>
          <w:szCs w:val="44"/>
          <w:shd w:val="clear" w:color="auto" w:fill="FFFFFF"/>
        </w:rPr>
        <w:t>年度决算公开说明</w:t>
      </w:r>
    </w:p>
    <w:p w14:paraId="62A6D621">
      <w:pPr>
        <w:pStyle w:val="9"/>
        <w:shd w:val="clear" w:color="auto" w:fill="FFFFFF"/>
        <w:spacing w:before="0" w:beforeAutospacing="0" w:after="0" w:afterAutospacing="0" w:line="596" w:lineRule="exact"/>
        <w:ind w:firstLine="640" w:firstLineChars="200"/>
        <w:rPr>
          <w:rStyle w:val="13"/>
          <w:rFonts w:hint="eastAsia"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一、部门基本情况</w:t>
      </w:r>
    </w:p>
    <w:p w14:paraId="3571AADF">
      <w:pPr>
        <w:pStyle w:val="15"/>
        <w:autoSpaceDE w:val="0"/>
        <w:spacing w:before="0" w:beforeAutospacing="0" w:after="0" w:afterAutospacing="0" w:line="596" w:lineRule="exact"/>
        <w:ind w:firstLine="640" w:firstLineChars="200"/>
        <w:rPr>
          <w:rFonts w:hint="default"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（一）职能职责</w:t>
      </w:r>
    </w:p>
    <w:p w14:paraId="64B502A7">
      <w:pPr>
        <w:pStyle w:val="9"/>
        <w:spacing w:before="0" w:beforeAutospacing="0" w:after="0" w:afterAutospacing="0" w:line="560" w:lineRule="exact"/>
        <w:ind w:firstLine="640"/>
        <w:jc w:val="both"/>
        <w:rPr>
          <w:rFonts w:hint="default"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t>本部门职能职责主要如下：</w:t>
      </w:r>
      <w:r>
        <w:rPr>
          <w:rFonts w:hint="default" w:ascii="Times New Roman" w:hAnsi="Times New Roman" w:eastAsia="方正仿宋_GBK" w:cs="Times New Roman"/>
          <w:sz w:val="32"/>
          <w:szCs w:val="32"/>
          <w:shd w:val="clear" w:color="auto" w:fill="FFFFFF"/>
          <w:lang w:val="en-US" w:eastAsia="zh-CN" w:bidi="ar-SA"/>
        </w:rPr>
        <w:t>1</w:t>
      </w:r>
      <w:r>
        <w:rPr>
          <w:rFonts w:ascii="方正仿宋_GBK" w:hAnsi="方正仿宋_GBK" w:eastAsia="方正仿宋_GBK" w:cs="方正仿宋_GBK"/>
          <w:color w:val="333333"/>
          <w:sz w:val="32"/>
          <w:szCs w:val="32"/>
          <w:shd w:val="clear" w:color="auto" w:fill="FFFFFF"/>
        </w:rPr>
        <w:t>、宣传贯彻金融法律法规政策；</w:t>
      </w:r>
      <w:r>
        <w:rPr>
          <w:rFonts w:hint="default" w:ascii="Times New Roman" w:hAnsi="Times New Roman" w:eastAsia="方正仿宋_GBK" w:cs="Times New Roman"/>
          <w:sz w:val="32"/>
          <w:szCs w:val="32"/>
          <w:shd w:val="clear" w:color="auto" w:fill="FFFFFF"/>
          <w:lang w:val="en-US" w:eastAsia="zh-CN" w:bidi="ar-SA"/>
        </w:rPr>
        <w:t>2、</w:t>
      </w:r>
      <w:r>
        <w:rPr>
          <w:rFonts w:ascii="方正仿宋_GBK" w:hAnsi="方正仿宋_GBK" w:eastAsia="方正仿宋_GBK" w:cs="方正仿宋_GBK"/>
          <w:color w:val="333333"/>
          <w:sz w:val="32"/>
          <w:szCs w:val="32"/>
          <w:shd w:val="clear" w:color="auto" w:fill="FFFFFF"/>
        </w:rPr>
        <w:t>协助引导金融机构服务经济社会发展；</w:t>
      </w:r>
      <w:r>
        <w:rPr>
          <w:rFonts w:hint="default" w:ascii="Times New Roman" w:hAnsi="Times New Roman" w:eastAsia="方正仿宋_GBK" w:cs="Times New Roman"/>
          <w:sz w:val="32"/>
          <w:szCs w:val="32"/>
          <w:shd w:val="clear" w:color="auto" w:fill="FFFFFF"/>
          <w:lang w:val="en-US" w:eastAsia="zh-CN" w:bidi="ar-SA"/>
        </w:rPr>
        <w:t>3、</w:t>
      </w:r>
      <w:r>
        <w:rPr>
          <w:rFonts w:ascii="方正仿宋_GBK" w:hAnsi="方正仿宋_GBK" w:eastAsia="方正仿宋_GBK" w:cs="方正仿宋_GBK"/>
          <w:color w:val="333333"/>
          <w:sz w:val="32"/>
          <w:szCs w:val="32"/>
          <w:shd w:val="clear" w:color="auto" w:fill="FFFFFF"/>
        </w:rPr>
        <w:t>协助维护金融秩序，防范金融风险。</w:t>
      </w:r>
    </w:p>
    <w:p w14:paraId="0F33B21D">
      <w:pPr>
        <w:pStyle w:val="15"/>
        <w:autoSpaceDE w:val="0"/>
        <w:spacing w:before="0" w:beforeAutospacing="0" w:after="0" w:afterAutospacing="0" w:line="596" w:lineRule="exact"/>
        <w:ind w:firstLine="640" w:firstLineChars="200"/>
        <w:rPr>
          <w:rFonts w:hint="default"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（二）机构设置</w:t>
      </w:r>
    </w:p>
    <w:p w14:paraId="4D44B629">
      <w:pPr>
        <w:pStyle w:val="9"/>
        <w:spacing w:before="0" w:beforeAutospacing="0" w:after="0" w:afterAutospacing="0" w:line="560" w:lineRule="exact"/>
        <w:ind w:firstLine="640"/>
        <w:jc w:val="both"/>
        <w:rPr>
          <w:rFonts w:hint="default" w:ascii="方正仿宋_GBK" w:hAnsi="Calibri" w:eastAsia="方正仿宋_GBK" w:cs="Calibri"/>
          <w:sz w:val="32"/>
          <w:szCs w:val="32"/>
        </w:rPr>
      </w:pPr>
      <w:r>
        <w:rPr>
          <w:rFonts w:ascii="方正仿宋_GBK" w:hAnsi="方正仿宋_GBK" w:eastAsia="方正仿宋_GBK" w:cs="方正仿宋_GBK"/>
          <w:color w:val="333333"/>
          <w:sz w:val="32"/>
          <w:szCs w:val="32"/>
          <w:shd w:val="clear" w:color="auto" w:fill="FFFFFF"/>
        </w:rPr>
        <w:t>本部门是丰都县人民政府办公室所属的正科级财政全额拨款公益一类事业单位，设综合科、金融服务科</w:t>
      </w:r>
      <w:r>
        <w:rPr>
          <w:rFonts w:hint="default" w:ascii="Times New Roman" w:hAnsi="Times New Roman" w:eastAsia="方正仿宋_GBK" w:cs="Times New Roman"/>
          <w:sz w:val="32"/>
          <w:szCs w:val="32"/>
          <w:shd w:val="clear" w:color="auto" w:fill="FFFFFF"/>
          <w:lang w:val="en-US" w:eastAsia="zh-CN" w:bidi="ar-SA"/>
        </w:rPr>
        <w:t>2</w:t>
      </w:r>
      <w:r>
        <w:rPr>
          <w:rFonts w:ascii="方正仿宋_GBK" w:hAnsi="方正仿宋_GBK" w:eastAsia="方正仿宋_GBK" w:cs="方正仿宋_GBK"/>
          <w:color w:val="333333"/>
          <w:sz w:val="32"/>
          <w:szCs w:val="32"/>
          <w:shd w:val="clear" w:color="auto" w:fill="FFFFFF"/>
        </w:rPr>
        <w:t>个职能科室。下级预算单位为丰都县金融服务中心（本级）。</w:t>
      </w:r>
    </w:p>
    <w:p w14:paraId="600D2280">
      <w:pPr>
        <w:pStyle w:val="9"/>
        <w:shd w:val="clear" w:color="auto" w:fill="FFFFFF"/>
        <w:spacing w:before="0" w:beforeAutospacing="0" w:after="0" w:afterAutospacing="0" w:line="596" w:lineRule="exact"/>
        <w:ind w:firstLine="640" w:firstLineChars="200"/>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二、部门决算收支情况说明</w:t>
      </w:r>
    </w:p>
    <w:p w14:paraId="72F18002">
      <w:pPr>
        <w:pStyle w:val="15"/>
        <w:autoSpaceDE w:val="0"/>
        <w:spacing w:before="0" w:beforeAutospacing="0" w:after="0" w:afterAutospacing="0" w:line="596" w:lineRule="exact"/>
        <w:ind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14:paraId="35C8C211">
      <w:pPr>
        <w:ind w:firstLine="640" w:firstLineChars="200"/>
        <w:rPr>
          <w:rFonts w:hint="default" w:ascii="方正仿宋_GBK" w:hAnsi="仿宋" w:eastAsia="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359.30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w:t>
      </w:r>
      <w:r>
        <w:rPr>
          <w:rFonts w:hint="default" w:ascii="Times New Roman" w:hAnsi="Times New Roman" w:eastAsia="方正仿宋_GBK" w:cs="Times New Roman"/>
          <w:sz w:val="32"/>
          <w:szCs w:val="32"/>
          <w:shd w:val="clear" w:color="auto" w:fill="FFFFFF"/>
          <w:lang w:val="en-US" w:eastAsia="zh-CN" w:bidi="ar-SA"/>
        </w:rPr>
        <w:t>18.46</w:t>
      </w:r>
      <w:r>
        <w:rPr>
          <w:rFonts w:hint="default" w:ascii="Times New Roman" w:hAnsi="Times New Roman" w:eastAsia="方正仿宋_GBK"/>
          <w:sz w:val="32"/>
          <w:szCs w:val="32"/>
          <w:shd w:val="clear" w:color="auto" w:fill="FFFFFF"/>
        </w:rPr>
        <w:t>万元，增长5.4%</w:t>
      </w:r>
      <w:r>
        <w:rPr>
          <w:rFonts w:ascii="方正仿宋_GBK" w:hAnsi="方正仿宋_GBK" w:eastAsia="方正仿宋_GBK" w:cs="方正仿宋_GBK"/>
          <w:sz w:val="32"/>
          <w:szCs w:val="32"/>
          <w:shd w:val="clear" w:color="auto" w:fill="FFFFFF"/>
        </w:rPr>
        <w:t>，主要原因是</w:t>
      </w:r>
      <w:r>
        <w:rPr>
          <w:rFonts w:ascii="方正仿宋_GBK" w:hAnsi="仿宋" w:eastAsia="方正仿宋_GBK"/>
          <w:sz w:val="32"/>
          <w:szCs w:val="32"/>
        </w:rPr>
        <w:t>根据《丰都县财政局关于调整</w:t>
      </w:r>
      <w:r>
        <w:rPr>
          <w:rFonts w:hint="default" w:ascii="Times New Roman" w:hAnsi="Times New Roman" w:eastAsia="方正仿宋_GBK" w:cs="Times New Roman"/>
          <w:sz w:val="32"/>
          <w:szCs w:val="32"/>
          <w:shd w:val="clear" w:color="auto" w:fill="FFFFFF"/>
          <w:lang w:val="en-US" w:eastAsia="zh-CN" w:bidi="ar-SA"/>
        </w:rPr>
        <w:t>2024</w:t>
      </w:r>
      <w:r>
        <w:rPr>
          <w:rFonts w:ascii="方正仿宋_GBK" w:hAnsi="仿宋" w:eastAsia="方正仿宋_GBK"/>
          <w:sz w:val="32"/>
          <w:szCs w:val="32"/>
        </w:rPr>
        <w:t>年财政拨款收入及账务处理的通知》（丰财库</w:t>
      </w:r>
      <w:r>
        <w:rPr>
          <w:rFonts w:hint="default" w:ascii="Times New Roman" w:hAnsi="Times New Roman" w:eastAsia="方正仿宋_GBK" w:cs="Times New Roman"/>
          <w:sz w:val="32"/>
          <w:szCs w:val="32"/>
          <w:shd w:val="clear" w:color="auto" w:fill="FFFFFF"/>
          <w:lang w:val="en-US" w:eastAsia="zh-CN" w:bidi="ar-SA"/>
        </w:rPr>
        <w:t>[2025] 1</w:t>
      </w:r>
      <w:r>
        <w:rPr>
          <w:rFonts w:ascii="方正仿宋_GBK" w:hAnsi="仿宋" w:eastAsia="方正仿宋_GBK"/>
          <w:sz w:val="32"/>
          <w:szCs w:val="32"/>
        </w:rPr>
        <w:t>号）要求，列支财政统筹返还存量资金</w:t>
      </w:r>
      <w:r>
        <w:rPr>
          <w:rFonts w:hint="default" w:ascii="Times New Roman" w:hAnsi="Times New Roman" w:eastAsia="方正仿宋_GBK" w:cs="Times New Roman"/>
          <w:sz w:val="32"/>
          <w:szCs w:val="32"/>
          <w:shd w:val="clear" w:color="auto" w:fill="FFFFFF"/>
          <w:lang w:val="en-US" w:eastAsia="zh-CN" w:bidi="ar-SA"/>
        </w:rPr>
        <w:t>32.01</w:t>
      </w:r>
      <w:r>
        <w:rPr>
          <w:rFonts w:ascii="方正仿宋_GBK" w:hAnsi="仿宋" w:eastAsia="方正仿宋_GBK"/>
          <w:sz w:val="32"/>
          <w:szCs w:val="32"/>
        </w:rPr>
        <w:t>万元，主要用于全市普惠金融发展会议支出及人才引进支出。</w:t>
      </w:r>
    </w:p>
    <w:p w14:paraId="71C9CB08">
      <w:pPr>
        <w:pStyle w:val="9"/>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lang w:val="en-US" w:eastAsia="zh-CN" w:bidi="ar-SA"/>
        </w:rPr>
      </w:pPr>
      <w:r>
        <w:rPr>
          <w:rStyle w:val="13"/>
          <w:rFonts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cs="Times New Roman"/>
          <w:sz w:val="32"/>
          <w:szCs w:val="32"/>
          <w:shd w:val="clear" w:color="auto" w:fill="FFFFFF"/>
          <w:lang w:val="en-US" w:eastAsia="zh-CN" w:bidi="ar-SA"/>
        </w:rPr>
        <w:t>2024年度收入合计323.46万元，与2023年度相比，减少11.66万元，下降3.5%，主要原因是因超额绩效清算，追减超额绩效16.73万元。其中：财政拨款收入323.46万元，占100.0%；事业收入0.00万元，占0.0%；经营收入0.00万元，占0.0%；其他收入0.00万元，占0.0%。此外，使用非财政拨款结余（含专用结余）0.00万元，年初结转和结余35.84万元。</w:t>
      </w:r>
    </w:p>
    <w:p w14:paraId="657EEF56">
      <w:pPr>
        <w:ind w:firstLine="643" w:firstLineChars="200"/>
        <w:rPr>
          <w:rFonts w:hint="default" w:ascii="方正仿宋_GBK" w:hAnsi="仿宋" w:eastAsia="方正仿宋_GBK"/>
          <w:sz w:val="32"/>
          <w:szCs w:val="32"/>
        </w:rPr>
      </w:pPr>
      <w:r>
        <w:rPr>
          <w:rStyle w:val="13"/>
          <w:rFonts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358.74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与2023年度相比，增加21.73万元，增长6.5%</w:t>
      </w:r>
      <w:r>
        <w:rPr>
          <w:rFonts w:ascii="方正仿宋_GBK" w:hAnsi="方正仿宋_GBK" w:eastAsia="方正仿宋_GBK" w:cs="方正仿宋_GBK"/>
          <w:sz w:val="32"/>
          <w:szCs w:val="32"/>
          <w:shd w:val="clear" w:color="auto" w:fill="FFFFFF"/>
        </w:rPr>
        <w:t>，主要原因是</w:t>
      </w:r>
      <w:r>
        <w:rPr>
          <w:rFonts w:ascii="方正仿宋_GBK" w:hAnsi="仿宋" w:eastAsia="方正仿宋_GBK"/>
          <w:sz w:val="32"/>
          <w:szCs w:val="32"/>
        </w:rPr>
        <w:t>根据《丰都县财政局关于调整2024年财政拨款收入及账务处理的通知》（丰财库[2025] 1号）要求，列支</w:t>
      </w:r>
      <w:r>
        <w:rPr>
          <w:rFonts w:hint="default" w:ascii="Times New Roman" w:hAnsi="Times New Roman" w:eastAsia="方正仿宋_GBK" w:cs="Times New Roman"/>
          <w:sz w:val="32"/>
          <w:szCs w:val="32"/>
          <w:shd w:val="clear" w:color="auto" w:fill="FFFFFF"/>
          <w:lang w:val="en-US" w:eastAsia="zh-CN" w:bidi="ar-SA"/>
        </w:rPr>
        <w:t>财政</w:t>
      </w:r>
      <w:r>
        <w:rPr>
          <w:rFonts w:ascii="方正仿宋_GBK" w:hAnsi="仿宋" w:eastAsia="方正仿宋_GBK"/>
          <w:sz w:val="32"/>
          <w:szCs w:val="32"/>
        </w:rPr>
        <w:t>统筹返还存量资金32.01万元，主要用于全市普惠金融发展会议支出及人才引进支出。</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119.38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33.3%</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239.36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66.7%</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51B092C7">
      <w:pPr>
        <w:pStyle w:val="20"/>
        <w:ind w:firstLine="643"/>
        <w:rPr>
          <w:rFonts w:ascii="方正仿宋_GBK" w:hAnsi="仿宋" w:eastAsia="方正仿宋_GBK"/>
          <w:sz w:val="32"/>
          <w:szCs w:val="32"/>
        </w:rPr>
      </w:pPr>
      <w:r>
        <w:rPr>
          <w:rStyle w:val="13"/>
          <w:rFonts w:hint="eastAsia"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eastAsia="方正仿宋_GBK"/>
          <w:sz w:val="32"/>
          <w:szCs w:val="32"/>
          <w:shd w:val="clear" w:color="auto" w:fill="FFFFFF"/>
        </w:rPr>
        <w:t>0.55</w:t>
      </w:r>
      <w:r>
        <w:rPr>
          <w:rFonts w:ascii="方正仿宋_GBK" w:hAnsi="方正仿宋_GBK" w:eastAsia="方正仿宋_GBK" w:cs="方正仿宋_GBK"/>
          <w:sz w:val="32"/>
          <w:szCs w:val="32"/>
          <w:shd w:val="clear" w:color="auto" w:fill="FFFFFF"/>
        </w:rPr>
        <w:t>万元，</w:t>
      </w:r>
      <w:r>
        <w:rPr>
          <w:rFonts w:eastAsia="方正仿宋_GBK"/>
          <w:sz w:val="32"/>
          <w:szCs w:val="32"/>
          <w:shd w:val="clear" w:color="auto" w:fill="FFFFFF"/>
        </w:rPr>
        <w:t>与2023年度相比，减少3.28万元，下降85.6%</w:t>
      </w:r>
      <w:r>
        <w:rPr>
          <w:rFonts w:ascii="方正仿宋_GBK" w:hAnsi="方正仿宋_GBK" w:eastAsia="方正仿宋_GBK" w:cs="方正仿宋_GBK"/>
          <w:sz w:val="32"/>
          <w:szCs w:val="32"/>
          <w:shd w:val="clear" w:color="auto" w:fill="FFFFFF"/>
        </w:rPr>
        <w:t>，主要原因是</w:t>
      </w:r>
      <w:r>
        <w:rPr>
          <w:rFonts w:ascii="方正仿宋_GBK" w:hAnsi="仿宋" w:eastAsia="方正仿宋_GBK"/>
          <w:sz w:val="32"/>
          <w:szCs w:val="32"/>
        </w:rPr>
        <w:t>本</w:t>
      </w:r>
      <w:r>
        <w:rPr>
          <w:rFonts w:hint="eastAsia" w:ascii="方正仿宋_GBK" w:hAnsi="仿宋" w:eastAsia="方正仿宋_GBK"/>
          <w:sz w:val="32"/>
          <w:szCs w:val="32"/>
        </w:rPr>
        <w:t>部门动用上年结转资金安排支出。</w:t>
      </w:r>
    </w:p>
    <w:p w14:paraId="7DFBC2A4">
      <w:pPr>
        <w:pStyle w:val="15"/>
        <w:autoSpaceDE w:val="0"/>
        <w:spacing w:before="0" w:beforeAutospacing="0" w:after="0" w:afterAutospacing="0" w:line="596" w:lineRule="exact"/>
        <w:ind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14:paraId="3E67126D">
      <w:pPr>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359.30</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财政拨款收、支总计各增加18.46万元，增长5.4%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主要原因是根据《丰都县财政局关于调整2024年财政拨款收入及账务处理的通知》（丰财库[2025] 1号）要求，列支财政统筹返还存量资金32.01万元，主要用于全市普惠金融发展会议支出及人才引进支出。</w:t>
      </w:r>
    </w:p>
    <w:p w14:paraId="133ABB63">
      <w:pPr>
        <w:pStyle w:val="15"/>
        <w:autoSpaceDE w:val="0"/>
        <w:spacing w:before="0" w:beforeAutospacing="0" w:after="0" w:afterAutospacing="0" w:line="596" w:lineRule="exact"/>
        <w:ind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14:paraId="4F338BFF">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323.46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与2023年度相比，减少11.66万元，下降3.5%</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color w:val="000000" w:themeColor="text1"/>
          <w:sz w:val="32"/>
          <w:szCs w:val="32"/>
          <w:shd w:val="clear" w:color="auto" w:fill="FFFFFF"/>
        </w:rPr>
        <w:t>部分超额绩效跨年度清算。</w:t>
      </w:r>
      <w:r>
        <w:rPr>
          <w:rFonts w:hint="default" w:ascii="Times New Roman" w:hAnsi="Times New Roman" w:eastAsia="方正仿宋_GBK"/>
          <w:sz w:val="32"/>
          <w:szCs w:val="32"/>
          <w:shd w:val="clear" w:color="auto" w:fill="FFFFFF"/>
        </w:rPr>
        <w:t>较年初预算数减少4.93万元，下降1.5%</w:t>
      </w:r>
      <w:r>
        <w:rPr>
          <w:rFonts w:ascii="方正仿宋_GBK" w:hAnsi="方正仿宋_GBK" w:eastAsia="方正仿宋_GBK" w:cs="方正仿宋_GBK"/>
          <w:sz w:val="32"/>
          <w:szCs w:val="32"/>
          <w:shd w:val="clear" w:color="auto" w:fill="FFFFFF"/>
        </w:rPr>
        <w:t>，主要原因是</w:t>
      </w:r>
      <w:r>
        <w:rPr>
          <w:rFonts w:ascii="方正仿宋_GBK" w:hAnsi="仿宋" w:eastAsia="方正仿宋_GBK"/>
          <w:sz w:val="32"/>
          <w:szCs w:val="32"/>
        </w:rPr>
        <w:t>部分超额绩效跨年度清算，追减了相关支出。</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35.84</w:t>
      </w:r>
      <w:r>
        <w:rPr>
          <w:rFonts w:ascii="方正仿宋_GBK" w:hAnsi="方正仿宋_GBK" w:eastAsia="方正仿宋_GBK" w:cs="方正仿宋_GBK"/>
          <w:sz w:val="32"/>
          <w:szCs w:val="32"/>
          <w:shd w:val="clear" w:color="auto" w:fill="FFFFFF"/>
        </w:rPr>
        <w:t>万元。</w:t>
      </w:r>
    </w:p>
    <w:p w14:paraId="078E96F9">
      <w:pPr>
        <w:ind w:firstLine="643" w:firstLineChars="200"/>
        <w:rPr>
          <w:rFonts w:hint="default" w:ascii="方正仿宋_GBK" w:hAnsi="仿宋" w:eastAsia="方正仿宋_GBK"/>
          <w:sz w:val="32"/>
          <w:szCs w:val="32"/>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358.74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与2023年度相比，增加21.73万元，增长6.5%</w:t>
      </w:r>
      <w:r>
        <w:rPr>
          <w:rFonts w:ascii="方正仿宋_GBK" w:hAnsi="方正仿宋_GBK" w:eastAsia="方正仿宋_GBK" w:cs="方正仿宋_GBK"/>
          <w:sz w:val="32"/>
          <w:szCs w:val="32"/>
          <w:shd w:val="clear" w:color="auto" w:fill="FFFFFF"/>
        </w:rPr>
        <w:t>。主要原因是</w:t>
      </w:r>
      <w:r>
        <w:rPr>
          <w:rFonts w:ascii="方正仿宋_GBK" w:hAnsi="仿宋" w:eastAsia="方正仿宋_GBK"/>
          <w:sz w:val="32"/>
          <w:szCs w:val="32"/>
        </w:rPr>
        <w:t>根据《丰都县财政局关于</w:t>
      </w:r>
      <w:r>
        <w:rPr>
          <w:rFonts w:hint="default" w:ascii="Times New Roman" w:hAnsi="Times New Roman" w:eastAsia="方正仿宋_GBK" w:cs="Times New Roman"/>
          <w:sz w:val="32"/>
          <w:szCs w:val="32"/>
          <w:shd w:val="clear" w:color="auto" w:fill="FFFFFF"/>
        </w:rPr>
        <w:t>调整2024年财政拨款收入及账务处理的通知》（丰财库[2025] 1号）要求，列支财政统筹返还存量资金32.01万元，主要用</w:t>
      </w:r>
      <w:r>
        <w:rPr>
          <w:rFonts w:ascii="方正仿宋_GBK" w:hAnsi="仿宋" w:eastAsia="方正仿宋_GBK"/>
          <w:sz w:val="32"/>
          <w:szCs w:val="32"/>
        </w:rPr>
        <w:t>于全市普惠金融发展会议支出及人才引进支出。</w:t>
      </w:r>
      <w:r>
        <w:rPr>
          <w:rFonts w:hint="default" w:ascii="Times New Roman" w:hAnsi="Times New Roman" w:eastAsia="方正仿宋_GBK"/>
          <w:sz w:val="32"/>
          <w:szCs w:val="32"/>
          <w:shd w:val="clear" w:color="auto" w:fill="FFFFFF"/>
        </w:rPr>
        <w:t>较年初预算数增加30.35万元，增长9.2%</w:t>
      </w:r>
      <w:r>
        <w:rPr>
          <w:rFonts w:ascii="方正仿宋_GBK" w:hAnsi="方正仿宋_GBK" w:eastAsia="方正仿宋_GBK" w:cs="方正仿宋_GBK"/>
          <w:sz w:val="32"/>
          <w:szCs w:val="32"/>
          <w:shd w:val="clear" w:color="auto" w:fill="FFFFFF"/>
        </w:rPr>
        <w:t>。主要原因是</w:t>
      </w:r>
      <w:r>
        <w:rPr>
          <w:rFonts w:ascii="方正仿宋_GBK" w:hAnsi="仿宋" w:eastAsia="方正仿宋_GBK"/>
          <w:sz w:val="32"/>
          <w:szCs w:val="32"/>
        </w:rPr>
        <w:t>根据《丰都县财政局关于调整</w:t>
      </w:r>
      <w:r>
        <w:rPr>
          <w:rFonts w:hint="default" w:ascii="Times New Roman" w:hAnsi="Times New Roman" w:eastAsia="方正仿宋_GBK" w:cs="Times New Roman"/>
          <w:sz w:val="32"/>
          <w:szCs w:val="32"/>
          <w:shd w:val="clear" w:color="auto" w:fill="FFFFFF"/>
        </w:rPr>
        <w:t>2024年财政拨款收入及账务处理的通知》（丰财库[2025] 1号）要求，列支财政统筹返还存量资金32.01万元，</w:t>
      </w:r>
      <w:r>
        <w:rPr>
          <w:rFonts w:ascii="方正仿宋_GBK" w:hAnsi="仿宋" w:eastAsia="方正仿宋_GBK"/>
          <w:sz w:val="32"/>
          <w:szCs w:val="32"/>
        </w:rPr>
        <w:t>主要用于全市普惠金融发展会议支出及人才引进支出。</w:t>
      </w:r>
    </w:p>
    <w:p w14:paraId="0442801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0637A2B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333.19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92.9%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较年初预算数增加27.20万元，增长8.9%</w:t>
      </w:r>
      <w:r>
        <w:rPr>
          <w:rFonts w:ascii="方正仿宋_GBK" w:hAnsi="方正仿宋_GBK" w:eastAsia="方正仿宋_GBK" w:cs="方正仿宋_GBK"/>
          <w:sz w:val="32"/>
          <w:szCs w:val="32"/>
          <w:shd w:val="clear" w:color="auto" w:fill="FFFFFF"/>
        </w:rPr>
        <w:t>，主要原因是</w:t>
      </w:r>
      <w:r>
        <w:rPr>
          <w:rFonts w:ascii="方正仿宋_GBK" w:hAnsi="仿宋" w:eastAsia="方正仿宋_GBK"/>
          <w:sz w:val="32"/>
          <w:szCs w:val="32"/>
        </w:rPr>
        <w:t>根据《丰都县财政局</w:t>
      </w:r>
      <w:r>
        <w:rPr>
          <w:rFonts w:hint="default" w:ascii="Times New Roman" w:hAnsi="Times New Roman" w:eastAsia="方正仿宋_GBK" w:cs="Times New Roman"/>
          <w:sz w:val="32"/>
          <w:szCs w:val="32"/>
          <w:shd w:val="clear" w:color="auto" w:fill="FFFFFF"/>
        </w:rPr>
        <w:t>关于调整2024年财政拨款收入及账务处理的通知》（丰财库[2025] 1号）要求，列支财政统筹返还存量资金32.01万元，主要用于</w:t>
      </w:r>
      <w:r>
        <w:rPr>
          <w:rFonts w:ascii="方正仿宋_GBK" w:hAnsi="仿宋" w:eastAsia="方正仿宋_GBK"/>
          <w:sz w:val="32"/>
          <w:szCs w:val="32"/>
        </w:rPr>
        <w:t>全市普惠金融发展会议支出及人才引进支出。</w:t>
      </w:r>
    </w:p>
    <w:p w14:paraId="1F6AAD4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16.41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较年初预算数增加5.30万元，增长47.7%</w:t>
      </w:r>
      <w:r>
        <w:rPr>
          <w:rFonts w:ascii="方正仿宋_GBK" w:hAnsi="方正仿宋_GBK" w:eastAsia="方正仿宋_GBK" w:cs="方正仿宋_GBK"/>
          <w:sz w:val="32"/>
          <w:szCs w:val="32"/>
          <w:shd w:val="clear" w:color="auto" w:fill="FFFFFF"/>
        </w:rPr>
        <w:t>，主要原因是</w:t>
      </w:r>
      <w:r>
        <w:rPr>
          <w:rFonts w:ascii="方正仿宋_GBK" w:hAnsi="仿宋" w:eastAsia="方正仿宋_GBK"/>
          <w:sz w:val="32"/>
          <w:szCs w:val="32"/>
        </w:rPr>
        <w:t>工作人员超额绩效纳入缴费基数，相关保险缴费增</w:t>
      </w:r>
      <w:r>
        <w:rPr>
          <w:rFonts w:ascii="方正仿宋_GBK" w:hAnsi="仿宋" w:eastAsia="方正仿宋_GBK"/>
          <w:color w:val="000000" w:themeColor="text1"/>
          <w:sz w:val="32"/>
          <w:szCs w:val="32"/>
        </w:rPr>
        <w:t>加</w:t>
      </w:r>
      <w:r>
        <w:rPr>
          <w:rFonts w:ascii="方正仿宋_GBK" w:hAnsi="方正仿宋_GBK" w:eastAsia="方正仿宋_GBK" w:cs="方正仿宋_GBK"/>
          <w:color w:val="000000" w:themeColor="text1"/>
          <w:sz w:val="32"/>
          <w:szCs w:val="32"/>
          <w:shd w:val="clear" w:color="auto" w:fill="FFFFFF"/>
        </w:rPr>
        <w:t>。</w:t>
      </w:r>
    </w:p>
    <w:p w14:paraId="5A85A83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4.67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较年初预算数减少1.06万元，下降18.5%</w:t>
      </w: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主要原因是人员变动，年初预算在编在职人员6人，年度中部分月份实有在编人员仅5人。</w:t>
      </w:r>
    </w:p>
    <w:p w14:paraId="54928398">
      <w:pPr>
        <w:spacing w:line="596"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4.47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较年初预算数减少1.09万元，下降19.6%</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人员变动，年初预算在编在职人员6人，年度中部分月份实有在编人员仅5人</w:t>
      </w:r>
    </w:p>
    <w:p w14:paraId="13CF3A9C">
      <w:pPr>
        <w:spacing w:line="596" w:lineRule="exact"/>
        <w:ind w:firstLine="643" w:firstLineChars="200"/>
        <w:jc w:val="both"/>
        <w:rPr>
          <w:rFonts w:hint="default" w:ascii="方正仿宋_GBK" w:hAnsi="仿宋" w:eastAsia="方正仿宋_GBK"/>
          <w:sz w:val="32"/>
          <w:szCs w:val="32"/>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0.55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与2023年度相比，减少3.28万元，下降85.6%</w:t>
      </w:r>
      <w:r>
        <w:rPr>
          <w:rFonts w:ascii="方正仿宋_GBK" w:hAnsi="方正仿宋_GBK" w:eastAsia="方正仿宋_GBK" w:cs="方正仿宋_GBK"/>
          <w:sz w:val="32"/>
          <w:szCs w:val="32"/>
          <w:shd w:val="clear" w:color="auto" w:fill="FFFFFF"/>
        </w:rPr>
        <w:t>，主要原因是</w:t>
      </w:r>
      <w:r>
        <w:rPr>
          <w:rFonts w:ascii="方正仿宋_GBK" w:hAnsi="仿宋" w:eastAsia="方正仿宋_GBK"/>
          <w:sz w:val="32"/>
          <w:szCs w:val="32"/>
        </w:rPr>
        <w:t>本部门动用上年结转资金安排支出。</w:t>
      </w:r>
    </w:p>
    <w:p w14:paraId="100824BA">
      <w:pPr>
        <w:pStyle w:val="15"/>
        <w:autoSpaceDE w:val="0"/>
        <w:spacing w:before="0" w:beforeAutospacing="0" w:after="0" w:afterAutospacing="0" w:line="596" w:lineRule="exact"/>
        <w:ind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2375B3F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119.38</w:t>
      </w:r>
      <w:r>
        <w:rPr>
          <w:rFonts w:ascii="方正仿宋_GBK" w:hAnsi="方正仿宋_GBK" w:eastAsia="方正仿宋_GBK" w:cs="方正仿宋_GBK"/>
          <w:sz w:val="32"/>
          <w:szCs w:val="32"/>
          <w:shd w:val="clear" w:color="auto" w:fill="FFFFFF"/>
        </w:rPr>
        <w:t>万元。</w:t>
      </w:r>
    </w:p>
    <w:p w14:paraId="7584B2C9">
      <w:pPr>
        <w:pStyle w:val="9"/>
        <w:snapToGrid w:val="0"/>
        <w:spacing w:before="0" w:beforeAutospacing="0" w:after="0" w:afterAutospacing="0" w:line="596" w:lineRule="exact"/>
        <w:ind w:firstLine="64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7ECBB67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99.92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与2023年度相比，减少10.14万元，下降9.2%</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color w:val="000000" w:themeColor="text1"/>
          <w:sz w:val="32"/>
          <w:szCs w:val="32"/>
          <w:shd w:val="clear" w:color="auto" w:fill="FFFFFF"/>
        </w:rPr>
        <w:t>部分超额绩效跨年度清算</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color w:val="000000" w:themeColor="text1"/>
          <w:sz w:val="32"/>
          <w:szCs w:val="32"/>
          <w:shd w:val="clear" w:color="auto" w:fill="FFFFFF"/>
        </w:rPr>
        <w:t>在职人员工资津补贴及社会保险缴费等支出。</w:t>
      </w:r>
    </w:p>
    <w:p w14:paraId="6824C1C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19.46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与2023年度相比，增加0.95万元，增长5.1%</w:t>
      </w:r>
      <w:r>
        <w:rPr>
          <w:rFonts w:ascii="方正仿宋_GBK" w:hAnsi="方正仿宋_GBK" w:eastAsia="方正仿宋_GBK" w:cs="方正仿宋_GBK"/>
          <w:sz w:val="32"/>
          <w:szCs w:val="32"/>
          <w:shd w:val="clear" w:color="auto" w:fill="FFFFFF"/>
        </w:rPr>
        <w:t>，主要原因是部门办公成本增加</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公用经费用途主要</w:t>
      </w:r>
      <w:r>
        <w:rPr>
          <w:rFonts w:ascii="方正仿宋_GBK" w:hAnsi="方正仿宋_GBK" w:eastAsia="方正仿宋_GBK" w:cs="方正仿宋_GBK"/>
          <w:color w:val="000000" w:themeColor="text1"/>
          <w:sz w:val="32"/>
          <w:szCs w:val="32"/>
          <w:shd w:val="clear" w:color="auto" w:fill="FFFFFF"/>
        </w:rPr>
        <w:t>包括维持部门正常运转开支的办公费、水电费、邮电费等。</w:t>
      </w:r>
    </w:p>
    <w:p w14:paraId="652B16E8">
      <w:pPr>
        <w:pStyle w:val="15"/>
        <w:autoSpaceDE w:val="0"/>
        <w:spacing w:before="0" w:beforeAutospacing="0" w:after="0" w:afterAutospacing="0" w:line="596" w:lineRule="exact"/>
        <w:ind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14:paraId="411AA8C9">
      <w:pPr>
        <w:pStyle w:val="9"/>
        <w:snapToGrid w:val="0"/>
        <w:spacing w:before="0" w:beforeAutospacing="0" w:after="0" w:afterAutospacing="0" w:line="596" w:lineRule="exact"/>
        <w:ind w:firstLine="960" w:firstLineChars="300"/>
        <w:jc w:val="both"/>
        <w:rPr>
          <w:rFonts w:hint="default" w:ascii="方正仿宋_GBK" w:hAnsi="方正仿宋_GBK" w:eastAsia="方正仿宋_GBK" w:cs="方正仿宋_GBK"/>
          <w:bCs/>
          <w:sz w:val="32"/>
          <w:szCs w:val="32"/>
          <w:shd w:val="clear" w:color="auto" w:fill="FFFFFF"/>
        </w:rPr>
      </w:pPr>
      <w:r>
        <w:rPr>
          <w:rFonts w:ascii="方正仿宋_GBK" w:eastAsia="方正仿宋_GBK"/>
          <w:bCs/>
          <w:sz w:val="32"/>
          <w:szCs w:val="32"/>
          <w:shd w:val="clear" w:color="auto" w:fill="FFFFFF"/>
        </w:rPr>
        <w:t>本部门</w:t>
      </w:r>
      <w:r>
        <w:rPr>
          <w:rFonts w:hint="default" w:ascii="Times New Roman" w:hAnsi="Times New Roman" w:eastAsia="方正仿宋_GBK" w:cs="Times New Roman"/>
          <w:sz w:val="32"/>
          <w:szCs w:val="32"/>
          <w:shd w:val="clear" w:color="auto" w:fill="FFFFFF"/>
        </w:rPr>
        <w:t>2024</w:t>
      </w:r>
      <w:r>
        <w:rPr>
          <w:rFonts w:ascii="方正仿宋_GBK" w:eastAsia="方正仿宋_GBK"/>
          <w:bCs/>
          <w:sz w:val="32"/>
          <w:szCs w:val="32"/>
          <w:shd w:val="clear" w:color="auto" w:fill="FFFFFF"/>
        </w:rPr>
        <w:t>年度无政府性基金预算财政拨款收支。</w:t>
      </w:r>
    </w:p>
    <w:p w14:paraId="36C9ED14">
      <w:pPr>
        <w:pStyle w:val="15"/>
        <w:autoSpaceDE w:val="0"/>
        <w:spacing w:before="0" w:beforeAutospacing="0" w:after="0" w:afterAutospacing="0" w:line="596" w:lineRule="exact"/>
        <w:ind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14:paraId="7B98EBBC">
      <w:pPr>
        <w:pStyle w:val="9"/>
        <w:snapToGrid w:val="0"/>
        <w:spacing w:before="0" w:beforeAutospacing="0" w:after="0" w:afterAutospacing="0" w:line="596" w:lineRule="exact"/>
        <w:ind w:firstLine="960" w:firstLineChars="300"/>
        <w:jc w:val="both"/>
        <w:rPr>
          <w:rFonts w:hint="default" w:ascii="方正仿宋_GBK" w:eastAsia="方正仿宋_GBK"/>
          <w:bCs/>
          <w:sz w:val="32"/>
          <w:szCs w:val="32"/>
          <w:shd w:val="clear" w:color="auto" w:fill="FFFFFF"/>
        </w:rPr>
      </w:pPr>
      <w:r>
        <w:rPr>
          <w:rFonts w:ascii="方正仿宋_GBK" w:eastAsia="方正仿宋_GBK"/>
          <w:bCs/>
          <w:sz w:val="32"/>
          <w:szCs w:val="32"/>
          <w:shd w:val="clear" w:color="auto" w:fill="FFFFFF"/>
        </w:rPr>
        <w:t>本部门</w:t>
      </w:r>
      <w:r>
        <w:rPr>
          <w:rFonts w:hint="default" w:ascii="Times New Roman" w:hAnsi="Times New Roman" w:eastAsia="方正仿宋_GBK" w:cs="Times New Roman"/>
          <w:sz w:val="32"/>
          <w:szCs w:val="32"/>
          <w:shd w:val="clear" w:color="auto" w:fill="FFFFFF"/>
        </w:rPr>
        <w:t>2024</w:t>
      </w:r>
      <w:r>
        <w:rPr>
          <w:rFonts w:ascii="方正仿宋_GBK" w:eastAsia="方正仿宋_GBK"/>
          <w:bCs/>
          <w:sz w:val="32"/>
          <w:szCs w:val="32"/>
          <w:shd w:val="clear" w:color="auto" w:fill="FFFFFF"/>
        </w:rPr>
        <w:t>年度无国有资本经营预算财政拨款支出。</w:t>
      </w:r>
    </w:p>
    <w:p w14:paraId="34987279">
      <w:pPr>
        <w:pStyle w:val="9"/>
        <w:shd w:val="clear" w:color="auto" w:fill="FFFFFF"/>
        <w:spacing w:before="0" w:beforeAutospacing="0" w:after="0" w:afterAutospacing="0" w:line="596" w:lineRule="exact"/>
        <w:ind w:firstLine="640" w:firstLineChars="200"/>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三、财政拨款“三公”经费情况说明</w:t>
      </w:r>
    </w:p>
    <w:p w14:paraId="576C6A71">
      <w:pPr>
        <w:pStyle w:val="15"/>
        <w:autoSpaceDE w:val="0"/>
        <w:spacing w:before="0" w:beforeAutospacing="0" w:after="0" w:afterAutospacing="0" w:line="596" w:lineRule="exact"/>
        <w:ind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14:paraId="753C4CC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0.45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较年初预算数增加0.17万元，增长60.7%</w:t>
      </w:r>
      <w:r>
        <w:rPr>
          <w:rFonts w:ascii="方正仿宋_GBK" w:hAnsi="方正仿宋_GBK" w:eastAsia="方正仿宋_GBK" w:cs="方正仿宋_GBK"/>
          <w:sz w:val="32"/>
          <w:szCs w:val="32"/>
          <w:shd w:val="clear" w:color="auto" w:fill="FFFFFF"/>
        </w:rPr>
        <w:t>，主要原因是实际接待场次和人数较年初预计数增加。</w:t>
      </w:r>
      <w:r>
        <w:rPr>
          <w:rFonts w:hint="default" w:ascii="Times New Roman" w:hAnsi="Times New Roman" w:eastAsia="方正仿宋_GBK"/>
          <w:sz w:val="32"/>
          <w:szCs w:val="32"/>
          <w:shd w:val="clear" w:color="auto" w:fill="FFFFFF"/>
        </w:rPr>
        <w:t>较上年支出数增加0.45万元，增长100.0%</w:t>
      </w:r>
      <w:r>
        <w:rPr>
          <w:rFonts w:ascii="方正仿宋_GBK" w:hAnsi="方正仿宋_GBK" w:eastAsia="方正仿宋_GBK" w:cs="方正仿宋_GBK"/>
          <w:sz w:val="32"/>
          <w:szCs w:val="32"/>
          <w:shd w:val="clear" w:color="auto" w:fill="FFFFFF"/>
        </w:rPr>
        <w:t>，主要原因是实际接待场次和人数较去年增加</w:t>
      </w:r>
      <w:r>
        <w:rPr>
          <w:rFonts w:ascii="方正仿宋_GBK" w:hAnsi="方正仿宋_GBK" w:eastAsia="方正仿宋_GBK" w:cs="方正仿宋_GBK"/>
          <w:color w:val="000000" w:themeColor="text1"/>
          <w:sz w:val="32"/>
          <w:szCs w:val="32"/>
          <w:shd w:val="clear" w:color="auto" w:fill="FFFFFF"/>
        </w:rPr>
        <w:t>。</w:t>
      </w:r>
    </w:p>
    <w:p w14:paraId="2559BB45">
      <w:pPr>
        <w:pStyle w:val="15"/>
        <w:autoSpaceDE w:val="0"/>
        <w:spacing w:before="0" w:beforeAutospacing="0" w:after="0" w:afterAutospacing="0" w:line="596" w:lineRule="exact"/>
        <w:ind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14:paraId="7E72053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w:t>
      </w:r>
      <w:r>
        <w:rPr>
          <w:rFonts w:hint="eastAsia" w:ascii="方正仿宋_GBK" w:hAnsi="方正仿宋_GBK" w:eastAsia="方正仿宋_GBK" w:cs="方正仿宋_GBK"/>
          <w:sz w:val="32"/>
          <w:szCs w:val="32"/>
          <w:shd w:val="clear" w:color="auto" w:fill="FFFFFF"/>
          <w:lang w:eastAsia="zh-CN"/>
        </w:rPr>
        <w:t>未发生</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与</w:t>
      </w:r>
      <w:r>
        <w:rPr>
          <w:rFonts w:hint="default" w:ascii="Times New Roman" w:hAnsi="Times New Roman" w:eastAsia="方正仿宋_GBK"/>
          <w:sz w:val="32"/>
          <w:szCs w:val="32"/>
          <w:shd w:val="clear" w:color="auto" w:fill="FFFFFF"/>
        </w:rPr>
        <w:t>上年</w:t>
      </w:r>
      <w:r>
        <w:rPr>
          <w:rFonts w:hint="eastAsia" w:ascii="Times New Roman" w:hAnsi="Times New Roman" w:eastAsia="方正仿宋_GBK"/>
          <w:sz w:val="32"/>
          <w:szCs w:val="32"/>
          <w:shd w:val="clear" w:color="auto" w:fill="FFFFFF"/>
          <w:lang w:eastAsia="zh-CN"/>
        </w:rPr>
        <w:t>决算数持平</w:t>
      </w:r>
      <w:r>
        <w:rPr>
          <w:rFonts w:ascii="方正仿宋_GBK" w:hAnsi="方正仿宋_GBK" w:eastAsia="方正仿宋_GBK" w:cs="方正仿宋_GBK"/>
          <w:sz w:val="32"/>
          <w:szCs w:val="32"/>
          <w:shd w:val="clear" w:color="auto" w:fill="FFFFFF"/>
        </w:rPr>
        <w:t>。</w:t>
      </w:r>
    </w:p>
    <w:p w14:paraId="7E8B6F2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Times New Roman" w:hAnsi="Times New Roman" w:eastAsia="方正仿宋_GBK" w:cs="Times New Roman"/>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年度本部门未发生</w:t>
      </w:r>
      <w:r>
        <w:rPr>
          <w:rFonts w:ascii="方正仿宋_GBK" w:hAnsi="方正仿宋_GBK" w:eastAsia="方正仿宋_GBK" w:cs="方正仿宋_GBK"/>
          <w:sz w:val="32"/>
          <w:szCs w:val="32"/>
          <w:shd w:val="clear" w:color="auto" w:fill="FFFFFF"/>
        </w:rPr>
        <w:t>公务用车购置费，</w:t>
      </w:r>
      <w:r>
        <w:rPr>
          <w:rFonts w:hint="eastAsia" w:ascii="方正仿宋_GBK" w:hAnsi="方正仿宋_GBK" w:eastAsia="方正仿宋_GBK" w:cs="方正仿宋_GBK"/>
          <w:sz w:val="32"/>
          <w:szCs w:val="32"/>
          <w:shd w:val="clear" w:color="auto" w:fill="FFFFFF"/>
          <w:lang w:eastAsia="zh-CN"/>
        </w:rPr>
        <w:t>与</w:t>
      </w:r>
      <w:r>
        <w:rPr>
          <w:rFonts w:hint="default" w:ascii="Times New Roman" w:hAnsi="Times New Roman" w:eastAsia="方正仿宋_GBK"/>
          <w:sz w:val="32"/>
          <w:szCs w:val="32"/>
          <w:shd w:val="clear" w:color="auto" w:fill="FFFFFF"/>
        </w:rPr>
        <w:t>上年</w:t>
      </w:r>
      <w:r>
        <w:rPr>
          <w:rFonts w:hint="eastAsia" w:ascii="Times New Roman" w:hAnsi="Times New Roman" w:eastAsia="方正仿宋_GBK"/>
          <w:sz w:val="32"/>
          <w:szCs w:val="32"/>
          <w:shd w:val="clear" w:color="auto" w:fill="FFFFFF"/>
          <w:lang w:eastAsia="zh-CN"/>
        </w:rPr>
        <w:t>决算数持平</w:t>
      </w:r>
      <w:r>
        <w:rPr>
          <w:rFonts w:ascii="方正仿宋_GBK" w:hAnsi="方正仿宋_GBK" w:eastAsia="方正仿宋_GBK" w:cs="方正仿宋_GBK"/>
          <w:sz w:val="32"/>
          <w:szCs w:val="32"/>
          <w:shd w:val="clear" w:color="auto" w:fill="FFFFFF"/>
        </w:rPr>
        <w:t>。</w:t>
      </w:r>
    </w:p>
    <w:p w14:paraId="462882E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Times New Roman" w:hAnsi="Times New Roman" w:eastAsia="方正仿宋_GBK" w:cs="Times New Roman"/>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年度本部门未发生</w:t>
      </w:r>
      <w:r>
        <w:rPr>
          <w:rFonts w:ascii="方正仿宋_GBK" w:hAnsi="方正仿宋_GBK" w:eastAsia="方正仿宋_GBK" w:cs="方正仿宋_GBK"/>
          <w:sz w:val="32"/>
          <w:szCs w:val="32"/>
          <w:shd w:val="clear" w:color="auto" w:fill="FFFFFF"/>
        </w:rPr>
        <w:t>公务用车运行维护费，</w:t>
      </w:r>
      <w:r>
        <w:rPr>
          <w:rFonts w:hint="eastAsia" w:ascii="方正仿宋_GBK" w:hAnsi="方正仿宋_GBK" w:eastAsia="方正仿宋_GBK" w:cs="方正仿宋_GBK"/>
          <w:sz w:val="32"/>
          <w:szCs w:val="32"/>
          <w:shd w:val="clear" w:color="auto" w:fill="FFFFFF"/>
          <w:lang w:eastAsia="zh-CN"/>
        </w:rPr>
        <w:t>与</w:t>
      </w:r>
      <w:r>
        <w:rPr>
          <w:rFonts w:hint="default" w:ascii="Times New Roman" w:hAnsi="Times New Roman" w:eastAsia="方正仿宋_GBK"/>
          <w:sz w:val="32"/>
          <w:szCs w:val="32"/>
          <w:shd w:val="clear" w:color="auto" w:fill="FFFFFF"/>
        </w:rPr>
        <w:t>上年</w:t>
      </w:r>
      <w:r>
        <w:rPr>
          <w:rFonts w:hint="eastAsia" w:ascii="Times New Roman" w:hAnsi="Times New Roman" w:eastAsia="方正仿宋_GBK"/>
          <w:sz w:val="32"/>
          <w:szCs w:val="32"/>
          <w:shd w:val="clear" w:color="auto" w:fill="FFFFFF"/>
          <w:lang w:eastAsia="zh-CN"/>
        </w:rPr>
        <w:t>决算数持平</w:t>
      </w:r>
      <w:r>
        <w:rPr>
          <w:rFonts w:ascii="方正仿宋_GBK" w:hAnsi="方正仿宋_GBK" w:eastAsia="方正仿宋_GBK" w:cs="方正仿宋_GBK"/>
          <w:sz w:val="32"/>
          <w:szCs w:val="32"/>
          <w:shd w:val="clear" w:color="auto" w:fill="FFFFFF"/>
        </w:rPr>
        <w:t>。</w:t>
      </w:r>
    </w:p>
    <w:p w14:paraId="0D7352C4">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cs="Times New Roman"/>
          <w:sz w:val="32"/>
          <w:szCs w:val="32"/>
          <w:shd w:val="clear" w:color="auto" w:fill="FFFFFF"/>
          <w:lang w:val="en-US" w:eastAsia="zh-CN"/>
        </w:rPr>
        <w:t>0.45</w:t>
      </w:r>
      <w:r>
        <w:rPr>
          <w:rFonts w:ascii="方正仿宋_GBK" w:hAnsi="方正仿宋_GBK" w:eastAsia="方正仿宋_GBK" w:cs="方正仿宋_GBK"/>
          <w:sz w:val="32"/>
          <w:szCs w:val="32"/>
          <w:shd w:val="clear" w:color="auto" w:fill="FFFFFF"/>
        </w:rPr>
        <w:t>万元，主要用于接待市华夏银行、太平洋保险、市金融监管局及部分媒体。费用支出</w:t>
      </w:r>
      <w:r>
        <w:rPr>
          <w:rFonts w:hint="default" w:ascii="Times New Roman" w:hAnsi="Times New Roman" w:eastAsia="方正仿宋_GBK"/>
          <w:sz w:val="32"/>
          <w:szCs w:val="32"/>
          <w:shd w:val="clear" w:color="auto" w:fill="FFFFFF"/>
        </w:rPr>
        <w:t>较年初预算数增加0.17万元，增长60.7%</w:t>
      </w:r>
      <w:r>
        <w:rPr>
          <w:rFonts w:ascii="方正仿宋_GBK" w:hAnsi="方正仿宋_GBK" w:eastAsia="方正仿宋_GBK" w:cs="方正仿宋_GBK"/>
          <w:sz w:val="32"/>
          <w:szCs w:val="32"/>
          <w:shd w:val="clear" w:color="auto" w:fill="FFFFFF"/>
        </w:rPr>
        <w:t>，主要原因是实际接待场次和人数较年初预计数增加。</w:t>
      </w:r>
      <w:r>
        <w:rPr>
          <w:rFonts w:hint="default" w:ascii="Times New Roman" w:hAnsi="Times New Roman" w:eastAsia="方正仿宋_GBK"/>
          <w:sz w:val="32"/>
          <w:szCs w:val="32"/>
          <w:shd w:val="clear" w:color="auto" w:fill="FFFFFF"/>
        </w:rPr>
        <w:t>较上年支出数增加0.45万元，增长100.0%</w:t>
      </w:r>
      <w:r>
        <w:rPr>
          <w:rFonts w:ascii="方正仿宋_GBK" w:hAnsi="方正仿宋_GBK" w:eastAsia="方正仿宋_GBK" w:cs="方正仿宋_GBK"/>
          <w:sz w:val="32"/>
          <w:szCs w:val="32"/>
          <w:shd w:val="clear" w:color="auto" w:fill="FFFFFF"/>
        </w:rPr>
        <w:t>，主要原因是实际接待场次和人数较去年增加。</w:t>
      </w:r>
    </w:p>
    <w:p w14:paraId="1C3AE765">
      <w:pPr>
        <w:pStyle w:val="15"/>
        <w:autoSpaceDE w:val="0"/>
        <w:spacing w:before="0" w:beforeAutospacing="0" w:after="0" w:afterAutospacing="0" w:line="596" w:lineRule="exact"/>
        <w:ind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14:paraId="1ACBDE64">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25</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180.88</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1A1F6DDC">
      <w:pPr>
        <w:pStyle w:val="9"/>
        <w:shd w:val="clear" w:color="auto" w:fill="FFFFFF"/>
        <w:spacing w:before="0" w:beforeAutospacing="0" w:after="0" w:afterAutospacing="0" w:line="596" w:lineRule="exact"/>
        <w:ind w:firstLine="640" w:firstLineChars="200"/>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四、其他需要说明的事项</w:t>
      </w:r>
    </w:p>
    <w:p w14:paraId="42C647FF">
      <w:pPr>
        <w:pStyle w:val="15"/>
        <w:autoSpaceDE w:val="0"/>
        <w:spacing w:before="0" w:beforeAutospacing="0" w:after="0" w:afterAutospacing="0" w:line="596" w:lineRule="exact"/>
        <w:ind w:firstLine="640" w:firstLineChars="200"/>
        <w:rPr>
          <w:rFonts w:hint="default"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（一）财政拨款会议费、培训费和差旅费情况说明</w:t>
      </w:r>
    </w:p>
    <w:p w14:paraId="4BC4C88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26.13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与2023年度相比，增加25.81万元，增长8065.6%</w:t>
      </w:r>
      <w:r>
        <w:rPr>
          <w:rFonts w:ascii="方正仿宋_GBK" w:hAnsi="方正仿宋_GBK" w:eastAsia="方正仿宋_GBK" w:cs="方正仿宋_GBK"/>
          <w:sz w:val="32"/>
          <w:szCs w:val="32"/>
          <w:shd w:val="clear" w:color="auto" w:fill="FFFFFF"/>
        </w:rPr>
        <w:t>，主要原因</w:t>
      </w:r>
      <w:r>
        <w:rPr>
          <w:rFonts w:ascii="Times New Roman" w:hAnsi="Times New Roman" w:eastAsia="方正仿宋_GBK"/>
          <w:sz w:val="32"/>
          <w:szCs w:val="32"/>
          <w:shd w:val="clear" w:color="auto" w:fill="FFFFFF"/>
        </w:rPr>
        <w:t>是2</w:t>
      </w:r>
      <w:r>
        <w:rPr>
          <w:rFonts w:hint="default" w:ascii="Times New Roman" w:hAnsi="Times New Roman" w:eastAsia="方正仿宋_GBK"/>
          <w:sz w:val="32"/>
          <w:szCs w:val="32"/>
          <w:shd w:val="clear" w:color="auto" w:fill="FFFFFF"/>
        </w:rPr>
        <w:t>024</w:t>
      </w:r>
      <w:r>
        <w:rPr>
          <w:rFonts w:ascii="Times New Roman" w:hAnsi="Times New Roman" w:eastAsia="方正仿宋_GBK"/>
          <w:sz w:val="32"/>
          <w:szCs w:val="32"/>
          <w:shd w:val="clear" w:color="auto" w:fill="FFFFFF"/>
        </w:rPr>
        <w:t>年我部门承办了全市普惠金融发展会议，开支项目经费25</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61万元。</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0.98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与2023年度相比，增加0.98万元，增长100.0%</w:t>
      </w:r>
      <w:r>
        <w:rPr>
          <w:rFonts w:ascii="方正仿宋_GBK" w:hAnsi="方正仿宋_GBK" w:eastAsia="方正仿宋_GBK" w:cs="方正仿宋_GBK"/>
          <w:sz w:val="32"/>
          <w:szCs w:val="32"/>
          <w:shd w:val="clear" w:color="auto" w:fill="FFFFFF"/>
        </w:rPr>
        <w:t>，主要原因是培训人次较去年增加，本年度差旅费支出</w:t>
      </w:r>
      <w:r>
        <w:rPr>
          <w:rFonts w:hint="default" w:ascii="Times New Roman" w:hAnsi="Times New Roman" w:eastAsia="方正仿宋_GBK"/>
          <w:sz w:val="32"/>
          <w:szCs w:val="32"/>
          <w:shd w:val="clear" w:color="auto" w:fill="FFFFFF"/>
        </w:rPr>
        <w:t>0.63</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与2023年度相比，减少1.02万元，下降61.8%</w:t>
      </w:r>
      <w:r>
        <w:rPr>
          <w:rFonts w:ascii="方正仿宋_GBK" w:hAnsi="方正仿宋_GBK" w:eastAsia="方正仿宋_GBK" w:cs="方正仿宋_GBK"/>
          <w:sz w:val="32"/>
          <w:szCs w:val="32"/>
          <w:shd w:val="clear" w:color="auto" w:fill="FFFFFF"/>
        </w:rPr>
        <w:t>，主要原因</w:t>
      </w:r>
      <w:r>
        <w:rPr>
          <w:rFonts w:ascii="方正仿宋_GBK" w:hAnsi="方正仿宋_GBK" w:eastAsia="方正仿宋_GBK" w:cs="方正仿宋_GBK"/>
          <w:color w:val="000000" w:themeColor="text1"/>
          <w:sz w:val="32"/>
          <w:szCs w:val="32"/>
          <w:shd w:val="clear" w:color="auto" w:fill="FFFFFF"/>
        </w:rPr>
        <w:t>是出差人次较去年减少。</w:t>
      </w:r>
    </w:p>
    <w:p w14:paraId="574D69B6">
      <w:pPr>
        <w:pStyle w:val="15"/>
        <w:autoSpaceDE w:val="0"/>
        <w:spacing w:before="0" w:beforeAutospacing="0" w:after="0" w:afterAutospacing="0" w:line="596" w:lineRule="exact"/>
        <w:ind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14:paraId="4FDD4B5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w:t>
      </w:r>
      <w:r>
        <w:rPr>
          <w:rFonts w:ascii="方正仿宋_GBK" w:hAnsi="方正仿宋_GBK" w:eastAsia="方正仿宋_GBK" w:cs="方正仿宋_GBK"/>
          <w:sz w:val="32"/>
          <w:szCs w:val="32"/>
          <w:shd w:val="clear" w:color="auto" w:fill="FFFFFF"/>
        </w:rPr>
        <w:t>部门</w:t>
      </w:r>
      <w:r>
        <w:rPr>
          <w:rFonts w:hint="default" w:ascii="方正仿宋_GBK" w:hAnsi="方正仿宋_GBK" w:eastAsia="方正仿宋_GBK" w:cs="方正仿宋_GBK"/>
          <w:sz w:val="32"/>
          <w:szCs w:val="32"/>
          <w:shd w:val="clear" w:color="auto" w:fill="FFFFFF"/>
        </w:rPr>
        <w:t>不在机关运行经费统计范围之内。</w:t>
      </w:r>
    </w:p>
    <w:p w14:paraId="779F91AE">
      <w:pPr>
        <w:pStyle w:val="15"/>
        <w:autoSpaceDE w:val="0"/>
        <w:spacing w:before="0" w:beforeAutospacing="0" w:after="0" w:afterAutospacing="0" w:line="596" w:lineRule="exact"/>
        <w:ind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14:paraId="3FA4BAF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2DA49DC6">
      <w:pPr>
        <w:pStyle w:val="15"/>
        <w:autoSpaceDE w:val="0"/>
        <w:spacing w:before="0" w:beforeAutospacing="0" w:after="0" w:afterAutospacing="0" w:line="596" w:lineRule="exact"/>
        <w:ind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14:paraId="1F456FD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200.00</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200.00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0.0 %</w:t>
      </w:r>
      <w:r>
        <w:rPr>
          <w:rFonts w:ascii="方正仿宋_GBK" w:hAnsi="方正仿宋_GBK" w:eastAsia="方正仿宋_GBK" w:cs="方正仿宋_GBK"/>
          <w:sz w:val="32"/>
          <w:szCs w:val="32"/>
          <w:shd w:val="clear" w:color="auto" w:fill="FFFFFF"/>
        </w:rPr>
        <w:t>。主要用于采购巨灾保险服务。</w:t>
      </w:r>
    </w:p>
    <w:p w14:paraId="45DFC2A6">
      <w:pPr>
        <w:pStyle w:val="9"/>
        <w:shd w:val="clear" w:color="auto" w:fill="FFFFFF"/>
        <w:spacing w:before="0" w:beforeAutospacing="0" w:after="0" w:afterAutospacing="0" w:line="596" w:lineRule="exact"/>
        <w:ind w:firstLine="640" w:firstLineChars="200"/>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五、2024年度预算绩效管理情况说明</w:t>
      </w:r>
    </w:p>
    <w:p w14:paraId="343B41B5">
      <w:pPr>
        <w:pStyle w:val="15"/>
        <w:autoSpaceDE w:val="0"/>
        <w:spacing w:before="0" w:beforeAutospacing="0" w:after="0" w:afterAutospacing="0" w:line="596" w:lineRule="exact"/>
        <w:ind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（一）部门自评情况</w:t>
      </w:r>
    </w:p>
    <w:p w14:paraId="6C198371">
      <w:pPr>
        <w:pStyle w:val="15"/>
        <w:keepNext w:val="0"/>
        <w:keepLines w:val="0"/>
        <w:pageBreakBefore w:val="0"/>
        <w:kinsoku/>
        <w:wordWrap/>
        <w:overflowPunct/>
        <w:topLinePunct w:val="0"/>
        <w:autoSpaceDE w:val="0"/>
        <w:autoSpaceDN/>
        <w:bidi w:val="0"/>
        <w:adjustRightInd/>
        <w:spacing w:before="0" w:beforeAutospacing="0" w:afterAutospacing="0" w:line="64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eastAsia" w:ascii="方正仿宋_GBK" w:hAnsi="方正仿宋_GBK" w:eastAsia="方正仿宋_GBK" w:cs="方正仿宋_GBK"/>
          <w:sz w:val="32"/>
          <w:szCs w:val="32"/>
          <w:shd w:val="clear" w:color="auto" w:fill="FFFFFF"/>
        </w:rPr>
        <w:t>根据预</w:t>
      </w:r>
      <w:r>
        <w:rPr>
          <w:rFonts w:hint="eastAsia" w:ascii="方正仿宋_GBK" w:hAnsi="方正仿宋_GBK" w:eastAsia="方正仿宋_GBK" w:cs="方正仿宋_GBK"/>
          <w:sz w:val="32"/>
          <w:szCs w:val="32"/>
          <w:shd w:val="clear" w:color="auto" w:fill="FFFFFF"/>
          <w:lang w:val="en-US" w:eastAsia="zh-CN" w:bidi="ar-SA"/>
        </w:rPr>
        <w:t>算绩效管理要求，我部门对部门整体和</w:t>
      </w:r>
      <w:r>
        <w:rPr>
          <w:rFonts w:hint="eastAsia" w:ascii="Times New Roman" w:hAnsi="Times New Roman" w:eastAsia="方正仿宋_GBK" w:cs="Times New Roman"/>
          <w:sz w:val="32"/>
          <w:szCs w:val="32"/>
          <w:shd w:val="clear" w:color="auto" w:fill="FFFFFF"/>
          <w:lang w:val="en-US" w:eastAsia="zh-CN" w:bidi="ar-SA"/>
        </w:rPr>
        <w:t>4个项目开展了绩效自评，涉及财政拨款项目支出资金239.36</w:t>
      </w:r>
      <w:r>
        <w:rPr>
          <w:rFonts w:hint="eastAsia" w:ascii="方正仿宋_GBK" w:hAnsi="方正仿宋_GBK" w:eastAsia="方正仿宋_GBK" w:cs="方正仿宋_GBK"/>
          <w:sz w:val="32"/>
          <w:szCs w:val="32"/>
          <w:shd w:val="clear" w:color="auto" w:fill="FFFFFF"/>
          <w:lang w:val="en-US" w:eastAsia="zh-CN" w:bidi="ar-SA"/>
        </w:rPr>
        <w:t>万元。</w:t>
      </w:r>
      <w:r>
        <w:rPr>
          <w:rFonts w:hint="default" w:ascii="Times New Roman" w:hAnsi="Times New Roman" w:eastAsia="方正仿宋_GBK" w:cs="Times New Roman"/>
          <w:sz w:val="32"/>
          <w:szCs w:val="32"/>
          <w:shd w:val="clear" w:color="auto" w:fill="FFFFFF"/>
        </w:rPr>
        <w:t>项目支出绩效自评表见附件。</w:t>
      </w:r>
    </w:p>
    <w:p w14:paraId="6128E0E0">
      <w:pPr>
        <w:pStyle w:val="15"/>
        <w:autoSpaceDE w:val="0"/>
        <w:spacing w:before="0" w:beforeAutospacing="0" w:afterAutospacing="0" w:line="579" w:lineRule="exact"/>
        <w:jc w:val="center"/>
        <w:rPr>
          <w:rFonts w:ascii="方正仿宋_GBK" w:hAnsi="方正仿宋_GBK" w:eastAsia="方正仿宋_GBK" w:cs="方正仿宋_GBK"/>
          <w:b/>
          <w:bCs/>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年度部门整体绩效自评表</w:t>
      </w:r>
    </w:p>
    <w:tbl>
      <w:tblPr>
        <w:tblStyle w:val="10"/>
        <w:tblW w:w="10908" w:type="dxa"/>
        <w:jc w:val="center"/>
        <w:tblLayout w:type="fixed"/>
        <w:tblCellMar>
          <w:top w:w="0" w:type="dxa"/>
          <w:left w:w="108" w:type="dxa"/>
          <w:bottom w:w="0" w:type="dxa"/>
          <w:right w:w="108" w:type="dxa"/>
        </w:tblCellMar>
      </w:tblPr>
      <w:tblGrid>
        <w:gridCol w:w="1277"/>
        <w:gridCol w:w="696"/>
        <w:gridCol w:w="1194"/>
        <w:gridCol w:w="648"/>
        <w:gridCol w:w="903"/>
        <w:gridCol w:w="753"/>
        <w:gridCol w:w="1043"/>
        <w:gridCol w:w="709"/>
        <w:gridCol w:w="799"/>
        <w:gridCol w:w="992"/>
        <w:gridCol w:w="902"/>
        <w:gridCol w:w="992"/>
      </w:tblGrid>
      <w:tr w14:paraId="10536A7A">
        <w:tblPrEx>
          <w:tblCellMar>
            <w:top w:w="0" w:type="dxa"/>
            <w:left w:w="108" w:type="dxa"/>
            <w:bottom w:w="0" w:type="dxa"/>
            <w:right w:w="108" w:type="dxa"/>
          </w:tblCellMar>
        </w:tblPrEx>
        <w:trPr>
          <w:trHeight w:val="584" w:hRule="atLeast"/>
          <w:jc w:val="center"/>
        </w:trPr>
        <w:tc>
          <w:tcPr>
            <w:tcW w:w="10908" w:type="dxa"/>
            <w:gridSpan w:val="12"/>
            <w:tcBorders>
              <w:top w:val="single" w:color="auto" w:sz="4" w:space="0"/>
              <w:left w:val="single" w:color="auto" w:sz="4" w:space="0"/>
              <w:bottom w:val="single" w:color="auto" w:sz="4" w:space="0"/>
              <w:right w:val="single" w:color="auto" w:sz="4" w:space="0"/>
            </w:tcBorders>
            <w:noWrap/>
            <w:vAlign w:val="center"/>
          </w:tcPr>
          <w:p w14:paraId="76DD34D5">
            <w:pPr>
              <w:jc w:val="center"/>
              <w:rPr>
                <w:rFonts w:hint="default" w:ascii="Times New Roman" w:hAnsi="Times New Roman" w:eastAsia="微软雅黑" w:cs="Times New Roman"/>
                <w:b/>
                <w:bCs/>
                <w:color w:val="000000"/>
                <w:sz w:val="36"/>
                <w:szCs w:val="40"/>
              </w:rPr>
            </w:pPr>
            <w:r>
              <w:rPr>
                <w:rFonts w:hint="default" w:ascii="Times New Roman" w:hAnsi="Times New Roman" w:eastAsia="微软雅黑" w:cs="Times New Roman"/>
                <w:b/>
                <w:bCs/>
                <w:color w:val="000000"/>
                <w:sz w:val="32"/>
                <w:szCs w:val="40"/>
              </w:rPr>
              <w:t>202</w:t>
            </w:r>
            <w:r>
              <w:rPr>
                <w:rFonts w:hint="default" w:ascii="Times New Roman" w:hAnsi="Times New Roman" w:eastAsia="微软雅黑" w:cs="Times New Roman"/>
                <w:b/>
                <w:bCs/>
                <w:color w:val="000000"/>
                <w:sz w:val="32"/>
                <w:szCs w:val="40"/>
                <w:lang w:val="en-US" w:eastAsia="zh-CN"/>
              </w:rPr>
              <w:t>4</w:t>
            </w:r>
            <w:r>
              <w:rPr>
                <w:rFonts w:hint="default" w:ascii="Times New Roman" w:hAnsi="Times New Roman" w:eastAsia="微软雅黑" w:cs="Times New Roman"/>
                <w:b/>
                <w:bCs/>
                <w:color w:val="000000"/>
                <w:sz w:val="32"/>
                <w:szCs w:val="40"/>
              </w:rPr>
              <w:t>年度部门整体绩效自评表</w:t>
            </w:r>
          </w:p>
        </w:tc>
      </w:tr>
      <w:tr w14:paraId="4804909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99C538D">
            <w:pPr>
              <w:spacing w:line="240" w:lineRule="atLeas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项目名称：</w:t>
            </w:r>
          </w:p>
        </w:tc>
        <w:tc>
          <w:tcPr>
            <w:tcW w:w="1890" w:type="dxa"/>
            <w:gridSpan w:val="2"/>
            <w:tcBorders>
              <w:top w:val="nil"/>
              <w:left w:val="nil"/>
              <w:bottom w:val="single" w:color="auto" w:sz="4" w:space="0"/>
              <w:right w:val="single" w:color="auto" w:sz="4" w:space="0"/>
            </w:tcBorders>
            <w:noWrap/>
            <w:vAlign w:val="center"/>
          </w:tcPr>
          <w:p w14:paraId="265280C9">
            <w:pPr>
              <w:keepNext w:val="0"/>
              <w:keepLines w:val="0"/>
              <w:widowControl/>
              <w:suppressLineNumbers w:val="0"/>
              <w:ind w:firstLine="160" w:firstLineChars="100"/>
              <w:jc w:val="lef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丰都县金融服务中心整体监控</w:t>
            </w:r>
          </w:p>
        </w:tc>
        <w:tc>
          <w:tcPr>
            <w:tcW w:w="648" w:type="dxa"/>
            <w:tcBorders>
              <w:top w:val="nil"/>
              <w:left w:val="nil"/>
              <w:bottom w:val="single" w:color="auto" w:sz="4" w:space="0"/>
              <w:right w:val="single" w:color="auto" w:sz="4" w:space="0"/>
            </w:tcBorders>
            <w:noWrap/>
            <w:vAlign w:val="center"/>
          </w:tcPr>
          <w:p w14:paraId="018258E7">
            <w:pPr>
              <w:spacing w:line="240" w:lineRule="atLeas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项目编码：</w:t>
            </w:r>
          </w:p>
        </w:tc>
        <w:tc>
          <w:tcPr>
            <w:tcW w:w="1656" w:type="dxa"/>
            <w:gridSpan w:val="2"/>
            <w:tcBorders>
              <w:top w:val="nil"/>
              <w:left w:val="nil"/>
              <w:bottom w:val="single" w:color="auto" w:sz="4" w:space="0"/>
              <w:right w:val="single" w:color="auto" w:sz="4" w:space="0"/>
            </w:tcBorders>
            <w:noWrap/>
            <w:vAlign w:val="center"/>
          </w:tcPr>
          <w:p w14:paraId="3B087816">
            <w:pPr>
              <w:keepNext w:val="0"/>
              <w:keepLines w:val="0"/>
              <w:widowControl/>
              <w:suppressLineNumbers w:val="0"/>
              <w:ind w:firstLine="160" w:firstLineChars="100"/>
              <w:jc w:val="lef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50023000024P000052</w:t>
            </w:r>
          </w:p>
        </w:tc>
        <w:tc>
          <w:tcPr>
            <w:tcW w:w="1043" w:type="dxa"/>
            <w:tcBorders>
              <w:top w:val="nil"/>
              <w:left w:val="nil"/>
              <w:bottom w:val="single" w:color="auto" w:sz="4" w:space="0"/>
              <w:right w:val="single" w:color="auto" w:sz="4" w:space="0"/>
            </w:tcBorders>
            <w:noWrap/>
            <w:vAlign w:val="center"/>
          </w:tcPr>
          <w:p w14:paraId="4B85CF0A">
            <w:pPr>
              <w:spacing w:line="240" w:lineRule="atLeas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自评总分：</w:t>
            </w:r>
          </w:p>
        </w:tc>
        <w:tc>
          <w:tcPr>
            <w:tcW w:w="4394" w:type="dxa"/>
            <w:gridSpan w:val="5"/>
            <w:tcBorders>
              <w:top w:val="nil"/>
              <w:left w:val="nil"/>
              <w:bottom w:val="single" w:color="auto" w:sz="4" w:space="0"/>
              <w:right w:val="single" w:color="auto" w:sz="4" w:space="0"/>
            </w:tcBorders>
            <w:shd w:val="clear"/>
            <w:noWrap/>
            <w:vAlign w:val="center"/>
          </w:tcPr>
          <w:p w14:paraId="0267E9AD">
            <w:pPr>
              <w:keepNext w:val="0"/>
              <w:keepLines w:val="0"/>
              <w:widowControl/>
              <w:suppressLineNumbers w:val="0"/>
              <w:jc w:val="left"/>
              <w:textAlignment w:val="center"/>
              <w:rPr>
                <w:rFonts w:hint="default" w:ascii="宋体" w:hAnsi="宋体" w:eastAsia="宋体" w:cs="宋体"/>
                <w:i w:val="0"/>
                <w:iCs w:val="0"/>
                <w:color w:val="000000"/>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100.00</w:t>
            </w:r>
          </w:p>
        </w:tc>
      </w:tr>
      <w:tr w14:paraId="51815F5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07BC4A1">
            <w:pPr>
              <w:spacing w:line="240" w:lineRule="atLeas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项目主管部门：</w:t>
            </w:r>
          </w:p>
        </w:tc>
        <w:tc>
          <w:tcPr>
            <w:tcW w:w="1890" w:type="dxa"/>
            <w:gridSpan w:val="2"/>
            <w:tcBorders>
              <w:top w:val="single" w:color="auto" w:sz="4" w:space="0"/>
              <w:left w:val="nil"/>
              <w:bottom w:val="single" w:color="auto" w:sz="4" w:space="0"/>
              <w:right w:val="single" w:color="auto" w:sz="4" w:space="0"/>
            </w:tcBorders>
            <w:noWrap/>
            <w:vAlign w:val="center"/>
          </w:tcPr>
          <w:p w14:paraId="373D394F">
            <w:pPr>
              <w:keepNext w:val="0"/>
              <w:keepLines w:val="0"/>
              <w:widowControl/>
              <w:suppressLineNumbers w:val="0"/>
              <w:ind w:firstLine="160" w:firstLineChars="100"/>
              <w:jc w:val="lef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508-丰都县金融服务中心</w:t>
            </w:r>
          </w:p>
        </w:tc>
        <w:tc>
          <w:tcPr>
            <w:tcW w:w="648" w:type="dxa"/>
            <w:tcBorders>
              <w:top w:val="nil"/>
              <w:left w:val="nil"/>
              <w:bottom w:val="single" w:color="auto" w:sz="4" w:space="0"/>
              <w:right w:val="single" w:color="auto" w:sz="4" w:space="0"/>
            </w:tcBorders>
            <w:noWrap/>
            <w:vAlign w:val="center"/>
          </w:tcPr>
          <w:p w14:paraId="515E4FD9">
            <w:pPr>
              <w:spacing w:line="240" w:lineRule="atLeas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财政归口</w:t>
            </w:r>
            <w:r>
              <w:rPr>
                <w:rFonts w:hint="default" w:ascii="Times New Roman" w:hAnsi="Times New Roman" w:cs="Times New Roman"/>
                <w:b/>
                <w:bCs/>
                <w:color w:val="000000"/>
                <w:sz w:val="16"/>
                <w:szCs w:val="16"/>
                <w:lang w:val="en-US" w:eastAsia="zh-CN"/>
              </w:rPr>
              <w:t>科</w:t>
            </w:r>
            <w:r>
              <w:rPr>
                <w:rFonts w:hint="default" w:ascii="Times New Roman" w:hAnsi="Times New Roman" w:cs="Times New Roman"/>
                <w:b/>
                <w:bCs/>
                <w:color w:val="000000"/>
                <w:sz w:val="16"/>
                <w:szCs w:val="16"/>
              </w:rPr>
              <w:t>室：</w:t>
            </w:r>
          </w:p>
        </w:tc>
        <w:tc>
          <w:tcPr>
            <w:tcW w:w="1656" w:type="dxa"/>
            <w:gridSpan w:val="2"/>
            <w:tcBorders>
              <w:top w:val="single" w:color="auto" w:sz="4" w:space="0"/>
              <w:left w:val="nil"/>
              <w:bottom w:val="single" w:color="auto" w:sz="4" w:space="0"/>
              <w:right w:val="single" w:color="auto" w:sz="4" w:space="0"/>
            </w:tcBorders>
            <w:noWrap/>
            <w:vAlign w:val="center"/>
          </w:tcPr>
          <w:p w14:paraId="52625340">
            <w:pPr>
              <w:keepNext w:val="0"/>
              <w:keepLines w:val="0"/>
              <w:widowControl/>
              <w:suppressLineNumbers w:val="0"/>
              <w:ind w:firstLine="160" w:firstLineChars="100"/>
              <w:jc w:val="lef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005-产业发展科</w:t>
            </w:r>
          </w:p>
        </w:tc>
        <w:tc>
          <w:tcPr>
            <w:tcW w:w="1043" w:type="dxa"/>
            <w:tcBorders>
              <w:top w:val="nil"/>
              <w:left w:val="nil"/>
              <w:bottom w:val="single" w:color="auto" w:sz="4" w:space="0"/>
              <w:right w:val="single" w:color="auto" w:sz="4" w:space="0"/>
            </w:tcBorders>
            <w:noWrap/>
            <w:vAlign w:val="center"/>
          </w:tcPr>
          <w:p w14:paraId="66299E81">
            <w:pPr>
              <w:spacing w:line="240" w:lineRule="atLeast"/>
              <w:ind w:right="483"/>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部门</w:t>
            </w:r>
          </w:p>
          <w:p w14:paraId="14EC5DE3">
            <w:pPr>
              <w:spacing w:line="240" w:lineRule="atLeast"/>
              <w:ind w:right="161"/>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14:paraId="7F8A1644">
            <w:pPr>
              <w:keepNext w:val="0"/>
              <w:keepLines w:val="0"/>
              <w:widowControl/>
              <w:suppressLineNumbers w:val="0"/>
              <w:ind w:firstLine="160" w:firstLineChars="100"/>
              <w:jc w:val="left"/>
              <w:textAlignment w:val="center"/>
              <w:rPr>
                <w:rFonts w:hint="default" w:ascii="Times New Roman" w:hAnsi="Times New Roman" w:eastAsia="宋体" w:cs="Times New Roman"/>
                <w:color w:val="000000"/>
                <w:sz w:val="16"/>
                <w:szCs w:val="16"/>
                <w:lang w:val="en-US" w:eastAsia="zh-CN"/>
              </w:rPr>
            </w:pPr>
            <w:r>
              <w:rPr>
                <w:rFonts w:hint="eastAsia" w:ascii="宋体" w:hAnsi="宋体" w:eastAsia="宋体" w:cs="宋体"/>
                <w:i w:val="0"/>
                <w:iCs w:val="0"/>
                <w:color w:val="000000"/>
                <w:kern w:val="0"/>
                <w:sz w:val="16"/>
                <w:szCs w:val="16"/>
                <w:u w:val="none"/>
                <w:lang w:val="en-US" w:eastAsia="zh-CN" w:bidi="ar"/>
              </w:rPr>
              <w:t>王海峡</w:t>
            </w:r>
          </w:p>
        </w:tc>
        <w:tc>
          <w:tcPr>
            <w:tcW w:w="992" w:type="dxa"/>
            <w:tcBorders>
              <w:top w:val="nil"/>
              <w:left w:val="nil"/>
              <w:bottom w:val="single" w:color="auto" w:sz="4" w:space="0"/>
              <w:right w:val="single" w:color="auto" w:sz="4" w:space="0"/>
            </w:tcBorders>
            <w:noWrap/>
            <w:vAlign w:val="center"/>
          </w:tcPr>
          <w:p w14:paraId="7D6CAA88">
            <w:pPr>
              <w:keepNext w:val="0"/>
              <w:keepLines w:val="0"/>
              <w:widowControl/>
              <w:suppressLineNumbers w:val="0"/>
              <w:jc w:val="right"/>
              <w:textAlignment w:val="center"/>
              <w:rPr>
                <w:rFonts w:hint="default" w:ascii="Times New Roman" w:hAnsi="Times New Roman" w:cs="Times New Roman"/>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BB718D4">
            <w:pPr>
              <w:keepNext w:val="0"/>
              <w:keepLines w:val="0"/>
              <w:widowControl/>
              <w:suppressLineNumbers w:val="0"/>
              <w:jc w:val="lef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70700366</w:t>
            </w:r>
          </w:p>
        </w:tc>
      </w:tr>
      <w:tr w14:paraId="72F54D18">
        <w:tblPrEx>
          <w:tblCellMar>
            <w:top w:w="0" w:type="dxa"/>
            <w:left w:w="108" w:type="dxa"/>
            <w:bottom w:w="0" w:type="dxa"/>
            <w:right w:w="108" w:type="dxa"/>
          </w:tblCellMar>
        </w:tblPrEx>
        <w:trPr>
          <w:trHeight w:val="144" w:hRule="atLeast"/>
          <w:jc w:val="center"/>
        </w:trPr>
        <w:tc>
          <w:tcPr>
            <w:tcW w:w="10908" w:type="dxa"/>
            <w:gridSpan w:val="12"/>
            <w:tcBorders>
              <w:top w:val="single" w:color="auto" w:sz="4" w:space="0"/>
              <w:left w:val="single" w:color="auto" w:sz="4" w:space="0"/>
              <w:bottom w:val="single" w:color="auto" w:sz="4" w:space="0"/>
              <w:right w:val="single" w:color="auto" w:sz="4" w:space="0"/>
            </w:tcBorders>
            <w:noWrap/>
            <w:vAlign w:val="center"/>
          </w:tcPr>
          <w:p w14:paraId="070D9C7F">
            <w:pPr>
              <w:jc w:val="center"/>
              <w:rPr>
                <w:rFonts w:hint="default" w:ascii="Times New Roman" w:hAnsi="Times New Roman" w:eastAsia="微软雅黑" w:cs="Times New Roman"/>
                <w:b/>
                <w:bCs/>
                <w:color w:val="808080"/>
                <w:sz w:val="16"/>
                <w:szCs w:val="16"/>
                <w:lang w:eastAsia="zh-CN"/>
              </w:rPr>
            </w:pPr>
            <w:r>
              <w:rPr>
                <w:rFonts w:hint="default" w:ascii="Times New Roman" w:hAnsi="Times New Roman" w:eastAsia="微软雅黑" w:cs="Times New Roman"/>
                <w:b/>
                <w:bCs/>
                <w:color w:val="808080"/>
                <w:sz w:val="16"/>
                <w:szCs w:val="16"/>
              </w:rPr>
              <w:t>资金情况</w:t>
            </w:r>
            <w:r>
              <w:rPr>
                <w:rFonts w:hint="default" w:ascii="Times New Roman" w:hAnsi="Times New Roman" w:eastAsia="微软雅黑" w:cs="Times New Roman"/>
                <w:b/>
                <w:bCs/>
                <w:color w:val="808080"/>
                <w:sz w:val="16"/>
                <w:szCs w:val="16"/>
                <w:lang w:eastAsia="zh-CN"/>
              </w:rPr>
              <w:t>（</w:t>
            </w:r>
            <w:r>
              <w:rPr>
                <w:rFonts w:hint="default" w:ascii="Times New Roman" w:hAnsi="Times New Roman" w:eastAsia="微软雅黑" w:cs="Times New Roman"/>
                <w:b/>
                <w:bCs/>
                <w:color w:val="808080"/>
                <w:sz w:val="16"/>
                <w:szCs w:val="16"/>
                <w:lang w:val="en-US" w:eastAsia="zh-CN"/>
              </w:rPr>
              <w:t>万元</w:t>
            </w:r>
            <w:r>
              <w:rPr>
                <w:rFonts w:hint="default" w:ascii="Times New Roman" w:hAnsi="Times New Roman" w:eastAsia="微软雅黑" w:cs="Times New Roman"/>
                <w:b/>
                <w:bCs/>
                <w:color w:val="808080"/>
                <w:sz w:val="16"/>
                <w:szCs w:val="16"/>
                <w:lang w:eastAsia="zh-CN"/>
              </w:rPr>
              <w:t>）</w:t>
            </w:r>
          </w:p>
        </w:tc>
      </w:tr>
      <w:tr w14:paraId="3B15366C">
        <w:tblPrEx>
          <w:tblCellMar>
            <w:top w:w="0" w:type="dxa"/>
            <w:left w:w="108" w:type="dxa"/>
            <w:bottom w:w="0" w:type="dxa"/>
            <w:right w:w="108" w:type="dxa"/>
          </w:tblCellMar>
        </w:tblPrEx>
        <w:trPr>
          <w:trHeight w:val="445" w:hRule="atLeast"/>
          <w:jc w:val="center"/>
        </w:trPr>
        <w:tc>
          <w:tcPr>
            <w:tcW w:w="1973" w:type="dxa"/>
            <w:gridSpan w:val="2"/>
            <w:tcBorders>
              <w:top w:val="single" w:color="auto" w:sz="4" w:space="0"/>
              <w:left w:val="single" w:color="auto" w:sz="4" w:space="0"/>
              <w:bottom w:val="single" w:color="auto" w:sz="4" w:space="0"/>
              <w:right w:val="single" w:color="000000" w:sz="4" w:space="0"/>
            </w:tcBorders>
            <w:noWrap/>
            <w:vAlign w:val="center"/>
          </w:tcPr>
          <w:p w14:paraId="476E7101">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034A7909">
            <w:pPr>
              <w:ind w:right="724"/>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年初预算数</w:t>
            </w:r>
          </w:p>
        </w:tc>
        <w:tc>
          <w:tcPr>
            <w:tcW w:w="1656" w:type="dxa"/>
            <w:gridSpan w:val="2"/>
            <w:tcBorders>
              <w:top w:val="single" w:color="auto" w:sz="4" w:space="0"/>
              <w:left w:val="nil"/>
              <w:bottom w:val="single" w:color="auto" w:sz="4" w:space="0"/>
              <w:right w:val="single" w:color="000000" w:sz="4" w:space="0"/>
            </w:tcBorders>
            <w:noWrap/>
            <w:vAlign w:val="center"/>
          </w:tcPr>
          <w:p w14:paraId="2B24D3CF">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全年（调整）</w:t>
            </w:r>
          </w:p>
          <w:p w14:paraId="14374AE6">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2FFA002D">
            <w:pPr>
              <w:ind w:right="161"/>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55899681">
            <w:pPr>
              <w:ind w:right="322"/>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5E3B620">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执行率</w:t>
            </w:r>
          </w:p>
          <w:p w14:paraId="0A739C79">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E0865A4">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执行率</w:t>
            </w:r>
          </w:p>
          <w:p w14:paraId="2EA7A860">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得分</w:t>
            </w:r>
          </w:p>
        </w:tc>
      </w:tr>
      <w:tr w14:paraId="2858BF61">
        <w:tblPrEx>
          <w:tblCellMar>
            <w:top w:w="0" w:type="dxa"/>
            <w:left w:w="108" w:type="dxa"/>
            <w:bottom w:w="0" w:type="dxa"/>
            <w:right w:w="108" w:type="dxa"/>
          </w:tblCellMar>
        </w:tblPrEx>
        <w:trPr>
          <w:trHeight w:val="379" w:hRule="atLeast"/>
          <w:jc w:val="center"/>
        </w:trPr>
        <w:tc>
          <w:tcPr>
            <w:tcW w:w="1973" w:type="dxa"/>
            <w:gridSpan w:val="2"/>
            <w:tcBorders>
              <w:top w:val="single" w:color="auto" w:sz="4" w:space="0"/>
              <w:left w:val="single" w:color="auto" w:sz="4" w:space="0"/>
              <w:bottom w:val="single" w:color="auto" w:sz="4" w:space="0"/>
              <w:right w:val="single" w:color="auto" w:sz="4" w:space="0"/>
            </w:tcBorders>
            <w:noWrap/>
            <w:vAlign w:val="center"/>
          </w:tcPr>
          <w:p w14:paraId="37A13CA1">
            <w:pPr>
              <w:ind w:firstLine="160" w:firstLineChars="100"/>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5CF515C1">
            <w:pPr>
              <w:keepNext w:val="0"/>
              <w:keepLines w:val="0"/>
              <w:widowControl/>
              <w:suppressLineNumbers w:val="0"/>
              <w:jc w:val="right"/>
              <w:textAlignment w:val="center"/>
              <w:rPr>
                <w:rFonts w:hint="default" w:ascii="Times New Roman" w:hAnsi="Times New Roman" w:cs="Times New Roman"/>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 xml:space="preserve">3,283,926.58 </w:t>
            </w:r>
          </w:p>
        </w:tc>
        <w:tc>
          <w:tcPr>
            <w:tcW w:w="1656" w:type="dxa"/>
            <w:gridSpan w:val="2"/>
            <w:tcBorders>
              <w:top w:val="single" w:color="auto" w:sz="4" w:space="0"/>
              <w:left w:val="nil"/>
              <w:bottom w:val="single" w:color="auto" w:sz="4" w:space="0"/>
              <w:right w:val="single" w:color="auto" w:sz="4" w:space="0"/>
            </w:tcBorders>
            <w:noWrap/>
            <w:vAlign w:val="center"/>
          </w:tcPr>
          <w:p w14:paraId="6DADAB50">
            <w:pPr>
              <w:keepNext w:val="0"/>
              <w:keepLines w:val="0"/>
              <w:widowControl/>
              <w:suppressLineNumbers w:val="0"/>
              <w:jc w:val="right"/>
              <w:textAlignment w:val="center"/>
              <w:rPr>
                <w:rFonts w:hint="default" w:ascii="Times New Roman" w:hAnsi="Times New Roman" w:cs="Times New Roman"/>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 xml:space="preserve">3,591,919.77 </w:t>
            </w:r>
          </w:p>
        </w:tc>
        <w:tc>
          <w:tcPr>
            <w:tcW w:w="1752" w:type="dxa"/>
            <w:gridSpan w:val="2"/>
            <w:tcBorders>
              <w:top w:val="single" w:color="auto" w:sz="4" w:space="0"/>
              <w:left w:val="nil"/>
              <w:bottom w:val="single" w:color="auto" w:sz="4" w:space="0"/>
              <w:right w:val="single" w:color="auto" w:sz="4" w:space="0"/>
            </w:tcBorders>
            <w:noWrap/>
            <w:vAlign w:val="center"/>
          </w:tcPr>
          <w:p w14:paraId="019AD9A5">
            <w:pPr>
              <w:keepNext w:val="0"/>
              <w:keepLines w:val="0"/>
              <w:widowControl/>
              <w:suppressLineNumbers w:val="0"/>
              <w:jc w:val="right"/>
              <w:textAlignment w:val="center"/>
              <w:rPr>
                <w:rFonts w:hint="default" w:ascii="Times New Roman" w:hAnsi="Times New Roman" w:cs="Times New Roman"/>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 xml:space="preserve">3,591,919.77 </w:t>
            </w:r>
          </w:p>
        </w:tc>
        <w:tc>
          <w:tcPr>
            <w:tcW w:w="1791" w:type="dxa"/>
            <w:gridSpan w:val="2"/>
            <w:tcBorders>
              <w:top w:val="single" w:color="auto" w:sz="4" w:space="0"/>
              <w:left w:val="nil"/>
              <w:bottom w:val="single" w:color="auto" w:sz="4" w:space="0"/>
              <w:right w:val="single" w:color="auto" w:sz="4" w:space="0"/>
            </w:tcBorders>
            <w:noWrap/>
            <w:vAlign w:val="center"/>
          </w:tcPr>
          <w:p w14:paraId="74D52CFB">
            <w:pPr>
              <w:rPr>
                <w:rFonts w:hint="default" w:ascii="Times New Roman" w:hAnsi="Times New Roman" w:cs="Times New Roman"/>
                <w:color w:val="000000"/>
                <w:sz w:val="16"/>
                <w:szCs w:val="16"/>
              </w:rPr>
            </w:pPr>
          </w:p>
        </w:tc>
        <w:tc>
          <w:tcPr>
            <w:tcW w:w="902" w:type="dxa"/>
            <w:tcBorders>
              <w:top w:val="nil"/>
              <w:left w:val="nil"/>
              <w:bottom w:val="single" w:color="auto" w:sz="4" w:space="0"/>
              <w:right w:val="single" w:color="auto" w:sz="4" w:space="0"/>
            </w:tcBorders>
            <w:noWrap/>
            <w:vAlign w:val="center"/>
          </w:tcPr>
          <w:p w14:paraId="0DC4BCE0">
            <w:pPr>
              <w:rPr>
                <w:rFonts w:hint="default" w:ascii="Times New Roman" w:hAnsi="Times New Roman" w:cs="Times New Roman"/>
                <w:sz w:val="16"/>
                <w:szCs w:val="16"/>
              </w:rPr>
            </w:pPr>
          </w:p>
        </w:tc>
        <w:tc>
          <w:tcPr>
            <w:tcW w:w="992" w:type="dxa"/>
            <w:tcBorders>
              <w:top w:val="nil"/>
              <w:left w:val="nil"/>
              <w:bottom w:val="single" w:color="auto" w:sz="4" w:space="0"/>
              <w:right w:val="single" w:color="auto" w:sz="4" w:space="0"/>
            </w:tcBorders>
            <w:noWrap/>
            <w:vAlign w:val="center"/>
          </w:tcPr>
          <w:p w14:paraId="59074DF2">
            <w:pPr>
              <w:rPr>
                <w:rFonts w:hint="default" w:ascii="Times New Roman" w:hAnsi="Times New Roman" w:cs="Times New Roman"/>
                <w:sz w:val="16"/>
                <w:szCs w:val="16"/>
              </w:rPr>
            </w:pPr>
          </w:p>
        </w:tc>
      </w:tr>
      <w:tr w14:paraId="354F9F8F">
        <w:tblPrEx>
          <w:tblCellMar>
            <w:top w:w="0" w:type="dxa"/>
            <w:left w:w="108" w:type="dxa"/>
            <w:bottom w:w="0" w:type="dxa"/>
            <w:right w:w="108" w:type="dxa"/>
          </w:tblCellMar>
        </w:tblPrEx>
        <w:trPr>
          <w:trHeight w:val="310" w:hRule="atLeast"/>
          <w:jc w:val="center"/>
        </w:trPr>
        <w:tc>
          <w:tcPr>
            <w:tcW w:w="1973" w:type="dxa"/>
            <w:gridSpan w:val="2"/>
            <w:tcBorders>
              <w:top w:val="single" w:color="auto" w:sz="4" w:space="0"/>
              <w:left w:val="single" w:color="auto" w:sz="4" w:space="0"/>
              <w:bottom w:val="single" w:color="auto" w:sz="4" w:space="0"/>
              <w:right w:val="single" w:color="auto" w:sz="4" w:space="0"/>
            </w:tcBorders>
            <w:noWrap/>
            <w:vAlign w:val="center"/>
          </w:tcPr>
          <w:p w14:paraId="1FF88D41">
            <w:pPr>
              <w:ind w:firstLine="160" w:firstLineChars="100"/>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67CEA06F">
            <w:pPr>
              <w:keepNext w:val="0"/>
              <w:keepLines w:val="0"/>
              <w:widowControl/>
              <w:suppressLineNumbers w:val="0"/>
              <w:jc w:val="right"/>
              <w:textAlignment w:val="center"/>
              <w:rPr>
                <w:rFonts w:hint="default" w:ascii="Times New Roman" w:hAnsi="Times New Roman" w:cs="Times New Roman"/>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 xml:space="preserve">3,283,926.58 </w:t>
            </w:r>
          </w:p>
        </w:tc>
        <w:tc>
          <w:tcPr>
            <w:tcW w:w="1656" w:type="dxa"/>
            <w:gridSpan w:val="2"/>
            <w:tcBorders>
              <w:top w:val="single" w:color="auto" w:sz="4" w:space="0"/>
              <w:left w:val="nil"/>
              <w:bottom w:val="single" w:color="auto" w:sz="4" w:space="0"/>
              <w:right w:val="single" w:color="auto" w:sz="4" w:space="0"/>
            </w:tcBorders>
            <w:noWrap/>
            <w:vAlign w:val="center"/>
          </w:tcPr>
          <w:p w14:paraId="4F2D68AC">
            <w:pPr>
              <w:keepNext w:val="0"/>
              <w:keepLines w:val="0"/>
              <w:widowControl/>
              <w:suppressLineNumbers w:val="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 xml:space="preserve">3,591,919.77 </w:t>
            </w:r>
          </w:p>
        </w:tc>
        <w:tc>
          <w:tcPr>
            <w:tcW w:w="1752" w:type="dxa"/>
            <w:gridSpan w:val="2"/>
            <w:tcBorders>
              <w:top w:val="single" w:color="auto" w:sz="4" w:space="0"/>
              <w:left w:val="nil"/>
              <w:bottom w:val="single" w:color="auto" w:sz="4" w:space="0"/>
              <w:right w:val="single" w:color="auto" w:sz="4" w:space="0"/>
            </w:tcBorders>
            <w:noWrap/>
            <w:vAlign w:val="center"/>
          </w:tcPr>
          <w:p w14:paraId="2C73FAAF">
            <w:pPr>
              <w:keepNext w:val="0"/>
              <w:keepLines w:val="0"/>
              <w:widowControl/>
              <w:suppressLineNumbers w:val="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 xml:space="preserve">3,591,919.77 </w:t>
            </w:r>
          </w:p>
        </w:tc>
        <w:tc>
          <w:tcPr>
            <w:tcW w:w="1791" w:type="dxa"/>
            <w:gridSpan w:val="2"/>
            <w:tcBorders>
              <w:top w:val="single" w:color="auto" w:sz="4" w:space="0"/>
              <w:left w:val="nil"/>
              <w:bottom w:val="single" w:color="auto" w:sz="4" w:space="0"/>
              <w:right w:val="single" w:color="auto" w:sz="4" w:space="0"/>
            </w:tcBorders>
            <w:noWrap/>
            <w:vAlign w:val="center"/>
          </w:tcPr>
          <w:p w14:paraId="3AD49A40">
            <w:pPr>
              <w:keepNext w:val="0"/>
              <w:keepLines w:val="0"/>
              <w:widowControl/>
              <w:suppressLineNumbers w:val="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02" w:type="dxa"/>
            <w:tcBorders>
              <w:top w:val="nil"/>
              <w:left w:val="nil"/>
              <w:bottom w:val="single" w:color="auto" w:sz="4" w:space="0"/>
              <w:right w:val="single" w:color="auto" w:sz="4" w:space="0"/>
            </w:tcBorders>
            <w:noWrap/>
            <w:vAlign w:val="center"/>
          </w:tcPr>
          <w:p w14:paraId="0BD4C49B">
            <w:pPr>
              <w:keepNext w:val="0"/>
              <w:keepLines w:val="0"/>
              <w:widowControl/>
              <w:suppressLineNumbers w:val="0"/>
              <w:jc w:val="left"/>
              <w:textAlignment w:val="center"/>
              <w:rPr>
                <w:rFonts w:hint="default" w:ascii="Times New Roman" w:hAnsi="Times New Roman" w:cs="Times New Roman"/>
                <w:sz w:val="16"/>
                <w:szCs w:val="16"/>
              </w:rPr>
            </w:pPr>
            <w:r>
              <w:rPr>
                <w:rFonts w:hint="eastAsia" w:ascii="宋体" w:hAnsi="宋体" w:eastAsia="宋体" w:cs="宋体"/>
                <w:i w:val="0"/>
                <w:iCs w:val="0"/>
                <w:color w:val="000000"/>
                <w:kern w:val="0"/>
                <w:sz w:val="16"/>
                <w:szCs w:val="16"/>
                <w:u w:val="none"/>
                <w:lang w:val="en-US" w:eastAsia="zh-CN" w:bidi="ar"/>
              </w:rPr>
              <w:t>10.00</w:t>
            </w:r>
          </w:p>
        </w:tc>
        <w:tc>
          <w:tcPr>
            <w:tcW w:w="992" w:type="dxa"/>
            <w:tcBorders>
              <w:top w:val="nil"/>
              <w:left w:val="nil"/>
              <w:bottom w:val="single" w:color="auto" w:sz="4" w:space="0"/>
              <w:right w:val="single" w:color="auto" w:sz="4" w:space="0"/>
            </w:tcBorders>
            <w:noWrap/>
            <w:vAlign w:val="center"/>
          </w:tcPr>
          <w:p w14:paraId="6C9F39A3">
            <w:pPr>
              <w:keepNext w:val="0"/>
              <w:keepLines w:val="0"/>
              <w:widowControl/>
              <w:suppressLineNumbers w:val="0"/>
              <w:ind w:firstLine="160" w:firstLineChars="100"/>
              <w:jc w:val="right"/>
              <w:textAlignment w:val="center"/>
              <w:rPr>
                <w:rFonts w:hint="default" w:ascii="Times New Roman" w:hAnsi="Times New Roman" w:cs="Times New Roman"/>
                <w:sz w:val="16"/>
                <w:szCs w:val="16"/>
              </w:rPr>
            </w:pPr>
            <w:r>
              <w:rPr>
                <w:rFonts w:hint="eastAsia" w:ascii="宋体" w:hAnsi="宋体" w:eastAsia="宋体" w:cs="宋体"/>
                <w:i w:val="0"/>
                <w:iCs w:val="0"/>
                <w:color w:val="000000"/>
                <w:kern w:val="0"/>
                <w:sz w:val="16"/>
                <w:szCs w:val="16"/>
                <w:u w:val="none"/>
                <w:lang w:val="en-US" w:eastAsia="zh-CN" w:bidi="ar"/>
              </w:rPr>
              <w:t xml:space="preserve">10.00 </w:t>
            </w:r>
          </w:p>
        </w:tc>
      </w:tr>
      <w:tr w14:paraId="1E2CF138">
        <w:tblPrEx>
          <w:tblCellMar>
            <w:top w:w="0" w:type="dxa"/>
            <w:left w:w="108" w:type="dxa"/>
            <w:bottom w:w="0" w:type="dxa"/>
            <w:right w:w="108" w:type="dxa"/>
          </w:tblCellMar>
        </w:tblPrEx>
        <w:trPr>
          <w:trHeight w:val="370" w:hRule="atLeast"/>
          <w:jc w:val="center"/>
        </w:trPr>
        <w:tc>
          <w:tcPr>
            <w:tcW w:w="1973" w:type="dxa"/>
            <w:gridSpan w:val="2"/>
            <w:tcBorders>
              <w:top w:val="single" w:color="auto" w:sz="4" w:space="0"/>
              <w:left w:val="single" w:color="auto" w:sz="4" w:space="0"/>
              <w:bottom w:val="single" w:color="auto" w:sz="4" w:space="0"/>
              <w:right w:val="single" w:color="auto" w:sz="4" w:space="0"/>
            </w:tcBorders>
            <w:noWrap/>
            <w:vAlign w:val="center"/>
          </w:tcPr>
          <w:p w14:paraId="37FE2D45">
            <w:pPr>
              <w:ind w:firstLine="160" w:firstLineChars="100"/>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45E4404F">
            <w:pPr>
              <w:keepNext w:val="0"/>
              <w:keepLines w:val="0"/>
              <w:widowControl/>
              <w:suppressLineNumbers w:val="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 xml:space="preserve">3,283,926.58 </w:t>
            </w:r>
          </w:p>
        </w:tc>
        <w:tc>
          <w:tcPr>
            <w:tcW w:w="1656" w:type="dxa"/>
            <w:gridSpan w:val="2"/>
            <w:tcBorders>
              <w:top w:val="single" w:color="auto" w:sz="4" w:space="0"/>
              <w:left w:val="nil"/>
              <w:bottom w:val="single" w:color="auto" w:sz="4" w:space="0"/>
              <w:right w:val="single" w:color="auto" w:sz="4" w:space="0"/>
            </w:tcBorders>
            <w:noWrap/>
            <w:vAlign w:val="center"/>
          </w:tcPr>
          <w:p w14:paraId="594432B9">
            <w:pPr>
              <w:keepNext w:val="0"/>
              <w:keepLines w:val="0"/>
              <w:widowControl/>
              <w:suppressLineNumbers w:val="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 xml:space="preserve">3,591,919.77 </w:t>
            </w:r>
          </w:p>
        </w:tc>
        <w:tc>
          <w:tcPr>
            <w:tcW w:w="1752" w:type="dxa"/>
            <w:gridSpan w:val="2"/>
            <w:tcBorders>
              <w:top w:val="single" w:color="auto" w:sz="4" w:space="0"/>
              <w:left w:val="nil"/>
              <w:bottom w:val="single" w:color="auto" w:sz="4" w:space="0"/>
              <w:right w:val="single" w:color="auto" w:sz="4" w:space="0"/>
            </w:tcBorders>
            <w:noWrap/>
            <w:vAlign w:val="center"/>
          </w:tcPr>
          <w:p w14:paraId="34629A9F">
            <w:pPr>
              <w:keepNext w:val="0"/>
              <w:keepLines w:val="0"/>
              <w:widowControl/>
              <w:suppressLineNumbers w:val="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 xml:space="preserve">3,591,919.77 </w:t>
            </w:r>
          </w:p>
        </w:tc>
        <w:tc>
          <w:tcPr>
            <w:tcW w:w="1791" w:type="dxa"/>
            <w:gridSpan w:val="2"/>
            <w:tcBorders>
              <w:top w:val="single" w:color="auto" w:sz="4" w:space="0"/>
              <w:left w:val="nil"/>
              <w:bottom w:val="single" w:color="auto" w:sz="4" w:space="0"/>
              <w:right w:val="single" w:color="auto" w:sz="4" w:space="0"/>
            </w:tcBorders>
            <w:noWrap/>
            <w:vAlign w:val="center"/>
          </w:tcPr>
          <w:p w14:paraId="3BCE1C55">
            <w:pPr>
              <w:keepNext w:val="0"/>
              <w:keepLines w:val="0"/>
              <w:widowControl/>
              <w:suppressLineNumbers w:val="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02" w:type="dxa"/>
            <w:tcBorders>
              <w:top w:val="nil"/>
              <w:left w:val="nil"/>
              <w:bottom w:val="single" w:color="auto" w:sz="4" w:space="0"/>
              <w:right w:val="single" w:color="auto" w:sz="4" w:space="0"/>
            </w:tcBorders>
            <w:noWrap/>
            <w:vAlign w:val="center"/>
          </w:tcPr>
          <w:p w14:paraId="701826A3">
            <w:pPr>
              <w:rPr>
                <w:rFonts w:hint="default" w:ascii="Times New Roman" w:hAnsi="Times New Roman" w:cs="Times New Roman"/>
                <w:sz w:val="16"/>
                <w:szCs w:val="16"/>
              </w:rPr>
            </w:pPr>
          </w:p>
        </w:tc>
        <w:tc>
          <w:tcPr>
            <w:tcW w:w="992" w:type="dxa"/>
            <w:tcBorders>
              <w:top w:val="nil"/>
              <w:left w:val="nil"/>
              <w:bottom w:val="single" w:color="auto" w:sz="4" w:space="0"/>
              <w:right w:val="single" w:color="auto" w:sz="4" w:space="0"/>
            </w:tcBorders>
            <w:noWrap/>
            <w:vAlign w:val="center"/>
          </w:tcPr>
          <w:p w14:paraId="787AE75C">
            <w:pPr>
              <w:rPr>
                <w:rFonts w:hint="default" w:ascii="Times New Roman" w:hAnsi="Times New Roman" w:cs="Times New Roman"/>
                <w:sz w:val="16"/>
                <w:szCs w:val="16"/>
              </w:rPr>
            </w:pPr>
          </w:p>
        </w:tc>
      </w:tr>
      <w:tr w14:paraId="73C045DE">
        <w:tblPrEx>
          <w:tblCellMar>
            <w:top w:w="0" w:type="dxa"/>
            <w:left w:w="108" w:type="dxa"/>
            <w:bottom w:w="0" w:type="dxa"/>
            <w:right w:w="108" w:type="dxa"/>
          </w:tblCellMar>
        </w:tblPrEx>
        <w:trPr>
          <w:trHeight w:val="269" w:hRule="atLeast"/>
          <w:jc w:val="center"/>
        </w:trPr>
        <w:tc>
          <w:tcPr>
            <w:tcW w:w="10908" w:type="dxa"/>
            <w:gridSpan w:val="12"/>
            <w:tcBorders>
              <w:top w:val="single" w:color="auto" w:sz="4" w:space="0"/>
              <w:left w:val="single" w:color="auto" w:sz="4" w:space="0"/>
              <w:bottom w:val="single" w:color="auto" w:sz="4" w:space="0"/>
              <w:right w:val="single" w:color="auto" w:sz="4" w:space="0"/>
            </w:tcBorders>
            <w:noWrap/>
            <w:vAlign w:val="center"/>
          </w:tcPr>
          <w:p w14:paraId="55F9C935">
            <w:pPr>
              <w:jc w:val="center"/>
              <w:rPr>
                <w:rFonts w:hint="default" w:ascii="Times New Roman" w:hAnsi="Times New Roman" w:eastAsia="微软雅黑" w:cs="Times New Roman"/>
                <w:b/>
                <w:bCs/>
                <w:color w:val="808080"/>
                <w:sz w:val="16"/>
                <w:szCs w:val="16"/>
              </w:rPr>
            </w:pPr>
            <w:r>
              <w:rPr>
                <w:rFonts w:hint="default" w:ascii="Times New Roman" w:hAnsi="Times New Roman" w:eastAsia="微软雅黑" w:cs="Times New Roman"/>
                <w:b/>
                <w:bCs/>
                <w:color w:val="808080"/>
                <w:sz w:val="16"/>
                <w:szCs w:val="16"/>
              </w:rPr>
              <w:t>绩效目标</w:t>
            </w:r>
          </w:p>
        </w:tc>
      </w:tr>
      <w:tr w14:paraId="1B4E6CB9">
        <w:tblPrEx>
          <w:tblCellMar>
            <w:top w:w="0" w:type="dxa"/>
            <w:left w:w="108" w:type="dxa"/>
            <w:bottom w:w="0" w:type="dxa"/>
            <w:right w:w="108" w:type="dxa"/>
          </w:tblCellMar>
        </w:tblPrEx>
        <w:trPr>
          <w:trHeight w:val="279" w:hRule="atLeast"/>
          <w:jc w:val="center"/>
        </w:trPr>
        <w:tc>
          <w:tcPr>
            <w:tcW w:w="3815" w:type="dxa"/>
            <w:gridSpan w:val="4"/>
            <w:tcBorders>
              <w:top w:val="single" w:color="auto" w:sz="4" w:space="0"/>
              <w:left w:val="single" w:color="auto" w:sz="4" w:space="0"/>
              <w:bottom w:val="single" w:color="auto" w:sz="4" w:space="0"/>
              <w:right w:val="single" w:color="auto" w:sz="4" w:space="0"/>
            </w:tcBorders>
            <w:noWrap/>
            <w:vAlign w:val="center"/>
          </w:tcPr>
          <w:p w14:paraId="2641373B">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年初绩效目标</w:t>
            </w:r>
          </w:p>
        </w:tc>
        <w:tc>
          <w:tcPr>
            <w:tcW w:w="3408" w:type="dxa"/>
            <w:gridSpan w:val="4"/>
            <w:tcBorders>
              <w:top w:val="single" w:color="auto" w:sz="4" w:space="0"/>
              <w:left w:val="nil"/>
              <w:bottom w:val="single" w:color="auto" w:sz="4" w:space="0"/>
              <w:right w:val="single" w:color="auto" w:sz="4" w:space="0"/>
            </w:tcBorders>
            <w:noWrap/>
            <w:vAlign w:val="center"/>
          </w:tcPr>
          <w:p w14:paraId="56B48CB2">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76554B11">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全年目标实际完成情况</w:t>
            </w:r>
          </w:p>
        </w:tc>
      </w:tr>
      <w:tr w14:paraId="288581C2">
        <w:tblPrEx>
          <w:tblCellMar>
            <w:top w:w="0" w:type="dxa"/>
            <w:left w:w="108" w:type="dxa"/>
            <w:bottom w:w="0" w:type="dxa"/>
            <w:right w:w="108" w:type="dxa"/>
          </w:tblCellMar>
        </w:tblPrEx>
        <w:trPr>
          <w:trHeight w:val="962" w:hRule="atLeast"/>
          <w:jc w:val="center"/>
        </w:trPr>
        <w:tc>
          <w:tcPr>
            <w:tcW w:w="3815" w:type="dxa"/>
            <w:gridSpan w:val="4"/>
            <w:tcBorders>
              <w:top w:val="single" w:color="auto" w:sz="4" w:space="0"/>
              <w:left w:val="single" w:color="auto" w:sz="4" w:space="0"/>
              <w:bottom w:val="single" w:color="auto" w:sz="4" w:space="0"/>
              <w:right w:val="single" w:color="auto" w:sz="4" w:space="0"/>
            </w:tcBorders>
            <w:vAlign w:val="top"/>
          </w:tcPr>
          <w:p w14:paraId="5BF4A750">
            <w:pPr>
              <w:keepNext w:val="0"/>
              <w:keepLines w:val="0"/>
              <w:widowControl/>
              <w:suppressLineNumbers w:val="0"/>
              <w:jc w:val="left"/>
              <w:textAlignment w:val="top"/>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1、按照部门职能职责，合理、合规使用财政资金，确保单位正常运转。2、开展防范和打击非法金融活动，守住不发生区域性金融风险底线。3、按县委、县政府要求，落实巨灾保险采购事宜，强化地方政府民生救助保障工作，发挥保险稳定器作用。</w:t>
            </w:r>
          </w:p>
        </w:tc>
        <w:tc>
          <w:tcPr>
            <w:tcW w:w="3408" w:type="dxa"/>
            <w:gridSpan w:val="4"/>
            <w:tcBorders>
              <w:top w:val="single" w:color="auto" w:sz="4" w:space="0"/>
              <w:left w:val="nil"/>
              <w:bottom w:val="single" w:color="auto" w:sz="4" w:space="0"/>
              <w:right w:val="single" w:color="auto" w:sz="4" w:space="0"/>
            </w:tcBorders>
            <w:vAlign w:val="top"/>
          </w:tcPr>
          <w:p w14:paraId="18CBFA10">
            <w:pPr>
              <w:keepNext w:val="0"/>
              <w:keepLines w:val="0"/>
              <w:widowControl/>
              <w:suppressLineNumbers w:val="0"/>
              <w:jc w:val="left"/>
              <w:textAlignment w:val="top"/>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1、按照部门职能职责，合理、合规使用财政资金，确保单位正常运转。2、开展防范和打击非法金融活动，守住不发生区域性金融风险底线。3、按县委、县政府要求，落实巨灾保险采购事宜，强化地方政府民生救助保障工作，发挥保险稳定器作用。4、承办全市普惠金融工作会，推动政银企合作平台搭建。</w:t>
            </w:r>
          </w:p>
        </w:tc>
        <w:tc>
          <w:tcPr>
            <w:tcW w:w="3685" w:type="dxa"/>
            <w:gridSpan w:val="4"/>
            <w:tcBorders>
              <w:top w:val="single" w:color="auto" w:sz="4" w:space="0"/>
              <w:left w:val="nil"/>
              <w:bottom w:val="single" w:color="auto" w:sz="4" w:space="0"/>
              <w:right w:val="single" w:color="auto" w:sz="4" w:space="0"/>
            </w:tcBorders>
            <w:vAlign w:val="top"/>
          </w:tcPr>
          <w:p w14:paraId="6BB3C5D0">
            <w:pPr>
              <w:keepNext w:val="0"/>
              <w:keepLines w:val="0"/>
              <w:widowControl/>
              <w:suppressLineNumbers w:val="0"/>
              <w:jc w:val="left"/>
              <w:textAlignment w:val="top"/>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2024年，在县委县政府的坚强领导下，我单位较好的完成年初绩效目标任务。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1.合理、合规使用财政资金359.19万元，预算执行率100%，单位各项工作取得新成效。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2.开展打击非法金融活动两年专项行动，金融风险防范成效明显。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3.承办巨灾保险服务采购事项，全年赔付支出161.48万元，提升灾害风险社会化治理水平。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4.承办全市普惠金融工作会，推动17家省级金融机构同我县签订战略合作协议。</w:t>
            </w:r>
          </w:p>
        </w:tc>
      </w:tr>
      <w:tr w14:paraId="54E549E3">
        <w:tblPrEx>
          <w:tblCellMar>
            <w:top w:w="0" w:type="dxa"/>
            <w:left w:w="108" w:type="dxa"/>
            <w:bottom w:w="0" w:type="dxa"/>
            <w:right w:w="108" w:type="dxa"/>
          </w:tblCellMar>
        </w:tblPrEx>
        <w:trPr>
          <w:trHeight w:val="304" w:hRule="atLeast"/>
          <w:jc w:val="center"/>
        </w:trPr>
        <w:tc>
          <w:tcPr>
            <w:tcW w:w="10908" w:type="dxa"/>
            <w:gridSpan w:val="12"/>
            <w:tcBorders>
              <w:top w:val="single" w:color="auto" w:sz="4" w:space="0"/>
              <w:left w:val="single" w:color="auto" w:sz="4" w:space="0"/>
              <w:bottom w:val="single" w:color="auto" w:sz="4" w:space="0"/>
              <w:right w:val="single" w:color="auto" w:sz="4" w:space="0"/>
            </w:tcBorders>
            <w:noWrap/>
            <w:vAlign w:val="center"/>
          </w:tcPr>
          <w:p w14:paraId="68E0CA3D">
            <w:pPr>
              <w:jc w:val="center"/>
              <w:rPr>
                <w:rFonts w:hint="default" w:ascii="Times New Roman" w:hAnsi="Times New Roman" w:eastAsia="微软雅黑" w:cs="Times New Roman"/>
                <w:b/>
                <w:bCs/>
                <w:color w:val="808080"/>
                <w:sz w:val="16"/>
                <w:szCs w:val="16"/>
              </w:rPr>
            </w:pPr>
            <w:r>
              <w:rPr>
                <w:rFonts w:hint="default" w:ascii="Times New Roman" w:hAnsi="Times New Roman" w:eastAsia="微软雅黑" w:cs="Times New Roman"/>
                <w:b/>
                <w:bCs/>
                <w:color w:val="808080"/>
                <w:sz w:val="16"/>
                <w:szCs w:val="16"/>
              </w:rPr>
              <w:t>绩效指标</w:t>
            </w:r>
          </w:p>
        </w:tc>
      </w:tr>
      <w:tr w14:paraId="224D7BB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1F8F19A">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指标</w:t>
            </w:r>
          </w:p>
          <w:p w14:paraId="58CF5755">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名称</w:t>
            </w:r>
          </w:p>
        </w:tc>
        <w:tc>
          <w:tcPr>
            <w:tcW w:w="696" w:type="dxa"/>
            <w:tcBorders>
              <w:top w:val="nil"/>
              <w:left w:val="nil"/>
              <w:bottom w:val="single" w:color="auto" w:sz="4" w:space="0"/>
              <w:right w:val="single" w:color="auto" w:sz="4" w:space="0"/>
            </w:tcBorders>
            <w:noWrap/>
            <w:vAlign w:val="center"/>
          </w:tcPr>
          <w:p w14:paraId="6C044138">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计量单位</w:t>
            </w:r>
          </w:p>
        </w:tc>
        <w:tc>
          <w:tcPr>
            <w:tcW w:w="1194" w:type="dxa"/>
            <w:tcBorders>
              <w:top w:val="nil"/>
              <w:left w:val="nil"/>
              <w:bottom w:val="single" w:color="auto" w:sz="4" w:space="0"/>
              <w:right w:val="single" w:color="auto" w:sz="4" w:space="0"/>
            </w:tcBorders>
            <w:noWrap/>
            <w:vAlign w:val="center"/>
          </w:tcPr>
          <w:p w14:paraId="14F57784">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指标</w:t>
            </w:r>
          </w:p>
          <w:p w14:paraId="28043D16">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性质</w:t>
            </w:r>
          </w:p>
        </w:tc>
        <w:tc>
          <w:tcPr>
            <w:tcW w:w="648" w:type="dxa"/>
            <w:tcBorders>
              <w:top w:val="nil"/>
              <w:left w:val="nil"/>
              <w:bottom w:val="single" w:color="auto" w:sz="4" w:space="0"/>
              <w:right w:val="single" w:color="auto" w:sz="4" w:space="0"/>
            </w:tcBorders>
            <w:noWrap/>
            <w:vAlign w:val="center"/>
          </w:tcPr>
          <w:p w14:paraId="3E70D8FA">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指标值</w:t>
            </w:r>
          </w:p>
        </w:tc>
        <w:tc>
          <w:tcPr>
            <w:tcW w:w="903" w:type="dxa"/>
            <w:tcBorders>
              <w:top w:val="nil"/>
              <w:left w:val="nil"/>
              <w:bottom w:val="single" w:color="auto" w:sz="4" w:space="0"/>
              <w:right w:val="single" w:color="auto" w:sz="4" w:space="0"/>
            </w:tcBorders>
            <w:noWrap/>
            <w:vAlign w:val="center"/>
          </w:tcPr>
          <w:p w14:paraId="30D9E963">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全年完成值</w:t>
            </w:r>
          </w:p>
        </w:tc>
        <w:tc>
          <w:tcPr>
            <w:tcW w:w="753" w:type="dxa"/>
            <w:tcBorders>
              <w:top w:val="nil"/>
              <w:left w:val="nil"/>
              <w:bottom w:val="single" w:color="auto" w:sz="4" w:space="0"/>
              <w:right w:val="single" w:color="auto" w:sz="4" w:space="0"/>
            </w:tcBorders>
            <w:noWrap/>
            <w:vAlign w:val="center"/>
          </w:tcPr>
          <w:p w14:paraId="4277C9E1">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偏离度（%）</w:t>
            </w:r>
          </w:p>
        </w:tc>
        <w:tc>
          <w:tcPr>
            <w:tcW w:w="1043" w:type="dxa"/>
            <w:tcBorders>
              <w:top w:val="nil"/>
              <w:left w:val="nil"/>
              <w:bottom w:val="single" w:color="auto" w:sz="4" w:space="0"/>
              <w:right w:val="single" w:color="auto" w:sz="4" w:space="0"/>
            </w:tcBorders>
            <w:noWrap/>
            <w:vAlign w:val="center"/>
          </w:tcPr>
          <w:p w14:paraId="68B49442">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得分系数（%）</w:t>
            </w:r>
          </w:p>
        </w:tc>
        <w:tc>
          <w:tcPr>
            <w:tcW w:w="709" w:type="dxa"/>
            <w:tcBorders>
              <w:top w:val="nil"/>
              <w:left w:val="nil"/>
              <w:bottom w:val="single" w:color="auto" w:sz="4" w:space="0"/>
              <w:right w:val="single" w:color="auto" w:sz="4" w:space="0"/>
            </w:tcBorders>
            <w:noWrap/>
            <w:vAlign w:val="center"/>
          </w:tcPr>
          <w:p w14:paraId="6E3A7B39">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指标</w:t>
            </w:r>
          </w:p>
          <w:p w14:paraId="1AE97FDD">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权重</w:t>
            </w:r>
          </w:p>
        </w:tc>
        <w:tc>
          <w:tcPr>
            <w:tcW w:w="799" w:type="dxa"/>
            <w:tcBorders>
              <w:top w:val="nil"/>
              <w:left w:val="nil"/>
              <w:bottom w:val="single" w:color="auto" w:sz="4" w:space="0"/>
              <w:right w:val="single" w:color="auto" w:sz="4" w:space="0"/>
            </w:tcBorders>
            <w:noWrap/>
            <w:vAlign w:val="center"/>
          </w:tcPr>
          <w:p w14:paraId="03171D4D">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指标</w:t>
            </w:r>
          </w:p>
          <w:p w14:paraId="59E95E5F">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547B515">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E5B2DB4">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说明</w:t>
            </w:r>
          </w:p>
        </w:tc>
      </w:tr>
      <w:tr w14:paraId="01CD08D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91FA2F5">
            <w:pPr>
              <w:keepNext w:val="0"/>
              <w:keepLines w:val="0"/>
              <w:widowControl/>
              <w:suppressLineNumbers w:val="0"/>
              <w:ind w:firstLine="160" w:firstLineChars="100"/>
              <w:jc w:val="lef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采购政府巨灾保险资金量</w:t>
            </w:r>
          </w:p>
        </w:tc>
        <w:tc>
          <w:tcPr>
            <w:tcW w:w="696" w:type="dxa"/>
            <w:tcBorders>
              <w:top w:val="nil"/>
              <w:left w:val="nil"/>
              <w:bottom w:val="single" w:color="auto" w:sz="4" w:space="0"/>
              <w:right w:val="single" w:color="auto" w:sz="4" w:space="0"/>
            </w:tcBorders>
            <w:noWrap/>
            <w:vAlign w:val="center"/>
          </w:tcPr>
          <w:p w14:paraId="147A9D3B">
            <w:pPr>
              <w:keepNext w:val="0"/>
              <w:keepLines w:val="0"/>
              <w:widowControl/>
              <w:suppressLineNumbers w:val="0"/>
              <w:ind w:firstLine="160" w:firstLineChars="100"/>
              <w:jc w:val="lef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万元</w:t>
            </w:r>
          </w:p>
        </w:tc>
        <w:tc>
          <w:tcPr>
            <w:tcW w:w="1194" w:type="dxa"/>
            <w:tcBorders>
              <w:top w:val="nil"/>
              <w:left w:val="nil"/>
              <w:bottom w:val="single" w:color="auto" w:sz="4" w:space="0"/>
              <w:right w:val="single" w:color="auto" w:sz="4" w:space="0"/>
            </w:tcBorders>
            <w:noWrap/>
            <w:vAlign w:val="center"/>
          </w:tcPr>
          <w:p w14:paraId="6AE0A3F9">
            <w:pPr>
              <w:keepNext w:val="0"/>
              <w:keepLines w:val="0"/>
              <w:widowControl/>
              <w:suppressLineNumbers w:val="0"/>
              <w:ind w:firstLine="160" w:firstLineChars="100"/>
              <w:jc w:val="lef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648" w:type="dxa"/>
            <w:tcBorders>
              <w:top w:val="nil"/>
              <w:left w:val="nil"/>
              <w:bottom w:val="single" w:color="auto" w:sz="4" w:space="0"/>
              <w:right w:val="single" w:color="auto" w:sz="4" w:space="0"/>
            </w:tcBorders>
            <w:noWrap/>
            <w:vAlign w:val="center"/>
          </w:tcPr>
          <w:p w14:paraId="76FAC5D1">
            <w:pPr>
              <w:keepNext w:val="0"/>
              <w:keepLines w:val="0"/>
              <w:widowControl/>
              <w:suppressLineNumbers w:val="0"/>
              <w:ind w:firstLine="160" w:firstLineChars="10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200</w:t>
            </w:r>
          </w:p>
        </w:tc>
        <w:tc>
          <w:tcPr>
            <w:tcW w:w="903" w:type="dxa"/>
            <w:tcBorders>
              <w:top w:val="nil"/>
              <w:left w:val="nil"/>
              <w:bottom w:val="single" w:color="auto" w:sz="4" w:space="0"/>
              <w:right w:val="single" w:color="auto" w:sz="4" w:space="0"/>
            </w:tcBorders>
            <w:shd w:val="clear" w:color="auto" w:fill="auto"/>
            <w:noWrap/>
            <w:vAlign w:val="center"/>
          </w:tcPr>
          <w:p w14:paraId="176C9C0E">
            <w:pPr>
              <w:keepNext w:val="0"/>
              <w:keepLines w:val="0"/>
              <w:widowControl/>
              <w:suppressLineNumbers w:val="0"/>
              <w:ind w:firstLine="160" w:firstLineChars="10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200</w:t>
            </w:r>
          </w:p>
        </w:tc>
        <w:tc>
          <w:tcPr>
            <w:tcW w:w="753" w:type="dxa"/>
            <w:tcBorders>
              <w:top w:val="nil"/>
              <w:left w:val="nil"/>
              <w:bottom w:val="single" w:color="auto" w:sz="4" w:space="0"/>
              <w:right w:val="single" w:color="auto" w:sz="4" w:space="0"/>
            </w:tcBorders>
            <w:noWrap/>
            <w:vAlign w:val="center"/>
          </w:tcPr>
          <w:p w14:paraId="31D362C3">
            <w:pPr>
              <w:keepNext w:val="0"/>
              <w:keepLines w:val="0"/>
              <w:widowControl/>
              <w:suppressLineNumbers w:val="0"/>
              <w:ind w:firstLine="160" w:firstLineChars="10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043" w:type="dxa"/>
            <w:tcBorders>
              <w:top w:val="nil"/>
              <w:left w:val="nil"/>
              <w:bottom w:val="single" w:color="auto" w:sz="4" w:space="0"/>
              <w:right w:val="single" w:color="auto" w:sz="4" w:space="0"/>
            </w:tcBorders>
            <w:noWrap/>
            <w:vAlign w:val="center"/>
          </w:tcPr>
          <w:p w14:paraId="7C8AA4D1">
            <w:pPr>
              <w:keepNext w:val="0"/>
              <w:keepLines w:val="0"/>
              <w:widowControl/>
              <w:suppressLineNumbers w:val="0"/>
              <w:ind w:firstLine="160" w:firstLineChars="10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709" w:type="dxa"/>
            <w:tcBorders>
              <w:top w:val="nil"/>
              <w:left w:val="nil"/>
              <w:bottom w:val="single" w:color="auto" w:sz="4" w:space="0"/>
              <w:right w:val="single" w:color="auto" w:sz="4" w:space="0"/>
            </w:tcBorders>
            <w:noWrap/>
            <w:vAlign w:val="center"/>
          </w:tcPr>
          <w:p w14:paraId="5990D3C4">
            <w:pPr>
              <w:keepNext w:val="0"/>
              <w:keepLines w:val="0"/>
              <w:widowControl/>
              <w:suppressLineNumbers w:val="0"/>
              <w:ind w:firstLine="160" w:firstLineChars="10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799" w:type="dxa"/>
            <w:tcBorders>
              <w:top w:val="nil"/>
              <w:left w:val="nil"/>
              <w:bottom w:val="single" w:color="auto" w:sz="4" w:space="0"/>
              <w:right w:val="single" w:color="auto" w:sz="4" w:space="0"/>
            </w:tcBorders>
            <w:shd w:val="clear" w:color="auto" w:fill="auto"/>
            <w:noWrap/>
            <w:vAlign w:val="center"/>
          </w:tcPr>
          <w:p w14:paraId="76617347">
            <w:pPr>
              <w:keepNext w:val="0"/>
              <w:keepLines w:val="0"/>
              <w:widowControl/>
              <w:suppressLineNumbers w:val="0"/>
              <w:ind w:firstLine="160" w:firstLineChars="10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992" w:type="dxa"/>
            <w:tcBorders>
              <w:top w:val="nil"/>
              <w:left w:val="nil"/>
              <w:bottom w:val="single" w:color="auto" w:sz="4" w:space="0"/>
              <w:right w:val="single" w:color="auto" w:sz="4" w:space="0"/>
            </w:tcBorders>
            <w:noWrap/>
            <w:vAlign w:val="center"/>
          </w:tcPr>
          <w:p w14:paraId="4DAAADC8">
            <w:pPr>
              <w:keepNext w:val="0"/>
              <w:keepLines w:val="0"/>
              <w:widowControl/>
              <w:suppressLineNumbers w:val="0"/>
              <w:ind w:firstLine="160" w:firstLineChars="100"/>
              <w:jc w:val="lef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是</w:t>
            </w:r>
          </w:p>
        </w:tc>
        <w:tc>
          <w:tcPr>
            <w:tcW w:w="1894" w:type="dxa"/>
            <w:gridSpan w:val="2"/>
            <w:tcBorders>
              <w:top w:val="single" w:color="auto" w:sz="4" w:space="0"/>
              <w:left w:val="nil"/>
              <w:bottom w:val="single" w:color="auto" w:sz="4" w:space="0"/>
              <w:right w:val="single" w:color="000000" w:sz="4" w:space="0"/>
            </w:tcBorders>
            <w:noWrap/>
            <w:vAlign w:val="center"/>
          </w:tcPr>
          <w:p w14:paraId="7F087B16">
            <w:pPr>
              <w:keepNext w:val="0"/>
              <w:keepLines w:val="0"/>
              <w:widowControl/>
              <w:suppressLineNumbers w:val="0"/>
              <w:ind w:firstLine="160" w:firstLineChars="100"/>
              <w:jc w:val="left"/>
              <w:textAlignment w:val="center"/>
              <w:rPr>
                <w:rFonts w:hint="default" w:ascii="Times New Roman" w:hAnsi="Times New Roman" w:cs="Times New Roman"/>
                <w:b/>
                <w:bCs/>
                <w:color w:val="000000"/>
                <w:sz w:val="16"/>
                <w:szCs w:val="16"/>
              </w:rPr>
            </w:pPr>
            <w:r>
              <w:rPr>
                <w:rFonts w:hint="eastAsia" w:ascii="宋体" w:hAnsi="宋体" w:eastAsia="宋体" w:cs="宋体"/>
                <w:i w:val="0"/>
                <w:iCs w:val="0"/>
                <w:color w:val="000000"/>
                <w:kern w:val="0"/>
                <w:sz w:val="16"/>
                <w:szCs w:val="16"/>
                <w:u w:val="none"/>
                <w:lang w:val="en-US" w:eastAsia="zh-CN" w:bidi="ar"/>
              </w:rPr>
              <w:t>采购政府巨灾保险资金量</w:t>
            </w:r>
          </w:p>
        </w:tc>
      </w:tr>
      <w:tr w14:paraId="144FD2B8">
        <w:tblPrEx>
          <w:tblCellMar>
            <w:top w:w="0" w:type="dxa"/>
            <w:left w:w="108" w:type="dxa"/>
            <w:bottom w:w="0" w:type="dxa"/>
            <w:right w:w="108" w:type="dxa"/>
          </w:tblCellMar>
        </w:tblPrEx>
        <w:trPr>
          <w:trHeight w:val="429" w:hRule="atLeast"/>
          <w:jc w:val="center"/>
        </w:trPr>
        <w:tc>
          <w:tcPr>
            <w:tcW w:w="1277" w:type="dxa"/>
            <w:tcBorders>
              <w:top w:val="nil"/>
              <w:left w:val="single" w:color="auto" w:sz="4" w:space="0"/>
              <w:bottom w:val="single" w:color="auto" w:sz="4" w:space="0"/>
              <w:right w:val="single" w:color="auto" w:sz="4" w:space="0"/>
            </w:tcBorders>
            <w:noWrap/>
            <w:vAlign w:val="center"/>
          </w:tcPr>
          <w:p w14:paraId="4D84B9C1">
            <w:pPr>
              <w:keepNext w:val="0"/>
              <w:keepLines w:val="0"/>
              <w:widowControl/>
              <w:suppressLineNumbers w:val="0"/>
              <w:ind w:firstLine="160" w:firstLineChars="100"/>
              <w:jc w:val="lef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开展金融领域专项检查次数</w:t>
            </w:r>
          </w:p>
        </w:tc>
        <w:tc>
          <w:tcPr>
            <w:tcW w:w="696" w:type="dxa"/>
            <w:tcBorders>
              <w:top w:val="nil"/>
              <w:left w:val="nil"/>
              <w:bottom w:val="single" w:color="auto" w:sz="4" w:space="0"/>
              <w:right w:val="single" w:color="auto" w:sz="4" w:space="0"/>
            </w:tcBorders>
            <w:noWrap/>
            <w:vAlign w:val="center"/>
          </w:tcPr>
          <w:p w14:paraId="270EBDF3">
            <w:pPr>
              <w:keepNext w:val="0"/>
              <w:keepLines w:val="0"/>
              <w:widowControl/>
              <w:suppressLineNumbers w:val="0"/>
              <w:ind w:firstLine="160" w:firstLineChars="100"/>
              <w:jc w:val="lef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次</w:t>
            </w:r>
          </w:p>
        </w:tc>
        <w:tc>
          <w:tcPr>
            <w:tcW w:w="1194" w:type="dxa"/>
            <w:tcBorders>
              <w:top w:val="nil"/>
              <w:left w:val="nil"/>
              <w:bottom w:val="single" w:color="auto" w:sz="4" w:space="0"/>
              <w:right w:val="single" w:color="auto" w:sz="4" w:space="0"/>
            </w:tcBorders>
            <w:noWrap/>
            <w:vAlign w:val="center"/>
          </w:tcPr>
          <w:p w14:paraId="76FD09D5">
            <w:pPr>
              <w:keepNext w:val="0"/>
              <w:keepLines w:val="0"/>
              <w:widowControl/>
              <w:suppressLineNumbers w:val="0"/>
              <w:ind w:firstLine="160" w:firstLineChars="100"/>
              <w:jc w:val="lef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648" w:type="dxa"/>
            <w:tcBorders>
              <w:top w:val="nil"/>
              <w:left w:val="nil"/>
              <w:bottom w:val="single" w:color="auto" w:sz="4" w:space="0"/>
              <w:right w:val="single" w:color="auto" w:sz="4" w:space="0"/>
            </w:tcBorders>
            <w:noWrap/>
            <w:vAlign w:val="center"/>
          </w:tcPr>
          <w:p w14:paraId="2B4D79B2">
            <w:pPr>
              <w:keepNext w:val="0"/>
              <w:keepLines w:val="0"/>
              <w:widowControl/>
              <w:suppressLineNumbers w:val="0"/>
              <w:ind w:firstLine="160" w:firstLineChars="10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4</w:t>
            </w:r>
          </w:p>
        </w:tc>
        <w:tc>
          <w:tcPr>
            <w:tcW w:w="903" w:type="dxa"/>
            <w:tcBorders>
              <w:top w:val="nil"/>
              <w:left w:val="nil"/>
              <w:bottom w:val="single" w:color="auto" w:sz="4" w:space="0"/>
              <w:right w:val="single" w:color="auto" w:sz="4" w:space="0"/>
            </w:tcBorders>
            <w:shd w:val="clear" w:color="auto" w:fill="auto"/>
            <w:noWrap/>
            <w:vAlign w:val="center"/>
          </w:tcPr>
          <w:p w14:paraId="15D44B9A">
            <w:pPr>
              <w:keepNext w:val="0"/>
              <w:keepLines w:val="0"/>
              <w:widowControl/>
              <w:suppressLineNumbers w:val="0"/>
              <w:ind w:firstLine="160" w:firstLineChars="10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4</w:t>
            </w:r>
          </w:p>
        </w:tc>
        <w:tc>
          <w:tcPr>
            <w:tcW w:w="753" w:type="dxa"/>
            <w:tcBorders>
              <w:top w:val="nil"/>
              <w:left w:val="nil"/>
              <w:bottom w:val="single" w:color="auto" w:sz="4" w:space="0"/>
              <w:right w:val="single" w:color="auto" w:sz="4" w:space="0"/>
            </w:tcBorders>
            <w:noWrap/>
            <w:vAlign w:val="center"/>
          </w:tcPr>
          <w:p w14:paraId="239F304A">
            <w:pPr>
              <w:keepNext w:val="0"/>
              <w:keepLines w:val="0"/>
              <w:widowControl/>
              <w:suppressLineNumbers w:val="0"/>
              <w:ind w:firstLine="160" w:firstLineChars="10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043" w:type="dxa"/>
            <w:tcBorders>
              <w:top w:val="nil"/>
              <w:left w:val="nil"/>
              <w:bottom w:val="single" w:color="auto" w:sz="4" w:space="0"/>
              <w:right w:val="single" w:color="auto" w:sz="4" w:space="0"/>
            </w:tcBorders>
            <w:noWrap/>
            <w:vAlign w:val="center"/>
          </w:tcPr>
          <w:p w14:paraId="3D733538">
            <w:pPr>
              <w:keepNext w:val="0"/>
              <w:keepLines w:val="0"/>
              <w:widowControl/>
              <w:suppressLineNumbers w:val="0"/>
              <w:ind w:firstLine="160" w:firstLineChars="10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709" w:type="dxa"/>
            <w:tcBorders>
              <w:top w:val="nil"/>
              <w:left w:val="nil"/>
              <w:bottom w:val="single" w:color="auto" w:sz="4" w:space="0"/>
              <w:right w:val="single" w:color="auto" w:sz="4" w:space="0"/>
            </w:tcBorders>
            <w:noWrap/>
            <w:vAlign w:val="center"/>
          </w:tcPr>
          <w:p w14:paraId="411F278F">
            <w:pPr>
              <w:keepNext w:val="0"/>
              <w:keepLines w:val="0"/>
              <w:widowControl/>
              <w:suppressLineNumbers w:val="0"/>
              <w:ind w:firstLine="160" w:firstLineChars="10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799" w:type="dxa"/>
            <w:tcBorders>
              <w:top w:val="nil"/>
              <w:left w:val="nil"/>
              <w:bottom w:val="single" w:color="auto" w:sz="4" w:space="0"/>
              <w:right w:val="single" w:color="auto" w:sz="4" w:space="0"/>
            </w:tcBorders>
            <w:shd w:val="clear" w:color="auto" w:fill="auto"/>
            <w:noWrap/>
            <w:vAlign w:val="center"/>
          </w:tcPr>
          <w:p w14:paraId="489A9790">
            <w:pPr>
              <w:keepNext w:val="0"/>
              <w:keepLines w:val="0"/>
              <w:widowControl/>
              <w:suppressLineNumbers w:val="0"/>
              <w:ind w:firstLine="160" w:firstLineChars="10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nil"/>
              <w:left w:val="nil"/>
              <w:bottom w:val="single" w:color="auto" w:sz="4" w:space="0"/>
              <w:right w:val="single" w:color="auto" w:sz="4" w:space="0"/>
            </w:tcBorders>
            <w:noWrap/>
            <w:vAlign w:val="center"/>
          </w:tcPr>
          <w:p w14:paraId="0AE06725">
            <w:pPr>
              <w:keepNext w:val="0"/>
              <w:keepLines w:val="0"/>
              <w:widowControl/>
              <w:suppressLineNumbers w:val="0"/>
              <w:ind w:firstLine="160" w:firstLineChars="100"/>
              <w:jc w:val="lef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是</w:t>
            </w:r>
          </w:p>
        </w:tc>
        <w:tc>
          <w:tcPr>
            <w:tcW w:w="1894" w:type="dxa"/>
            <w:gridSpan w:val="2"/>
            <w:tcBorders>
              <w:top w:val="single" w:color="auto" w:sz="4" w:space="0"/>
              <w:left w:val="nil"/>
              <w:bottom w:val="single" w:color="auto" w:sz="4" w:space="0"/>
              <w:right w:val="single" w:color="000000" w:sz="4" w:space="0"/>
            </w:tcBorders>
            <w:noWrap/>
            <w:vAlign w:val="center"/>
          </w:tcPr>
          <w:p w14:paraId="2E9B39D0">
            <w:pPr>
              <w:keepNext w:val="0"/>
              <w:keepLines w:val="0"/>
              <w:widowControl/>
              <w:suppressLineNumbers w:val="0"/>
              <w:ind w:firstLine="160" w:firstLineChars="100"/>
              <w:jc w:val="lef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开展金融领域专项检查次数</w:t>
            </w:r>
          </w:p>
        </w:tc>
      </w:tr>
      <w:tr w14:paraId="031326A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06B52F0">
            <w:pPr>
              <w:keepNext w:val="0"/>
              <w:keepLines w:val="0"/>
              <w:widowControl/>
              <w:suppressLineNumbers w:val="0"/>
              <w:ind w:firstLine="160" w:firstLineChars="100"/>
              <w:jc w:val="lef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是否发生区域性金融风险</w:t>
            </w:r>
          </w:p>
        </w:tc>
        <w:tc>
          <w:tcPr>
            <w:tcW w:w="696" w:type="dxa"/>
            <w:tcBorders>
              <w:top w:val="nil"/>
              <w:left w:val="nil"/>
              <w:bottom w:val="single" w:color="auto" w:sz="4" w:space="0"/>
              <w:right w:val="single" w:color="auto" w:sz="4" w:space="0"/>
            </w:tcBorders>
            <w:noWrap/>
            <w:vAlign w:val="center"/>
          </w:tcPr>
          <w:p w14:paraId="6486E8BD">
            <w:pPr>
              <w:jc w:val="left"/>
              <w:rPr>
                <w:rFonts w:hint="default" w:ascii="Times New Roman" w:hAnsi="Times New Roman" w:cs="Times New Roman"/>
                <w:color w:val="000000"/>
                <w:sz w:val="16"/>
                <w:szCs w:val="16"/>
              </w:rPr>
            </w:pPr>
          </w:p>
        </w:tc>
        <w:tc>
          <w:tcPr>
            <w:tcW w:w="1194" w:type="dxa"/>
            <w:tcBorders>
              <w:top w:val="nil"/>
              <w:left w:val="nil"/>
              <w:bottom w:val="single" w:color="auto" w:sz="4" w:space="0"/>
              <w:right w:val="single" w:color="auto" w:sz="4" w:space="0"/>
            </w:tcBorders>
            <w:noWrap/>
            <w:vAlign w:val="center"/>
          </w:tcPr>
          <w:p w14:paraId="4C9CE6DF">
            <w:pPr>
              <w:keepNext w:val="0"/>
              <w:keepLines w:val="0"/>
              <w:widowControl/>
              <w:suppressLineNumbers w:val="0"/>
              <w:ind w:firstLine="160" w:firstLineChars="100"/>
              <w:jc w:val="lef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648" w:type="dxa"/>
            <w:tcBorders>
              <w:top w:val="nil"/>
              <w:left w:val="nil"/>
              <w:bottom w:val="single" w:color="auto" w:sz="4" w:space="0"/>
              <w:right w:val="single" w:color="auto" w:sz="4" w:space="0"/>
            </w:tcBorders>
            <w:noWrap/>
            <w:vAlign w:val="center"/>
          </w:tcPr>
          <w:p w14:paraId="6201F10A">
            <w:pPr>
              <w:keepNext w:val="0"/>
              <w:keepLines w:val="0"/>
              <w:widowControl/>
              <w:suppressLineNumbers w:val="0"/>
              <w:ind w:firstLine="160" w:firstLineChars="10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903" w:type="dxa"/>
            <w:tcBorders>
              <w:top w:val="nil"/>
              <w:left w:val="nil"/>
              <w:bottom w:val="single" w:color="auto" w:sz="4" w:space="0"/>
              <w:right w:val="single" w:color="auto" w:sz="4" w:space="0"/>
            </w:tcBorders>
            <w:shd w:val="clear" w:color="auto" w:fill="auto"/>
            <w:noWrap/>
            <w:vAlign w:val="center"/>
          </w:tcPr>
          <w:p w14:paraId="2176BBA6">
            <w:pPr>
              <w:keepNext w:val="0"/>
              <w:keepLines w:val="0"/>
              <w:widowControl/>
              <w:suppressLineNumbers w:val="0"/>
              <w:ind w:firstLine="160" w:firstLineChars="10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753" w:type="dxa"/>
            <w:tcBorders>
              <w:top w:val="nil"/>
              <w:left w:val="nil"/>
              <w:bottom w:val="single" w:color="auto" w:sz="4" w:space="0"/>
              <w:right w:val="single" w:color="auto" w:sz="4" w:space="0"/>
            </w:tcBorders>
            <w:noWrap/>
            <w:vAlign w:val="center"/>
          </w:tcPr>
          <w:p w14:paraId="12CA7E66">
            <w:pPr>
              <w:keepNext w:val="0"/>
              <w:keepLines w:val="0"/>
              <w:widowControl/>
              <w:suppressLineNumbers w:val="0"/>
              <w:ind w:firstLine="160" w:firstLineChars="10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043" w:type="dxa"/>
            <w:tcBorders>
              <w:top w:val="nil"/>
              <w:left w:val="nil"/>
              <w:bottom w:val="single" w:color="auto" w:sz="4" w:space="0"/>
              <w:right w:val="single" w:color="auto" w:sz="4" w:space="0"/>
            </w:tcBorders>
            <w:noWrap/>
            <w:vAlign w:val="center"/>
          </w:tcPr>
          <w:p w14:paraId="4AD163FF">
            <w:pPr>
              <w:keepNext w:val="0"/>
              <w:keepLines w:val="0"/>
              <w:widowControl/>
              <w:suppressLineNumbers w:val="0"/>
              <w:ind w:firstLine="160" w:firstLineChars="10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709" w:type="dxa"/>
            <w:tcBorders>
              <w:top w:val="nil"/>
              <w:left w:val="nil"/>
              <w:bottom w:val="single" w:color="auto" w:sz="4" w:space="0"/>
              <w:right w:val="single" w:color="auto" w:sz="4" w:space="0"/>
            </w:tcBorders>
            <w:noWrap/>
            <w:vAlign w:val="center"/>
          </w:tcPr>
          <w:p w14:paraId="45E81146">
            <w:pPr>
              <w:keepNext w:val="0"/>
              <w:keepLines w:val="0"/>
              <w:widowControl/>
              <w:suppressLineNumbers w:val="0"/>
              <w:ind w:firstLine="160" w:firstLineChars="10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799" w:type="dxa"/>
            <w:tcBorders>
              <w:top w:val="nil"/>
              <w:left w:val="nil"/>
              <w:bottom w:val="single" w:color="auto" w:sz="4" w:space="0"/>
              <w:right w:val="single" w:color="auto" w:sz="4" w:space="0"/>
            </w:tcBorders>
            <w:shd w:val="clear" w:color="auto" w:fill="auto"/>
            <w:noWrap/>
            <w:vAlign w:val="center"/>
          </w:tcPr>
          <w:p w14:paraId="77AB70D9">
            <w:pPr>
              <w:keepNext w:val="0"/>
              <w:keepLines w:val="0"/>
              <w:widowControl/>
              <w:suppressLineNumbers w:val="0"/>
              <w:ind w:firstLine="160" w:firstLineChars="10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nil"/>
              <w:left w:val="nil"/>
              <w:bottom w:val="single" w:color="auto" w:sz="4" w:space="0"/>
              <w:right w:val="single" w:color="auto" w:sz="4" w:space="0"/>
            </w:tcBorders>
            <w:noWrap/>
            <w:vAlign w:val="center"/>
          </w:tcPr>
          <w:p w14:paraId="7F9DF551">
            <w:pPr>
              <w:keepNext w:val="0"/>
              <w:keepLines w:val="0"/>
              <w:widowControl/>
              <w:suppressLineNumbers w:val="0"/>
              <w:ind w:firstLine="160" w:firstLineChars="100"/>
              <w:jc w:val="lef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是</w:t>
            </w:r>
          </w:p>
        </w:tc>
        <w:tc>
          <w:tcPr>
            <w:tcW w:w="1894" w:type="dxa"/>
            <w:gridSpan w:val="2"/>
            <w:tcBorders>
              <w:top w:val="single" w:color="auto" w:sz="4" w:space="0"/>
              <w:left w:val="nil"/>
              <w:bottom w:val="single" w:color="auto" w:sz="4" w:space="0"/>
              <w:right w:val="single" w:color="000000" w:sz="4" w:space="0"/>
            </w:tcBorders>
            <w:noWrap/>
            <w:vAlign w:val="center"/>
          </w:tcPr>
          <w:p w14:paraId="50792BDA">
            <w:pPr>
              <w:keepNext w:val="0"/>
              <w:keepLines w:val="0"/>
              <w:widowControl/>
              <w:suppressLineNumbers w:val="0"/>
              <w:ind w:firstLine="160" w:firstLineChars="100"/>
              <w:jc w:val="lef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是否发生区域性金融风险</w:t>
            </w:r>
          </w:p>
        </w:tc>
      </w:tr>
      <w:tr w14:paraId="0EA5916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2716A4A">
            <w:pPr>
              <w:keepNext w:val="0"/>
              <w:keepLines w:val="0"/>
              <w:widowControl/>
              <w:suppressLineNumbers w:val="0"/>
              <w:ind w:firstLine="160" w:firstLineChars="100"/>
              <w:jc w:val="lef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服务对象满意度</w:t>
            </w:r>
          </w:p>
        </w:tc>
        <w:tc>
          <w:tcPr>
            <w:tcW w:w="696" w:type="dxa"/>
            <w:tcBorders>
              <w:top w:val="nil"/>
              <w:left w:val="nil"/>
              <w:bottom w:val="single" w:color="auto" w:sz="4" w:space="0"/>
              <w:right w:val="single" w:color="auto" w:sz="4" w:space="0"/>
            </w:tcBorders>
            <w:noWrap/>
            <w:vAlign w:val="center"/>
          </w:tcPr>
          <w:p w14:paraId="0FF80515">
            <w:pPr>
              <w:keepNext w:val="0"/>
              <w:keepLines w:val="0"/>
              <w:widowControl/>
              <w:suppressLineNumbers w:val="0"/>
              <w:ind w:firstLine="160" w:firstLineChars="100"/>
              <w:jc w:val="lef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1194" w:type="dxa"/>
            <w:tcBorders>
              <w:top w:val="nil"/>
              <w:left w:val="nil"/>
              <w:bottom w:val="single" w:color="auto" w:sz="4" w:space="0"/>
              <w:right w:val="single" w:color="auto" w:sz="4" w:space="0"/>
            </w:tcBorders>
            <w:noWrap/>
            <w:vAlign w:val="center"/>
          </w:tcPr>
          <w:p w14:paraId="01AB5E90">
            <w:pPr>
              <w:keepNext w:val="0"/>
              <w:keepLines w:val="0"/>
              <w:widowControl/>
              <w:suppressLineNumbers w:val="0"/>
              <w:ind w:firstLine="160" w:firstLineChars="100"/>
              <w:jc w:val="lef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648" w:type="dxa"/>
            <w:tcBorders>
              <w:top w:val="nil"/>
              <w:left w:val="nil"/>
              <w:bottom w:val="single" w:color="auto" w:sz="4" w:space="0"/>
              <w:right w:val="single" w:color="auto" w:sz="4" w:space="0"/>
            </w:tcBorders>
            <w:noWrap/>
            <w:vAlign w:val="center"/>
          </w:tcPr>
          <w:p w14:paraId="4C6582CE">
            <w:pPr>
              <w:keepNext w:val="0"/>
              <w:keepLines w:val="0"/>
              <w:widowControl/>
              <w:suppressLineNumbers w:val="0"/>
              <w:ind w:firstLine="160" w:firstLineChars="10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90</w:t>
            </w:r>
          </w:p>
        </w:tc>
        <w:tc>
          <w:tcPr>
            <w:tcW w:w="903" w:type="dxa"/>
            <w:tcBorders>
              <w:top w:val="nil"/>
              <w:left w:val="nil"/>
              <w:bottom w:val="single" w:color="auto" w:sz="4" w:space="0"/>
              <w:right w:val="single" w:color="auto" w:sz="4" w:space="0"/>
            </w:tcBorders>
            <w:shd w:val="clear" w:color="auto" w:fill="auto"/>
            <w:noWrap/>
            <w:vAlign w:val="center"/>
          </w:tcPr>
          <w:p w14:paraId="710CC011">
            <w:pPr>
              <w:keepNext w:val="0"/>
              <w:keepLines w:val="0"/>
              <w:widowControl/>
              <w:suppressLineNumbers w:val="0"/>
              <w:ind w:firstLine="160" w:firstLineChars="10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90</w:t>
            </w:r>
          </w:p>
        </w:tc>
        <w:tc>
          <w:tcPr>
            <w:tcW w:w="753" w:type="dxa"/>
            <w:tcBorders>
              <w:top w:val="nil"/>
              <w:left w:val="nil"/>
              <w:bottom w:val="single" w:color="auto" w:sz="4" w:space="0"/>
              <w:right w:val="single" w:color="auto" w:sz="4" w:space="0"/>
            </w:tcBorders>
            <w:noWrap/>
            <w:vAlign w:val="center"/>
          </w:tcPr>
          <w:p w14:paraId="4076D14E">
            <w:pPr>
              <w:keepNext w:val="0"/>
              <w:keepLines w:val="0"/>
              <w:widowControl/>
              <w:suppressLineNumbers w:val="0"/>
              <w:ind w:firstLine="160" w:firstLineChars="10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043" w:type="dxa"/>
            <w:tcBorders>
              <w:top w:val="nil"/>
              <w:left w:val="nil"/>
              <w:bottom w:val="single" w:color="auto" w:sz="4" w:space="0"/>
              <w:right w:val="single" w:color="auto" w:sz="4" w:space="0"/>
            </w:tcBorders>
            <w:noWrap/>
            <w:vAlign w:val="center"/>
          </w:tcPr>
          <w:p w14:paraId="6D3C728D">
            <w:pPr>
              <w:keepNext w:val="0"/>
              <w:keepLines w:val="0"/>
              <w:widowControl/>
              <w:suppressLineNumbers w:val="0"/>
              <w:ind w:firstLine="160" w:firstLineChars="10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709" w:type="dxa"/>
            <w:tcBorders>
              <w:top w:val="nil"/>
              <w:left w:val="nil"/>
              <w:bottom w:val="single" w:color="auto" w:sz="4" w:space="0"/>
              <w:right w:val="single" w:color="auto" w:sz="4" w:space="0"/>
            </w:tcBorders>
            <w:noWrap/>
            <w:vAlign w:val="center"/>
          </w:tcPr>
          <w:p w14:paraId="4BE4D1FE">
            <w:pPr>
              <w:keepNext w:val="0"/>
              <w:keepLines w:val="0"/>
              <w:widowControl/>
              <w:suppressLineNumbers w:val="0"/>
              <w:ind w:firstLine="160" w:firstLineChars="10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799" w:type="dxa"/>
            <w:tcBorders>
              <w:top w:val="nil"/>
              <w:left w:val="nil"/>
              <w:bottom w:val="single" w:color="auto" w:sz="4" w:space="0"/>
              <w:right w:val="single" w:color="auto" w:sz="4" w:space="0"/>
            </w:tcBorders>
            <w:shd w:val="clear" w:color="auto" w:fill="auto"/>
            <w:noWrap/>
            <w:vAlign w:val="center"/>
          </w:tcPr>
          <w:p w14:paraId="1B86B2D4">
            <w:pPr>
              <w:keepNext w:val="0"/>
              <w:keepLines w:val="0"/>
              <w:widowControl/>
              <w:suppressLineNumbers w:val="0"/>
              <w:ind w:firstLine="160" w:firstLineChars="10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nil"/>
              <w:left w:val="nil"/>
              <w:bottom w:val="single" w:color="auto" w:sz="4" w:space="0"/>
              <w:right w:val="single" w:color="auto" w:sz="4" w:space="0"/>
            </w:tcBorders>
            <w:noWrap/>
            <w:vAlign w:val="center"/>
          </w:tcPr>
          <w:p w14:paraId="78B80D91">
            <w:pPr>
              <w:keepNext w:val="0"/>
              <w:keepLines w:val="0"/>
              <w:widowControl/>
              <w:suppressLineNumbers w:val="0"/>
              <w:ind w:firstLine="160" w:firstLineChars="100"/>
              <w:jc w:val="lef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是</w:t>
            </w:r>
          </w:p>
        </w:tc>
        <w:tc>
          <w:tcPr>
            <w:tcW w:w="1894" w:type="dxa"/>
            <w:gridSpan w:val="2"/>
            <w:tcBorders>
              <w:top w:val="single" w:color="auto" w:sz="4" w:space="0"/>
              <w:left w:val="nil"/>
              <w:bottom w:val="single" w:color="auto" w:sz="4" w:space="0"/>
              <w:right w:val="single" w:color="000000" w:sz="4" w:space="0"/>
            </w:tcBorders>
            <w:noWrap/>
            <w:vAlign w:val="center"/>
          </w:tcPr>
          <w:p w14:paraId="0C6D26C8">
            <w:pPr>
              <w:keepNext w:val="0"/>
              <w:keepLines w:val="0"/>
              <w:widowControl/>
              <w:suppressLineNumbers w:val="0"/>
              <w:ind w:firstLine="160" w:firstLineChars="100"/>
              <w:jc w:val="lef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服务对象满意度</w:t>
            </w:r>
          </w:p>
        </w:tc>
      </w:tr>
      <w:tr w14:paraId="07A1FCD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0E352CA">
            <w:pPr>
              <w:keepNext w:val="0"/>
              <w:keepLines w:val="0"/>
              <w:widowControl/>
              <w:suppressLineNumbers w:val="0"/>
              <w:ind w:firstLine="160" w:firstLineChars="100"/>
              <w:jc w:val="lef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全年财政资金使用率</w:t>
            </w:r>
          </w:p>
        </w:tc>
        <w:tc>
          <w:tcPr>
            <w:tcW w:w="696" w:type="dxa"/>
            <w:tcBorders>
              <w:top w:val="nil"/>
              <w:left w:val="nil"/>
              <w:bottom w:val="single" w:color="auto" w:sz="4" w:space="0"/>
              <w:right w:val="single" w:color="auto" w:sz="4" w:space="0"/>
            </w:tcBorders>
            <w:noWrap/>
            <w:vAlign w:val="center"/>
          </w:tcPr>
          <w:p w14:paraId="47A7175D">
            <w:pPr>
              <w:keepNext w:val="0"/>
              <w:keepLines w:val="0"/>
              <w:widowControl/>
              <w:suppressLineNumbers w:val="0"/>
              <w:ind w:firstLine="160" w:firstLineChars="100"/>
              <w:jc w:val="lef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1194" w:type="dxa"/>
            <w:tcBorders>
              <w:top w:val="nil"/>
              <w:left w:val="nil"/>
              <w:bottom w:val="single" w:color="auto" w:sz="4" w:space="0"/>
              <w:right w:val="single" w:color="auto" w:sz="4" w:space="0"/>
            </w:tcBorders>
            <w:noWrap/>
            <w:vAlign w:val="center"/>
          </w:tcPr>
          <w:p w14:paraId="4CE01E94">
            <w:pPr>
              <w:keepNext w:val="0"/>
              <w:keepLines w:val="0"/>
              <w:widowControl/>
              <w:suppressLineNumbers w:val="0"/>
              <w:ind w:firstLine="160" w:firstLineChars="100"/>
              <w:jc w:val="lef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648" w:type="dxa"/>
            <w:tcBorders>
              <w:top w:val="nil"/>
              <w:left w:val="nil"/>
              <w:bottom w:val="single" w:color="auto" w:sz="4" w:space="0"/>
              <w:right w:val="single" w:color="auto" w:sz="4" w:space="0"/>
            </w:tcBorders>
            <w:noWrap/>
            <w:vAlign w:val="center"/>
          </w:tcPr>
          <w:p w14:paraId="1A175334">
            <w:pPr>
              <w:keepNext w:val="0"/>
              <w:keepLines w:val="0"/>
              <w:widowControl/>
              <w:suppressLineNumbers w:val="0"/>
              <w:ind w:firstLine="160" w:firstLineChars="10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90</w:t>
            </w:r>
          </w:p>
        </w:tc>
        <w:tc>
          <w:tcPr>
            <w:tcW w:w="903" w:type="dxa"/>
            <w:tcBorders>
              <w:top w:val="nil"/>
              <w:left w:val="nil"/>
              <w:bottom w:val="single" w:color="auto" w:sz="4" w:space="0"/>
              <w:right w:val="single" w:color="auto" w:sz="4" w:space="0"/>
            </w:tcBorders>
            <w:shd w:val="clear" w:color="auto" w:fill="auto"/>
            <w:noWrap/>
            <w:vAlign w:val="center"/>
          </w:tcPr>
          <w:p w14:paraId="0701D2E2">
            <w:pPr>
              <w:keepNext w:val="0"/>
              <w:keepLines w:val="0"/>
              <w:widowControl/>
              <w:suppressLineNumbers w:val="0"/>
              <w:ind w:firstLine="160" w:firstLineChars="10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753" w:type="dxa"/>
            <w:tcBorders>
              <w:top w:val="nil"/>
              <w:left w:val="nil"/>
              <w:bottom w:val="single" w:color="auto" w:sz="4" w:space="0"/>
              <w:right w:val="single" w:color="auto" w:sz="4" w:space="0"/>
            </w:tcBorders>
            <w:noWrap/>
            <w:vAlign w:val="center"/>
          </w:tcPr>
          <w:p w14:paraId="1FF03530">
            <w:pPr>
              <w:keepNext w:val="0"/>
              <w:keepLines w:val="0"/>
              <w:widowControl/>
              <w:suppressLineNumbers w:val="0"/>
              <w:ind w:firstLine="160" w:firstLineChars="10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11.11</w:t>
            </w:r>
          </w:p>
        </w:tc>
        <w:tc>
          <w:tcPr>
            <w:tcW w:w="1043" w:type="dxa"/>
            <w:tcBorders>
              <w:top w:val="nil"/>
              <w:left w:val="nil"/>
              <w:bottom w:val="single" w:color="auto" w:sz="4" w:space="0"/>
              <w:right w:val="single" w:color="auto" w:sz="4" w:space="0"/>
            </w:tcBorders>
            <w:noWrap/>
            <w:vAlign w:val="center"/>
          </w:tcPr>
          <w:p w14:paraId="0782C729">
            <w:pPr>
              <w:keepNext w:val="0"/>
              <w:keepLines w:val="0"/>
              <w:widowControl/>
              <w:suppressLineNumbers w:val="0"/>
              <w:ind w:firstLine="160" w:firstLineChars="10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709" w:type="dxa"/>
            <w:tcBorders>
              <w:top w:val="nil"/>
              <w:left w:val="nil"/>
              <w:bottom w:val="single" w:color="auto" w:sz="4" w:space="0"/>
              <w:right w:val="single" w:color="auto" w:sz="4" w:space="0"/>
            </w:tcBorders>
            <w:noWrap/>
            <w:vAlign w:val="center"/>
          </w:tcPr>
          <w:p w14:paraId="74D2DED2">
            <w:pPr>
              <w:keepNext w:val="0"/>
              <w:keepLines w:val="0"/>
              <w:widowControl/>
              <w:suppressLineNumbers w:val="0"/>
              <w:ind w:firstLine="160" w:firstLineChars="10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799" w:type="dxa"/>
            <w:tcBorders>
              <w:top w:val="nil"/>
              <w:left w:val="nil"/>
              <w:bottom w:val="single" w:color="auto" w:sz="4" w:space="0"/>
              <w:right w:val="single" w:color="auto" w:sz="4" w:space="0"/>
            </w:tcBorders>
            <w:shd w:val="clear" w:color="auto" w:fill="auto"/>
            <w:noWrap/>
            <w:vAlign w:val="center"/>
          </w:tcPr>
          <w:p w14:paraId="7913EF29">
            <w:pPr>
              <w:keepNext w:val="0"/>
              <w:keepLines w:val="0"/>
              <w:widowControl/>
              <w:suppressLineNumbers w:val="0"/>
              <w:ind w:firstLine="160" w:firstLineChars="100"/>
              <w:jc w:val="righ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nil"/>
              <w:left w:val="nil"/>
              <w:bottom w:val="single" w:color="auto" w:sz="4" w:space="0"/>
              <w:right w:val="single" w:color="auto" w:sz="4" w:space="0"/>
            </w:tcBorders>
            <w:noWrap/>
            <w:vAlign w:val="center"/>
          </w:tcPr>
          <w:p w14:paraId="2CF140F2">
            <w:pPr>
              <w:keepNext w:val="0"/>
              <w:keepLines w:val="0"/>
              <w:widowControl/>
              <w:suppressLineNumbers w:val="0"/>
              <w:ind w:firstLine="160" w:firstLineChars="100"/>
              <w:jc w:val="lef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是</w:t>
            </w:r>
          </w:p>
        </w:tc>
        <w:tc>
          <w:tcPr>
            <w:tcW w:w="1894" w:type="dxa"/>
            <w:gridSpan w:val="2"/>
            <w:tcBorders>
              <w:top w:val="single" w:color="auto" w:sz="4" w:space="0"/>
              <w:left w:val="nil"/>
              <w:bottom w:val="single" w:color="auto" w:sz="4" w:space="0"/>
              <w:right w:val="single" w:color="000000" w:sz="4" w:space="0"/>
            </w:tcBorders>
            <w:noWrap/>
            <w:vAlign w:val="center"/>
          </w:tcPr>
          <w:p w14:paraId="48A3B8B2">
            <w:pPr>
              <w:keepNext w:val="0"/>
              <w:keepLines w:val="0"/>
              <w:widowControl/>
              <w:suppressLineNumbers w:val="0"/>
              <w:ind w:firstLine="160" w:firstLineChars="100"/>
              <w:jc w:val="left"/>
              <w:textAlignment w:val="center"/>
              <w:rPr>
                <w:rFonts w:hint="default" w:ascii="Times New Roman" w:hAnsi="Times New Roman" w:cs="Times New Roman"/>
                <w:color w:val="000000"/>
                <w:sz w:val="16"/>
                <w:szCs w:val="16"/>
              </w:rPr>
            </w:pPr>
            <w:r>
              <w:rPr>
                <w:rFonts w:hint="eastAsia" w:ascii="宋体" w:hAnsi="宋体" w:eastAsia="宋体" w:cs="宋体"/>
                <w:i w:val="0"/>
                <w:iCs w:val="0"/>
                <w:color w:val="000000"/>
                <w:kern w:val="0"/>
                <w:sz w:val="16"/>
                <w:szCs w:val="16"/>
                <w:u w:val="none"/>
                <w:lang w:val="en-US" w:eastAsia="zh-CN" w:bidi="ar"/>
              </w:rPr>
              <w:t>全年财政资金使用率</w:t>
            </w:r>
          </w:p>
        </w:tc>
      </w:tr>
    </w:tbl>
    <w:p w14:paraId="2B5D2800">
      <w:pPr>
        <w:pStyle w:val="15"/>
        <w:autoSpaceDE w:val="0"/>
        <w:spacing w:before="0" w:beforeAutospacing="0" w:after="0" w:afterAutospacing="0" w:line="596" w:lineRule="exact"/>
        <w:ind w:firstLine="640" w:firstLineChars="200"/>
        <w:rPr>
          <w:rFonts w:hint="eastAsia" w:ascii="楷体" w:hAnsi="楷体" w:eastAsia="楷体" w:cs="楷体"/>
          <w:b w:val="0"/>
          <w:bCs w:val="0"/>
          <w:sz w:val="32"/>
          <w:szCs w:val="32"/>
          <w:shd w:val="clear" w:color="auto" w:fill="FFFFFF"/>
        </w:rPr>
      </w:pPr>
    </w:p>
    <w:p w14:paraId="5437E452">
      <w:pPr>
        <w:pStyle w:val="15"/>
        <w:autoSpaceDE w:val="0"/>
        <w:spacing w:before="0" w:beforeAutospacing="0" w:after="0" w:afterAutospacing="0" w:line="596" w:lineRule="exact"/>
        <w:ind w:firstLine="640" w:firstLineChars="200"/>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（二）部门绩效评价情况</w:t>
      </w:r>
    </w:p>
    <w:p w14:paraId="7F3EFEAB">
      <w:pPr>
        <w:tabs>
          <w:tab w:val="center" w:pos="4422"/>
        </w:tabs>
        <w:spacing w:line="560" w:lineRule="exact"/>
        <w:ind w:firstLine="640" w:firstLineChars="200"/>
        <w:rPr>
          <w:rFonts w:ascii="方正仿宋_GBK" w:hAnsi="黑体" w:eastAsia="方正仿宋_GBK"/>
          <w:sz w:val="32"/>
          <w:szCs w:val="32"/>
        </w:rPr>
      </w:pPr>
      <w:r>
        <w:rPr>
          <w:rFonts w:hint="eastAsia" w:ascii="Times New Roman" w:hAnsi="Times New Roman" w:eastAsia="方正仿宋_GBK" w:cs="Times New Roman"/>
          <w:sz w:val="32"/>
          <w:szCs w:val="32"/>
          <w:shd w:val="clear" w:color="auto" w:fill="FFFFFF"/>
          <w:lang w:val="en-US" w:eastAsia="zh-CN" w:bidi="ar-SA"/>
        </w:rPr>
        <w:t>我部门对防范金融风险和打击非法集资工作经费项目开展了绩效评价，涉及财政拨款项目资金</w:t>
      </w:r>
      <w:r>
        <w:rPr>
          <w:rFonts w:hint="default" w:ascii="Times New Roman" w:hAnsi="Times New Roman" w:eastAsia="方正仿宋_GBK" w:cs="Times New Roman"/>
          <w:sz w:val="32"/>
          <w:szCs w:val="32"/>
          <w:shd w:val="clear" w:color="auto" w:fill="FFFFFF"/>
          <w:lang w:val="en-US" w:eastAsia="zh-CN" w:bidi="ar-SA"/>
        </w:rPr>
        <w:t>10</w:t>
      </w:r>
      <w:r>
        <w:rPr>
          <w:rFonts w:hint="eastAsia" w:ascii="Times New Roman" w:hAnsi="Times New Roman" w:eastAsia="方正仿宋_GBK" w:cs="Times New Roman"/>
          <w:sz w:val="32"/>
          <w:szCs w:val="32"/>
          <w:shd w:val="clear" w:color="auto" w:fill="FFFFFF"/>
          <w:lang w:val="en-US" w:eastAsia="zh-CN" w:bidi="ar-SA"/>
        </w:rPr>
        <w:t>万元，评价得分</w:t>
      </w:r>
      <w:r>
        <w:rPr>
          <w:rFonts w:hint="default" w:ascii="Times New Roman" w:hAnsi="Times New Roman" w:eastAsia="方正仿宋_GBK" w:cs="Times New Roman"/>
          <w:sz w:val="32"/>
          <w:szCs w:val="32"/>
          <w:shd w:val="clear" w:color="auto" w:fill="FFFFFF"/>
          <w:lang w:val="en-US" w:eastAsia="zh-CN" w:bidi="ar-SA"/>
        </w:rPr>
        <w:t>100</w:t>
      </w:r>
      <w:r>
        <w:rPr>
          <w:rFonts w:hint="eastAsia" w:ascii="Times New Roman" w:hAnsi="Times New Roman" w:eastAsia="方正仿宋_GBK" w:cs="Times New Roman"/>
          <w:sz w:val="32"/>
          <w:szCs w:val="32"/>
          <w:shd w:val="clear" w:color="auto" w:fill="FFFFFF"/>
          <w:lang w:val="en-US" w:eastAsia="zh-CN" w:bidi="ar-SA"/>
        </w:rPr>
        <w:t>分，评价等次为优良；对巨灾保险采购项目开展了绩效评价，涉及财政拨款项目资金</w:t>
      </w:r>
      <w:r>
        <w:rPr>
          <w:rFonts w:hint="default" w:ascii="Times New Roman" w:hAnsi="Times New Roman" w:eastAsia="方正仿宋_GBK" w:cs="Times New Roman"/>
          <w:sz w:val="32"/>
          <w:szCs w:val="32"/>
          <w:shd w:val="clear" w:color="auto" w:fill="FFFFFF"/>
          <w:lang w:val="en-US" w:eastAsia="zh-CN" w:bidi="ar-SA"/>
        </w:rPr>
        <w:t>200</w:t>
      </w:r>
      <w:r>
        <w:rPr>
          <w:rFonts w:hint="eastAsia" w:ascii="Times New Roman" w:hAnsi="Times New Roman" w:eastAsia="方正仿宋_GBK" w:cs="Times New Roman"/>
          <w:sz w:val="32"/>
          <w:szCs w:val="32"/>
          <w:shd w:val="clear" w:color="auto" w:fill="FFFFFF"/>
          <w:lang w:val="en-US" w:eastAsia="zh-CN" w:bidi="ar-SA"/>
        </w:rPr>
        <w:t>万元，评价得分</w:t>
      </w:r>
      <w:r>
        <w:rPr>
          <w:rFonts w:hint="default" w:ascii="Times New Roman" w:hAnsi="Times New Roman" w:eastAsia="方正仿宋_GBK" w:cs="Times New Roman"/>
          <w:sz w:val="32"/>
          <w:szCs w:val="32"/>
          <w:shd w:val="clear" w:color="auto" w:fill="FFFFFF"/>
          <w:lang w:val="en-US" w:eastAsia="zh-CN" w:bidi="ar-SA"/>
        </w:rPr>
        <w:t>100</w:t>
      </w:r>
      <w:r>
        <w:rPr>
          <w:rFonts w:hint="eastAsia" w:ascii="Times New Roman" w:hAnsi="Times New Roman" w:eastAsia="方正仿宋_GBK" w:cs="Times New Roman"/>
          <w:sz w:val="32"/>
          <w:szCs w:val="32"/>
          <w:shd w:val="clear" w:color="auto" w:fill="FFFFFF"/>
          <w:lang w:val="en-US" w:eastAsia="zh-CN" w:bidi="ar-SA"/>
        </w:rPr>
        <w:t>分，评价等次为优良;对人才引进项目开展了绩效评价，涉及财政拨款项目资金1.34万元，评价得分100分，评价等次为优良;对全市普惠金融高质量发展会议经费项目开展了绩效评价，涉及财政拨款项目资金30.67万元，评价得分100分，评价等次为优良。绩效评价中发现对绩效管理工作的重要性认识不到位，财务管理科学化、精细化有待进一步加强；年初预算无法科学设定绩效指标体系，细化考核指标量化不够合理；项目管理上需要进一步规范，预算执行和绩效运行监督管理工作仍需进一步提高等问题。提出以</w:t>
      </w:r>
      <w:r>
        <w:rPr>
          <w:rFonts w:ascii="方正仿宋_GBK" w:hAnsi="黑体" w:eastAsia="方正仿宋_GBK"/>
          <w:sz w:val="32"/>
          <w:szCs w:val="32"/>
        </w:rPr>
        <w:t>下建议：一是树牢全员绩效管理意识，探索“业务财务相融合”的工作模式。全部门上下进一步提高思想认识，统一部署，改变绩效自评工作是财务工作的错误认知，倡导部门内部各业务科室积极参与绩效评价，树牢全员绩效管理的意识，压实责任，落实到人，促进各项工作流程良性循环，不断提升部门绩效管理工作水平。二是科学合理的设置绩效评价指标，夯实绩效评价基础。在项目整个生命周期中，围绕年度工作任务，充分论证，严格筛选，从数量和质量多方面进行考虑，优先选取最具代表性，能全面反映产出和效益的指标，力求指标精简实用，尽可能量化，佐证资料真实、可获取。三是强化绩效评价结果应用。提高对绩效评价结果的重视程度，对绩效评价过程中发现的问题及时研究制定整改方案，落实专人负责整改工作。</w:t>
      </w:r>
    </w:p>
    <w:p w14:paraId="7C3B574B">
      <w:pPr>
        <w:numPr>
          <w:ilvl w:val="0"/>
          <w:numId w:val="1"/>
        </w:numPr>
        <w:tabs>
          <w:tab w:val="center" w:pos="4422"/>
        </w:tabs>
        <w:spacing w:line="560" w:lineRule="exact"/>
        <w:ind w:firstLine="640" w:firstLineChars="200"/>
        <w:rPr>
          <w:rFonts w:hint="eastAsia" w:ascii="方正楷体_GBK" w:hAnsi="方正楷体_GBK" w:eastAsia="方正楷体_GBK" w:cs="方正楷体_GBK"/>
          <w:i w:val="0"/>
          <w:iCs w:val="0"/>
          <w:caps w:val="0"/>
          <w:color w:val="171A1D"/>
          <w:spacing w:val="0"/>
          <w:sz w:val="32"/>
          <w:szCs w:val="32"/>
          <w:shd w:val="clear" w:fill="FFFFFF"/>
        </w:rPr>
      </w:pPr>
      <w:r>
        <w:rPr>
          <w:rFonts w:hint="eastAsia" w:ascii="方正楷体_GBK" w:hAnsi="方正楷体_GBK" w:eastAsia="方正楷体_GBK" w:cs="方正楷体_GBK"/>
          <w:i w:val="0"/>
          <w:iCs w:val="0"/>
          <w:caps w:val="0"/>
          <w:color w:val="171A1D"/>
          <w:spacing w:val="0"/>
          <w:sz w:val="32"/>
          <w:szCs w:val="32"/>
          <w:shd w:val="clear" w:fill="FFFFFF"/>
        </w:rPr>
        <w:t>财政绩效评价情况</w:t>
      </w:r>
    </w:p>
    <w:p w14:paraId="5D8AFF48">
      <w:pPr>
        <w:pStyle w:val="7"/>
        <w:numPr>
          <w:ilvl w:val="0"/>
          <w:numId w:val="0"/>
        </w:numPr>
        <w:ind w:firstLine="640" w:firstLineChars="200"/>
        <w:rPr>
          <w:rFonts w:hint="default"/>
        </w:rPr>
      </w:pPr>
      <w:r>
        <w:rPr>
          <w:rFonts w:hint="eastAsia" w:ascii="方正仿宋_GBK" w:hAnsi="方正仿宋_GBK" w:eastAsia="方正仿宋_GBK" w:cs="方正仿宋_GBK"/>
          <w:i w:val="0"/>
          <w:iCs w:val="0"/>
          <w:caps w:val="0"/>
          <w:color w:val="171A1D"/>
          <w:spacing w:val="0"/>
          <w:sz w:val="32"/>
          <w:szCs w:val="32"/>
          <w:shd w:val="clear" w:fill="FFFFFF"/>
        </w:rPr>
        <w:t>县财政局未委托第三方对我</w:t>
      </w:r>
      <w:r>
        <w:rPr>
          <w:rFonts w:hint="eastAsia" w:ascii="方正仿宋_GBK" w:hAnsi="方正仿宋_GBK" w:eastAsia="方正仿宋_GBK" w:cs="方正仿宋_GBK"/>
          <w:i w:val="0"/>
          <w:iCs w:val="0"/>
          <w:caps w:val="0"/>
          <w:color w:val="171A1D"/>
          <w:spacing w:val="0"/>
          <w:sz w:val="32"/>
          <w:szCs w:val="32"/>
          <w:shd w:val="clear" w:fill="FFFFFF"/>
          <w:lang w:eastAsia="zh-CN"/>
        </w:rPr>
        <w:t>部门</w:t>
      </w:r>
      <w:r>
        <w:rPr>
          <w:rFonts w:hint="eastAsia" w:ascii="方正仿宋_GBK" w:hAnsi="方正仿宋_GBK" w:eastAsia="方正仿宋_GBK" w:cs="方正仿宋_GBK"/>
          <w:i w:val="0"/>
          <w:iCs w:val="0"/>
          <w:caps w:val="0"/>
          <w:color w:val="171A1D"/>
          <w:spacing w:val="0"/>
          <w:sz w:val="32"/>
          <w:szCs w:val="32"/>
          <w:shd w:val="clear" w:fill="FFFFFF"/>
        </w:rPr>
        <w:t>开展绩效评价。</w:t>
      </w:r>
    </w:p>
    <w:p w14:paraId="2125F20B">
      <w:pPr>
        <w:pStyle w:val="9"/>
        <w:shd w:val="clear" w:color="auto" w:fill="FFFFFF"/>
        <w:spacing w:before="0" w:beforeAutospacing="0" w:after="0" w:afterAutospacing="0" w:line="596" w:lineRule="exact"/>
        <w:ind w:firstLine="640" w:firstLineChars="200"/>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eastAsia="zh-CN"/>
        </w:rPr>
        <w:t>六、</w:t>
      </w:r>
      <w:r>
        <w:rPr>
          <w:rStyle w:val="13"/>
          <w:rFonts w:hint="eastAsia" w:ascii="方正黑体_GBK" w:hAnsi="方正黑体_GBK" w:eastAsia="方正黑体_GBK" w:cs="方正黑体_GBK"/>
          <w:b w:val="0"/>
          <w:bCs/>
          <w:sz w:val="32"/>
          <w:szCs w:val="32"/>
          <w:shd w:val="clear" w:color="auto" w:fill="FFFFFF"/>
        </w:rPr>
        <w:t>专业名词解释</w:t>
      </w:r>
    </w:p>
    <w:p w14:paraId="6229C046">
      <w:pPr>
        <w:pStyle w:val="15"/>
        <w:numPr>
          <w:ilvl w:val="0"/>
          <w:numId w:val="0"/>
        </w:numPr>
        <w:autoSpaceDE w:val="0"/>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6C217A4">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F11E318">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C41D494">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48508D5">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（五）使用非财政拨款结余（含专用结余）：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EB0AFC4">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1B53CA9F">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890F61F">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6C3F0496">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89FDC1D">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37CC147C">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B3AAB9F">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4D6ACAF">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AAB78B6">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F42AE5D">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C28143B">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489CEB3B">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6F9216E">
      <w:pPr>
        <w:pStyle w:val="15"/>
        <w:spacing w:before="0" w:beforeAutospacing="0" w:after="0" w:afterAutospacing="0" w:line="596" w:lineRule="exact"/>
        <w:ind w:firstLine="640" w:firstLineChars="200"/>
        <w:rPr>
          <w:rFonts w:hint="eastAsia" w:ascii="方正黑体_GBK" w:hAnsi="方正黑体_GBK" w:eastAsia="方正黑体_GBK" w:cs="方正黑体_GBK"/>
          <w:sz w:val="32"/>
          <w:szCs w:val="32"/>
        </w:rPr>
      </w:pPr>
      <w:r>
        <w:rPr>
          <w:rStyle w:val="13"/>
          <w:rFonts w:hint="eastAsia" w:ascii="方正黑体_GBK" w:hAnsi="方正黑体_GBK" w:eastAsia="方正黑体_GBK" w:cs="方正黑体_GBK"/>
          <w:b w:val="0"/>
          <w:bCs/>
          <w:sz w:val="32"/>
          <w:szCs w:val="32"/>
          <w:shd w:val="clear" w:color="auto" w:fill="FFFFFF"/>
        </w:rPr>
        <w:t>七、决算公开联系方式及信息反馈渠道</w:t>
      </w:r>
    </w:p>
    <w:p w14:paraId="5E84617C">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14:paraId="52C4AE09">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bookmarkStart w:id="0" w:name="_Hlk208503096"/>
      <w:r>
        <w:rPr>
          <w:rFonts w:ascii="Times New Roman" w:hAnsi="Times New Roman" w:eastAsia="方正仿宋_GBK"/>
          <w:sz w:val="32"/>
          <w:szCs w:val="32"/>
        </w:rPr>
        <w:t>王海峡</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023-</w:t>
      </w:r>
      <w:r>
        <w:rPr>
          <w:rFonts w:ascii="Times New Roman" w:hAnsi="Times New Roman" w:eastAsia="方正仿宋_GBK"/>
          <w:color w:val="333333"/>
          <w:sz w:val="31"/>
          <w:szCs w:val="31"/>
          <w:shd w:val="clear" w:color="auto" w:fill="FFFFFF"/>
        </w:rPr>
        <w:t>70700366</w:t>
      </w:r>
    </w:p>
    <w:bookmarkEnd w:id="0"/>
    <w:p w14:paraId="72B6FB66">
      <w:pPr>
        <w:pStyle w:val="14"/>
        <w:autoSpaceDE w:val="0"/>
        <w:spacing w:line="596" w:lineRule="exact"/>
        <w:ind w:firstLine="643"/>
        <w:jc w:val="both"/>
        <w:rPr>
          <w:rStyle w:val="13"/>
          <w:rFonts w:ascii="方正仿宋_GBK" w:hAnsi="方正仿宋_GBK" w:eastAsia="方正仿宋_GBK" w:cs="方正仿宋_GBK"/>
          <w:sz w:val="32"/>
          <w:szCs w:val="32"/>
          <w:shd w:val="clear" w:color="auto" w:fill="FFFF00"/>
        </w:rPr>
      </w:pPr>
    </w:p>
    <w:p w14:paraId="31C4CE64">
      <w:pPr>
        <w:pStyle w:val="15"/>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12F14763">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0D76958">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E5CDF53">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D4C6287">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066CAC6A">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121F0A0B">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BD10FE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60CCF97B">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3BF04008">
            <w:pPr>
              <w:spacing w:line="280" w:lineRule="exact"/>
              <w:rPr>
                <w:rFonts w:hint="default" w:ascii="Arial" w:hAnsi="Arial" w:cs="Arial"/>
                <w:color w:val="000000"/>
                <w:sz w:val="22"/>
                <w:szCs w:val="22"/>
              </w:rPr>
            </w:pPr>
            <w:r>
              <w:rPr>
                <w:rFonts w:cs="宋体"/>
                <w:sz w:val="20"/>
                <w:szCs w:val="20"/>
              </w:rPr>
              <w:t>部门：</w:t>
            </w:r>
            <w:r>
              <w:rPr>
                <w:sz w:val="20"/>
              </w:rPr>
              <w:t>丰都县金融服务中心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0AD53452">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044F73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C91253">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BD13B">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E68D57">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84FCA1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1048B">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83537">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E6E54">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B3CFF">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9E80F3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9D351">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C8BF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323.46</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34047">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5B5B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333.19</w:t>
            </w:r>
            <w:r>
              <w:rPr>
                <w:rFonts w:ascii="Times New Roman" w:hAnsi="Times New Roman"/>
                <w:color w:val="000000"/>
                <w:sz w:val="20"/>
              </w:rPr>
              <w:t xml:space="preserve"> </w:t>
            </w:r>
          </w:p>
        </w:tc>
      </w:tr>
      <w:tr w14:paraId="34989CB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D32A9">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D4A4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720D7">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3C7E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4BDF62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01FD8">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290B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77262">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BFDA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774B34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85EB9">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6E06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AEF23">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4DB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28C489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EE237">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94AF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EEB8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DB02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2F565E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8F8E8">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1BD6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B6864">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08D9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73384B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211CD">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1ADA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EE743">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AACC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0081CD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8522D">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28F56A6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0CEE2">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D948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16.41</w:t>
            </w:r>
            <w:r>
              <w:rPr>
                <w:rFonts w:ascii="Times New Roman" w:hAnsi="Times New Roman"/>
                <w:color w:val="000000"/>
                <w:sz w:val="20"/>
              </w:rPr>
              <w:t xml:space="preserve"> </w:t>
            </w:r>
          </w:p>
        </w:tc>
      </w:tr>
      <w:tr w14:paraId="2C8F2EE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7527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33DB3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E0FCC">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0D9C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w:t>
            </w:r>
            <w:r>
              <w:rPr>
                <w:rFonts w:ascii="Times New Roman" w:hAnsi="Times New Roman"/>
                <w:color w:val="000000"/>
                <w:sz w:val="20"/>
              </w:rPr>
              <w:t xml:space="preserve"> </w:t>
            </w:r>
          </w:p>
        </w:tc>
      </w:tr>
      <w:tr w14:paraId="026F37F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704E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54A3A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645C8">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FF1E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EABA2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359BE">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56CBC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39417">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4FC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9AFD3E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0BD54">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EBF67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A05F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4E34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E7430D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09509">
            <w:pPr>
              <w:spacing w:line="240" w:lineRule="exact"/>
              <w:rPr>
                <w:rFonts w:hint="default" w:cs="宋体"/>
                <w:b/>
                <w:bCs/>
                <w:color w:val="000000"/>
                <w:sz w:val="20"/>
                <w:szCs w:val="20"/>
              </w:rPr>
            </w:pPr>
            <w:bookmarkStart w:id="1" w:name="_GoBack"/>
            <w:bookmarkEnd w:id="1"/>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277D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CAA27">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890B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E8D779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3889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B0D4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A08A8">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AEC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E40062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051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B364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D13BC">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AEF0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E86648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8EB9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40A5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E057F">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5BB1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E1DB24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B518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2A03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8924E">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182A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D686C80">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D52C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DF90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78618">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0069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F9707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7281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9EB8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DBB8D">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0EB1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w:t>
            </w:r>
            <w:r>
              <w:rPr>
                <w:rFonts w:ascii="Times New Roman" w:hAnsi="Times New Roman"/>
                <w:color w:val="000000"/>
                <w:sz w:val="20"/>
              </w:rPr>
              <w:t xml:space="preserve"> </w:t>
            </w:r>
          </w:p>
        </w:tc>
      </w:tr>
      <w:tr w14:paraId="3F4D4FC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228E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7BD9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15958">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D666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5544A2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B975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A722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8F6F6">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7243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F3DD5F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CEE7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6201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9840C">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B7F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C9D78E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6D8A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12EE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0C696">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F265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9EDD8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4AF81">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DC36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F0517">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30AB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43E1BF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2382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07B7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E7661">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0266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5F26C3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4288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298C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CFCAA">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5D9D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3A239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E3780">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3E1D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323.46</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C0C17">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8820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358.74</w:t>
            </w:r>
            <w:r>
              <w:rPr>
                <w:rFonts w:ascii="Times New Roman" w:hAnsi="Times New Roman"/>
                <w:color w:val="000000"/>
                <w:sz w:val="20"/>
              </w:rPr>
              <w:t xml:space="preserve"> </w:t>
            </w:r>
          </w:p>
        </w:tc>
      </w:tr>
      <w:tr w14:paraId="5D7C068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AFBC9">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A1D5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586B3">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D5BE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72A9DD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295A5">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3D4C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35.84</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69741">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3E584F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0.55</w:t>
            </w:r>
            <w:r>
              <w:rPr>
                <w:rFonts w:ascii="Times New Roman" w:hAnsi="Times New Roman"/>
                <w:color w:val="000000"/>
                <w:sz w:val="20"/>
              </w:rPr>
              <w:t xml:space="preserve"> </w:t>
            </w:r>
          </w:p>
        </w:tc>
      </w:tr>
      <w:tr w14:paraId="5182DBB9">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738F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079F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359.30</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D63378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56A84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359.30</w:t>
            </w:r>
            <w:r>
              <w:rPr>
                <w:rFonts w:ascii="Times New Roman" w:hAnsi="Times New Roman"/>
                <w:color w:val="000000"/>
                <w:sz w:val="20"/>
              </w:rPr>
              <w:t xml:space="preserve"> </w:t>
            </w:r>
          </w:p>
        </w:tc>
      </w:tr>
    </w:tbl>
    <w:p w14:paraId="243434EF">
      <w:pPr>
        <w:rPr>
          <w:rFonts w:hint="default" w:cs="宋体"/>
          <w:sz w:val="21"/>
          <w:szCs w:val="21"/>
        </w:rPr>
      </w:pPr>
    </w:p>
    <w:p w14:paraId="01DF6E73">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362"/>
        <w:gridCol w:w="2973"/>
        <w:gridCol w:w="1377"/>
        <w:gridCol w:w="1429"/>
        <w:gridCol w:w="1463"/>
        <w:gridCol w:w="1355"/>
        <w:gridCol w:w="1386"/>
        <w:gridCol w:w="1256"/>
        <w:gridCol w:w="1256"/>
        <w:gridCol w:w="1646"/>
      </w:tblGrid>
      <w:tr w14:paraId="633F355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39CD909">
            <w:pPr>
              <w:jc w:val="center"/>
              <w:textAlignment w:val="bottom"/>
              <w:rPr>
                <w:rFonts w:hint="default" w:cs="宋体"/>
                <w:b/>
                <w:color w:val="000000"/>
                <w:sz w:val="32"/>
                <w:szCs w:val="32"/>
              </w:rPr>
            </w:pPr>
            <w:r>
              <w:rPr>
                <w:rFonts w:cs="宋体"/>
                <w:b/>
                <w:color w:val="000000"/>
                <w:sz w:val="32"/>
                <w:szCs w:val="32"/>
              </w:rPr>
              <w:t>收入决算表</w:t>
            </w:r>
          </w:p>
        </w:tc>
      </w:tr>
      <w:tr w14:paraId="0CE7ED6F">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0AEF34BD">
            <w:pPr>
              <w:spacing w:line="280" w:lineRule="exact"/>
              <w:rPr>
                <w:rFonts w:hint="default" w:cs="宋体"/>
                <w:color w:val="000000"/>
                <w:sz w:val="20"/>
                <w:szCs w:val="20"/>
              </w:rPr>
            </w:pPr>
            <w:r>
              <w:rPr>
                <w:rFonts w:cs="宋体"/>
                <w:sz w:val="20"/>
                <w:szCs w:val="20"/>
              </w:rPr>
              <w:t>部门：</w:t>
            </w:r>
            <w:r>
              <w:rPr>
                <w:sz w:val="20"/>
              </w:rPr>
              <w:t>丰都县金融服务中心</w:t>
            </w:r>
          </w:p>
        </w:tc>
        <w:tc>
          <w:tcPr>
            <w:tcW w:w="461" w:type="pct"/>
            <w:tcBorders>
              <w:top w:val="nil"/>
              <w:left w:val="nil"/>
              <w:bottom w:val="nil"/>
              <w:right w:val="nil"/>
            </w:tcBorders>
            <w:shd w:val="clear" w:color="auto" w:fill="auto"/>
            <w:noWrap/>
            <w:tcMar>
              <w:top w:w="15" w:type="dxa"/>
              <w:left w:w="15" w:type="dxa"/>
              <w:right w:w="15" w:type="dxa"/>
            </w:tcMar>
            <w:vAlign w:val="bottom"/>
          </w:tcPr>
          <w:p w14:paraId="15C6E51E">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0A507B0E">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4C8D82AE">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6BDB28B2">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1B52C8C">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E7AE8AD">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3C3D0B51">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3BE541A3">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388C67FB">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7D7DEBE9">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62D040C7">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6A520B4D">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68887039">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5462016">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E49BC9D">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6DD5BDF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53CA63">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6513D7C4">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953F8">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71BCD">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23E9E">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09279D">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1814F">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A9447">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76D2A">
            <w:pPr>
              <w:jc w:val="center"/>
              <w:textAlignment w:val="center"/>
              <w:rPr>
                <w:rFonts w:hint="default" w:cs="宋体"/>
                <w:b/>
                <w:color w:val="000000"/>
                <w:sz w:val="20"/>
                <w:szCs w:val="20"/>
              </w:rPr>
            </w:pPr>
            <w:r>
              <w:rPr>
                <w:rFonts w:cs="宋体"/>
                <w:b/>
                <w:color w:val="000000"/>
                <w:sz w:val="20"/>
                <w:szCs w:val="20"/>
              </w:rPr>
              <w:t>其他收入</w:t>
            </w:r>
          </w:p>
        </w:tc>
      </w:tr>
      <w:tr w14:paraId="7CD1A0C9">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8019E">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0B2F97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8453B">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4D8D3">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F0DB7">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DF102">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3B729">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68D24">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17178">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B0F2B">
            <w:pPr>
              <w:jc w:val="center"/>
              <w:rPr>
                <w:rFonts w:hint="default" w:cs="宋体"/>
                <w:b/>
                <w:color w:val="000000"/>
                <w:sz w:val="20"/>
                <w:szCs w:val="20"/>
              </w:rPr>
            </w:pPr>
          </w:p>
        </w:tc>
      </w:tr>
      <w:tr w14:paraId="08EA972B">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239C1">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33E68F9">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DD35B">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1F4B3">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528B2">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70FA9">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0CA92">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80666">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A5C36">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03F55">
            <w:pPr>
              <w:jc w:val="center"/>
              <w:rPr>
                <w:rFonts w:hint="default" w:cs="宋体"/>
                <w:b/>
                <w:color w:val="000000"/>
                <w:sz w:val="20"/>
                <w:szCs w:val="20"/>
              </w:rPr>
            </w:pPr>
          </w:p>
        </w:tc>
      </w:tr>
      <w:tr w14:paraId="0ADFA8A2">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606B1">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42B8560">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87BE2">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555EF">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E7A94">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167EA">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C6847">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957B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5EA5B">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C82B9">
            <w:pPr>
              <w:jc w:val="center"/>
              <w:rPr>
                <w:rFonts w:hint="default" w:cs="宋体"/>
                <w:b/>
                <w:color w:val="000000"/>
                <w:sz w:val="20"/>
                <w:szCs w:val="20"/>
              </w:rPr>
            </w:pPr>
          </w:p>
        </w:tc>
      </w:tr>
      <w:tr w14:paraId="551013BD">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515E2">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835606E">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15A4B">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1AC50">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C5453">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BD722">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90B2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E45F7">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EEA4D">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F5016">
            <w:pPr>
              <w:jc w:val="center"/>
              <w:rPr>
                <w:rFonts w:hint="default" w:cs="宋体"/>
                <w:b/>
                <w:color w:val="000000"/>
                <w:sz w:val="20"/>
                <w:szCs w:val="20"/>
              </w:rPr>
            </w:pPr>
          </w:p>
        </w:tc>
      </w:tr>
      <w:tr w14:paraId="5C58F78C">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218E4">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1DDD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323.46</w:t>
            </w:r>
            <w:r>
              <w:rPr>
                <w:rFonts w:ascii="Times New Roman" w:hAnsi="Times New Roman"/>
                <w:b/>
                <w:color w:val="000000"/>
                <w:sz w:val="20"/>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9248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323.46</w:t>
            </w:r>
            <w:r>
              <w:rPr>
                <w:rFonts w:ascii="Times New Roman" w:hAnsi="Times New Roman"/>
                <w:b/>
                <w:color w:val="000000"/>
                <w:sz w:val="20"/>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A2BC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E2CA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33DA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14B1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9D7B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608B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E63F55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D8FFF">
            <w:pPr>
              <w:textAlignment w:val="center"/>
              <w:rPr>
                <w:rFonts w:hint="default" w:cs="宋体"/>
                <w:color w:val="000000"/>
                <w:sz w:val="20"/>
                <w:szCs w:val="20"/>
              </w:rPr>
            </w:pPr>
            <w:r>
              <w:rPr>
                <w:rFonts w:cs="宋体"/>
                <w:b/>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A172E">
            <w:pPr>
              <w:textAlignment w:val="center"/>
              <w:rPr>
                <w:rFonts w:hint="default" w:cs="宋体"/>
                <w:color w:val="000000"/>
                <w:sz w:val="20"/>
                <w:szCs w:val="20"/>
              </w:rPr>
            </w:pPr>
            <w:r>
              <w:rPr>
                <w:rFonts w:cs="宋体"/>
                <w:b/>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82E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297.91</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F22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297.91</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E2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DC7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C3B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10F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6DD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AFC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B39C01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88936">
            <w:pPr>
              <w:textAlignment w:val="center"/>
              <w:rPr>
                <w:rFonts w:hint="default" w:cs="宋体"/>
                <w:color w:val="000000"/>
                <w:sz w:val="20"/>
                <w:szCs w:val="20"/>
              </w:rPr>
            </w:pPr>
            <w:r>
              <w:rPr>
                <w:rFonts w:cs="宋体"/>
                <w:b/>
                <w:color w:val="000000"/>
                <w:sz w:val="20"/>
                <w:szCs w:val="20"/>
              </w:rPr>
              <w:t>20103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4BEB3">
            <w:pPr>
              <w:textAlignment w:val="center"/>
              <w:rPr>
                <w:rFonts w:hint="default" w:cs="宋体"/>
                <w:color w:val="000000"/>
                <w:sz w:val="20"/>
                <w:szCs w:val="20"/>
              </w:rPr>
            </w:pPr>
            <w:r>
              <w:rPr>
                <w:rFonts w:cs="宋体"/>
                <w:b/>
                <w:color w:val="000000"/>
                <w:sz w:val="20"/>
                <w:szCs w:val="20"/>
              </w:rPr>
              <w:t>政府办公厅（室）及相关机构事务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4A9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297.91</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8AF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297.91</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9AA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2E1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D8B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B7A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8D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BF9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4F9BA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B6E7F">
            <w:pPr>
              <w:textAlignment w:val="center"/>
              <w:rPr>
                <w:rFonts w:hint="default" w:cs="宋体"/>
                <w:color w:val="000000"/>
                <w:sz w:val="20"/>
                <w:szCs w:val="20"/>
              </w:rPr>
            </w:pPr>
            <w:r>
              <w:rPr>
                <w:rFonts w:cs="宋体"/>
                <w:color w:val="000000"/>
                <w:sz w:val="20"/>
                <w:szCs w:val="20"/>
              </w:rPr>
              <w:t>2010350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B023D">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19A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87.91</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5DC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87.91</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3DF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B04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9BE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CD9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7C3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B7B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4F55A7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41251">
            <w:pPr>
              <w:textAlignment w:val="center"/>
              <w:rPr>
                <w:rFonts w:hint="default" w:cs="宋体"/>
                <w:color w:val="000000"/>
                <w:sz w:val="20"/>
                <w:szCs w:val="20"/>
              </w:rPr>
            </w:pPr>
            <w:r>
              <w:rPr>
                <w:rFonts w:cs="宋体"/>
                <w:color w:val="000000"/>
                <w:sz w:val="20"/>
                <w:szCs w:val="20"/>
              </w:rPr>
              <w:t>2010399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F786E">
            <w:pPr>
              <w:textAlignment w:val="center"/>
              <w:rPr>
                <w:rFonts w:hint="default" w:cs="宋体"/>
                <w:color w:val="000000"/>
                <w:sz w:val="20"/>
                <w:szCs w:val="20"/>
              </w:rPr>
            </w:pPr>
            <w:r>
              <w:rPr>
                <w:rFonts w:cs="宋体"/>
                <w:color w:val="000000"/>
                <w:sz w:val="20"/>
                <w:szCs w:val="20"/>
              </w:rPr>
              <w:t>其他政府办公厅（室）及相关机构事务支出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BE6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90E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DF7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786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5F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5DF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483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A7A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A2620E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4E4B">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167C4">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9F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16.41</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F12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16.41</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54E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67C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18C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55B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16C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E30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DF801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81DB">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78806">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A23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16.41</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BE1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16.41</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704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77F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4D4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879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777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31F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95DB94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251A4">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2E582">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B79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10.93</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D41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10.93</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E75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62F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F6C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763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315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843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016700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9E6A2">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1A8C5">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478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3B5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62D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06D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0D9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33B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A52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FFF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CB83BF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5AE2A">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75C60">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F7D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090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DE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B0A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A18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D00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1D9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469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27E4BD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14C32">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4EF5C">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F64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E39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E5B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AA1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2CB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A72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976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8AC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BDC7FC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070CA">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3CE9F">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A90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306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30D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684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531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959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45A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C7D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B1148F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FAE0B">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4BC47">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7D9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7E2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8EA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E36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FEE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D37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439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BC2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2FC057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83858">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645F0">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5C3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C4C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F51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7C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14C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16B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716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0BC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D1B178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AA9BC">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E3C4E">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C60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3FC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1DC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70D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37F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DCE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997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A5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CA96B5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19264">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A0111">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8A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FA3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B9C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8CE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269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B32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20A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D66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A87AF44">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25B8232">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34"/>
        <w:gridCol w:w="3916"/>
        <w:gridCol w:w="1799"/>
        <w:gridCol w:w="1738"/>
        <w:gridCol w:w="1569"/>
        <w:gridCol w:w="1508"/>
        <w:gridCol w:w="1670"/>
        <w:gridCol w:w="1888"/>
      </w:tblGrid>
      <w:tr w14:paraId="0A62E3E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B9E7E5E">
            <w:pPr>
              <w:jc w:val="center"/>
              <w:textAlignment w:val="bottom"/>
              <w:rPr>
                <w:rFonts w:hint="default" w:cs="宋体"/>
                <w:b/>
                <w:color w:val="000000"/>
                <w:sz w:val="32"/>
                <w:szCs w:val="32"/>
              </w:rPr>
            </w:pPr>
            <w:r>
              <w:rPr>
                <w:rFonts w:cs="宋体"/>
                <w:b/>
                <w:color w:val="000000"/>
                <w:sz w:val="32"/>
                <w:szCs w:val="32"/>
              </w:rPr>
              <w:t>支出决算表</w:t>
            </w:r>
          </w:p>
        </w:tc>
      </w:tr>
      <w:tr w14:paraId="6A3B4005">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0ECE8D4F">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丰都县金融服务中心 </w:t>
            </w:r>
          </w:p>
        </w:tc>
        <w:tc>
          <w:tcPr>
            <w:tcW w:w="567" w:type="pct"/>
            <w:tcBorders>
              <w:top w:val="nil"/>
              <w:left w:val="nil"/>
              <w:bottom w:val="nil"/>
              <w:right w:val="nil"/>
            </w:tcBorders>
            <w:shd w:val="clear" w:color="auto" w:fill="auto"/>
            <w:noWrap/>
            <w:tcMar>
              <w:top w:w="15" w:type="dxa"/>
              <w:left w:w="15" w:type="dxa"/>
              <w:right w:w="15" w:type="dxa"/>
            </w:tcMar>
            <w:vAlign w:val="bottom"/>
          </w:tcPr>
          <w:p w14:paraId="250FC87F">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698B7DD6">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27676272">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443871E0">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44757CA3">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31829475">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7E13F29A">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5E4F08A3">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190B3773">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5E5AEF46">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619A289E">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72152D9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468ACBD">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86128F">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2F1C9">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26CFB">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BC587">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5BEE9">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9B595">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7CCCD">
            <w:pPr>
              <w:jc w:val="center"/>
              <w:textAlignment w:val="center"/>
              <w:rPr>
                <w:rFonts w:hint="default" w:cs="宋体"/>
                <w:b/>
                <w:color w:val="000000"/>
                <w:sz w:val="20"/>
                <w:szCs w:val="20"/>
              </w:rPr>
            </w:pPr>
            <w:r>
              <w:rPr>
                <w:rFonts w:cs="宋体"/>
                <w:b/>
                <w:color w:val="000000"/>
                <w:sz w:val="20"/>
                <w:szCs w:val="20"/>
              </w:rPr>
              <w:t>对附属单位补助支出</w:t>
            </w:r>
          </w:p>
        </w:tc>
      </w:tr>
      <w:tr w14:paraId="4267BA5D">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7A773">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69FC9F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48EE7">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B2343">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4982E">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F0A8D">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4CE5D">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DAB76">
            <w:pPr>
              <w:jc w:val="center"/>
              <w:rPr>
                <w:rFonts w:hint="default" w:cs="宋体"/>
                <w:b/>
                <w:color w:val="000000"/>
                <w:sz w:val="20"/>
                <w:szCs w:val="20"/>
              </w:rPr>
            </w:pPr>
          </w:p>
        </w:tc>
      </w:tr>
      <w:tr w14:paraId="1905D557">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55C3A">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B8FD9C3">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1ECA1">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F876C">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B1725">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3C945">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D4C50">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5504A">
            <w:pPr>
              <w:jc w:val="center"/>
              <w:rPr>
                <w:rFonts w:hint="default" w:cs="宋体"/>
                <w:b/>
                <w:color w:val="000000"/>
                <w:sz w:val="20"/>
                <w:szCs w:val="20"/>
              </w:rPr>
            </w:pPr>
          </w:p>
        </w:tc>
      </w:tr>
      <w:tr w14:paraId="200E0FBF">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635C3">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D93470">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D61D0">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E3A16">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72972">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DD0E1">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3391A">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293D4">
            <w:pPr>
              <w:jc w:val="center"/>
              <w:rPr>
                <w:rFonts w:hint="default" w:cs="宋体"/>
                <w:b/>
                <w:color w:val="000000"/>
                <w:sz w:val="20"/>
                <w:szCs w:val="20"/>
              </w:rPr>
            </w:pPr>
          </w:p>
        </w:tc>
      </w:tr>
      <w:tr w14:paraId="0D6FA75E">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EE329">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CDD6E64">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0CBA5">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14034">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8B467">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D9F05">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A6739">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6B879">
            <w:pPr>
              <w:jc w:val="center"/>
              <w:rPr>
                <w:rFonts w:hint="default" w:cs="宋体"/>
                <w:b/>
                <w:color w:val="000000"/>
                <w:sz w:val="20"/>
                <w:szCs w:val="20"/>
              </w:rPr>
            </w:pPr>
          </w:p>
        </w:tc>
      </w:tr>
      <w:tr w14:paraId="1A9F4810">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4777A">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82AE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358.74</w:t>
            </w:r>
            <w:r>
              <w:rPr>
                <w:rFonts w:ascii="Times New Roman" w:hAnsi="Times New Roman"/>
                <w:b/>
                <w:color w:val="000000"/>
                <w:sz w:val="20"/>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1F65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119.38</w:t>
            </w:r>
            <w:r>
              <w:rPr>
                <w:rFonts w:ascii="Times New Roman" w:hAnsi="Times New Roman"/>
                <w:b/>
                <w:color w:val="000000"/>
                <w:sz w:val="20"/>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46A6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239.36</w:t>
            </w:r>
            <w:r>
              <w:rPr>
                <w:rFonts w:ascii="Times New Roman" w:hAnsi="Times New Roman"/>
                <w:b/>
                <w:color w:val="000000"/>
                <w:sz w:val="20"/>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3F4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4B3B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0581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45F754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C5704">
            <w:pPr>
              <w:textAlignment w:val="center"/>
              <w:rPr>
                <w:rFonts w:hint="default" w:cs="宋体"/>
                <w:color w:val="000000"/>
                <w:sz w:val="20"/>
                <w:szCs w:val="20"/>
              </w:rPr>
            </w:pPr>
            <w:r>
              <w:rPr>
                <w:rFonts w:cs="宋体"/>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3200C">
            <w:pPr>
              <w:textAlignment w:val="center"/>
              <w:rPr>
                <w:rFonts w:hint="default" w:cs="宋体"/>
                <w:color w:val="000000"/>
                <w:sz w:val="20"/>
                <w:szCs w:val="20"/>
              </w:rPr>
            </w:pPr>
            <w:r>
              <w:rPr>
                <w:rFonts w:cs="宋体"/>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166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333.19</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D2C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93.83</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E5B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239.36</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A89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535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942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7ACAD3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31183">
            <w:pPr>
              <w:textAlignment w:val="center"/>
              <w:rPr>
                <w:rFonts w:hint="default" w:cs="宋体"/>
                <w:color w:val="000000"/>
                <w:sz w:val="20"/>
                <w:szCs w:val="20"/>
              </w:rPr>
            </w:pPr>
            <w:r>
              <w:rPr>
                <w:rFonts w:cs="宋体"/>
                <w:b/>
                <w:color w:val="000000"/>
                <w:sz w:val="20"/>
                <w:szCs w:val="20"/>
              </w:rPr>
              <w:t>20103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3BDEF">
            <w:pPr>
              <w:textAlignment w:val="center"/>
              <w:rPr>
                <w:rFonts w:hint="default" w:cs="宋体"/>
                <w:color w:val="000000"/>
                <w:sz w:val="20"/>
                <w:szCs w:val="20"/>
              </w:rPr>
            </w:pPr>
            <w:r>
              <w:rPr>
                <w:rFonts w:cs="宋体"/>
                <w:b/>
                <w:color w:val="000000"/>
                <w:sz w:val="20"/>
                <w:szCs w:val="20"/>
              </w:rPr>
              <w:t>政府办公厅（室）及相关机构事务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A50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333.19</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FB7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93.83</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D5F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239.36</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685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8AC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147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A6F273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E8B78">
            <w:pPr>
              <w:textAlignment w:val="center"/>
              <w:rPr>
                <w:rFonts w:hint="default" w:cs="宋体"/>
                <w:color w:val="000000"/>
                <w:sz w:val="20"/>
                <w:szCs w:val="20"/>
              </w:rPr>
            </w:pPr>
            <w:r>
              <w:rPr>
                <w:rFonts w:cs="宋体"/>
                <w:color w:val="000000"/>
                <w:sz w:val="20"/>
                <w:szCs w:val="20"/>
              </w:rPr>
              <w:t>2010350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96F08">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56A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88.63</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3A2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88.63</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2D1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58E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16B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7ED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F00E0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03077">
            <w:pPr>
              <w:textAlignment w:val="center"/>
              <w:rPr>
                <w:rFonts w:hint="default" w:cs="宋体"/>
                <w:color w:val="000000"/>
                <w:sz w:val="20"/>
                <w:szCs w:val="20"/>
              </w:rPr>
            </w:pPr>
            <w:r>
              <w:rPr>
                <w:rFonts w:cs="宋体"/>
                <w:color w:val="000000"/>
                <w:sz w:val="20"/>
                <w:szCs w:val="20"/>
              </w:rPr>
              <w:t>2010399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003A6">
            <w:pPr>
              <w:textAlignment w:val="center"/>
              <w:rPr>
                <w:rFonts w:hint="default" w:cs="宋体"/>
                <w:color w:val="000000"/>
                <w:sz w:val="20"/>
                <w:szCs w:val="20"/>
              </w:rPr>
            </w:pPr>
            <w:r>
              <w:rPr>
                <w:rFonts w:cs="宋体"/>
                <w:color w:val="000000"/>
                <w:sz w:val="20"/>
                <w:szCs w:val="20"/>
              </w:rPr>
              <w:t>其他政府办公厅（室）及相关机构事务支出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8B6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244.56</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D8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F3C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239.36</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A01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248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3F8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3C37E8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6F4BD">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7DA77">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4DE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16.41</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AC4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16.41</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DF9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8EB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6BE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639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092BBB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AB1EE">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8C59C">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1DC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16.41</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134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16.41</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39A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9EB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F7F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9F0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933AE7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5564">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0A51C">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AFD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10.93</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A6C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10.93</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3E6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165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E1F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5F6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9E623C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8E930">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6CE1A">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D72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DDF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63F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1EE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026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FEF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763BEB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77988">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E5A5B">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D29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F47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0E0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828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E9C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813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4E294D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8B49E">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60370">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ECB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0E3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58D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7EC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6AD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2A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456FB7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5218C">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4D419">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98D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895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C32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D72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3E8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3F7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47A03F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91B2E">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49A97">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B55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7C2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FAA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213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07E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402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87B17C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7F8F2">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6354E">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7BF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CC3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42F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1CC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DE3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397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8F83F8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BE7E3">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BCAF3">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5C4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34A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5FE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48B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E19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468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A64CF6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99CC5">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00809">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10C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0AC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49B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E9A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D21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ADE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8754BED">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6EECC11">
      <w:pPr>
        <w:rPr>
          <w:rFonts w:hint="default" w:cs="宋体"/>
          <w:sz w:val="21"/>
          <w:szCs w:val="21"/>
        </w:rPr>
      </w:pPr>
      <w:r>
        <w:rPr>
          <w:rFonts w:cs="宋体"/>
          <w:sz w:val="21"/>
          <w:szCs w:val="21"/>
        </w:rPr>
        <w:br w:type="page"/>
      </w:r>
    </w:p>
    <w:p w14:paraId="52178383">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57C2DBD4">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B1D228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3931FCE">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97829CE">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丰都县金融服务中心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41E8C33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995E6B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6C14DE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0D76D90">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3A8ABE05">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E37EA4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2240B8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BDAEA3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8585EA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1350843">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CF9F22C">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88AD3">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2A5A9">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3A2B5B5">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C8183">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15E6B">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E03B4A">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F48A4">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89B5B64">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1E3CE">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D23D6">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C4A5F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F59FA">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BD1F0">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1E9C9">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298C4">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745D6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DCA0C">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CFA1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323.46</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3F683">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4E0A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333.19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163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333.19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32F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7E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50B3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31EDC">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3B2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FCE0D">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07F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C7D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543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2C8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90A3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178E3">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74E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DA555">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C50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18E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258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DAD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056D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CE50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7AD7D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749F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C7F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594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16A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AF2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C667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387B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8AD45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20646">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63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ED4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819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491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4242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991A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D5156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2B535">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E93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25A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78F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27B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2F78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81B5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3D854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E3F12">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666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FDD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390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247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762A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4AE1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38E60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D83A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10AE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BC08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573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05C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ACCC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86B9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25000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F343B">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3A8E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38E3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3CE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9EB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538F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0D4A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B2DA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2A2AD">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7A6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108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E42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C0E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ACF4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C4F0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044D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EA827">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5C0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965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2FD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31E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150F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00F2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35F1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47156">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CEA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F40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B4E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A1F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DECB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D325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2581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AC55F">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2A4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C1D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9BE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59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8F97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0ABB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7722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41020">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B65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0A4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90C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7E2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51534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EAF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D6F7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949BE">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EFC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3EC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662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F61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9AF5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31EB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E690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F6EB6">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6EE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FED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503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55F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6B5E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74FF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39C6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42E47">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034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09E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D00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D4F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B10A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4D13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BB44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0CF15">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1B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41E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06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DBA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7C877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C5A9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D26E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96A84">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82F8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5571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BEF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BB2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F58D0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17A8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68B9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63E67">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4DC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551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255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5A6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95A4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82FA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8446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4E248">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9CD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16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D5E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A12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8B86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76EF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9E5C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20061">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55C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413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FE1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798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55885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FD90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5473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F8BB">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4E4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6DA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EB9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94D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1B57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02CBA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AF26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2FAA5">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644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F34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777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E5E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76AEF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EB04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3141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5BED9">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749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EFB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7DD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810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E70A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64BBD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66AA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5D903">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334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6D9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5D4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546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F35E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8EB82">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FDE2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323.46</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B393E">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FD1B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358.74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D63A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358.74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4AF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C2D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2D055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FD3A5">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7429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35.84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1CEE1">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A608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6369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942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6E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E4B1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9F7D1">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4D72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35.84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5FD9C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326782">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B9B341">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1E93F6">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1F2BEC">
            <w:pPr>
              <w:spacing w:line="200" w:lineRule="exact"/>
              <w:rPr>
                <w:rFonts w:hint="default" w:ascii="Times New Roman" w:hAnsi="Times New Roman"/>
                <w:color w:val="000000"/>
                <w:sz w:val="18"/>
                <w:szCs w:val="18"/>
              </w:rPr>
            </w:pPr>
          </w:p>
        </w:tc>
      </w:tr>
      <w:tr w14:paraId="2CCBFA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1177A">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E8F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D3F9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C8BD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CD195">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0EFE3">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F9820">
            <w:pPr>
              <w:spacing w:line="200" w:lineRule="exact"/>
              <w:jc w:val="right"/>
              <w:rPr>
                <w:rFonts w:hint="default" w:ascii="Times New Roman" w:hAnsi="Times New Roman"/>
                <w:color w:val="000000"/>
                <w:sz w:val="18"/>
                <w:szCs w:val="18"/>
              </w:rPr>
            </w:pPr>
          </w:p>
        </w:tc>
      </w:tr>
      <w:tr w14:paraId="6F0B31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45E01">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71D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C992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D320E">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633B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5A75">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CFAB8">
            <w:pPr>
              <w:spacing w:line="200" w:lineRule="exact"/>
              <w:jc w:val="right"/>
              <w:rPr>
                <w:rFonts w:hint="default" w:ascii="Times New Roman" w:hAnsi="Times New Roman"/>
                <w:color w:val="000000"/>
                <w:sz w:val="18"/>
                <w:szCs w:val="18"/>
              </w:rPr>
            </w:pPr>
          </w:p>
        </w:tc>
      </w:tr>
      <w:tr w14:paraId="752B69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5075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83C0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359.30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47A3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1725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359.30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D20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359.30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CB4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87D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1D7AA6FF">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17C77AF8">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5653C50">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85AD69E">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5AC52E85">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丰都县金融服务中心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59968785">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ED9E60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3C884DD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FE81BE1">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26824E39">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FFF9F1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B605F2">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FFCD0">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32961F">
            <w:pPr>
              <w:jc w:val="center"/>
              <w:textAlignment w:val="center"/>
              <w:rPr>
                <w:rFonts w:hint="default" w:cs="宋体"/>
                <w:b/>
                <w:color w:val="000000"/>
                <w:sz w:val="20"/>
                <w:szCs w:val="20"/>
              </w:rPr>
            </w:pPr>
            <w:r>
              <w:rPr>
                <w:rFonts w:cs="宋体"/>
                <w:b/>
                <w:color w:val="000000"/>
                <w:sz w:val="20"/>
                <w:szCs w:val="20"/>
              </w:rPr>
              <w:t>本年支出</w:t>
            </w:r>
          </w:p>
        </w:tc>
      </w:tr>
      <w:tr w14:paraId="56507202">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ED0DC">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F476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27509">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20AC78">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85350A">
            <w:pPr>
              <w:jc w:val="center"/>
              <w:textAlignment w:val="center"/>
              <w:rPr>
                <w:rFonts w:hint="default" w:cs="宋体"/>
                <w:b/>
                <w:color w:val="000000"/>
                <w:sz w:val="20"/>
                <w:szCs w:val="20"/>
              </w:rPr>
            </w:pPr>
            <w:r>
              <w:rPr>
                <w:rFonts w:cs="宋体"/>
                <w:b/>
                <w:color w:val="000000"/>
                <w:sz w:val="20"/>
                <w:szCs w:val="20"/>
              </w:rPr>
              <w:t>项目支出</w:t>
            </w:r>
          </w:p>
        </w:tc>
      </w:tr>
      <w:tr w14:paraId="244C1ACF">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2AB76">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E8CDEC">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309A79">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A2CF39">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F4B18B">
            <w:pPr>
              <w:jc w:val="center"/>
              <w:rPr>
                <w:rFonts w:hint="default" w:cs="宋体"/>
                <w:b/>
                <w:color w:val="000000"/>
                <w:sz w:val="20"/>
                <w:szCs w:val="20"/>
              </w:rPr>
            </w:pPr>
          </w:p>
        </w:tc>
      </w:tr>
      <w:tr w14:paraId="4593F76C">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D2DAD">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BDFB5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05354">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69C117">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2167B2">
            <w:pPr>
              <w:jc w:val="center"/>
              <w:rPr>
                <w:rFonts w:hint="default" w:cs="宋体"/>
                <w:b/>
                <w:color w:val="000000"/>
                <w:sz w:val="20"/>
                <w:szCs w:val="20"/>
              </w:rPr>
            </w:pPr>
          </w:p>
        </w:tc>
      </w:tr>
      <w:tr w14:paraId="2AECCAE9">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7C951">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3158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358.74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D7B2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119.38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9D63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239.36</w:t>
            </w:r>
            <w:r>
              <w:rPr>
                <w:rFonts w:ascii="Times New Roman" w:hAnsi="Times New Roman"/>
                <w:b/>
                <w:color w:val="000000"/>
                <w:sz w:val="20"/>
              </w:rPr>
              <w:t xml:space="preserve"> </w:t>
            </w:r>
          </w:p>
        </w:tc>
      </w:tr>
      <w:tr w14:paraId="0ED2C2F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123EF">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C791E">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F3F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333.19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535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93.83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403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239.36</w:t>
            </w:r>
            <w:r>
              <w:rPr>
                <w:rFonts w:ascii="Times New Roman" w:hAnsi="Times New Roman"/>
                <w:b/>
                <w:color w:val="000000"/>
                <w:sz w:val="20"/>
              </w:rPr>
              <w:t xml:space="preserve"> </w:t>
            </w:r>
          </w:p>
        </w:tc>
      </w:tr>
      <w:tr w14:paraId="3A19F46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F051A">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3A230">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213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333.19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A97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93.83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4D5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239.36</w:t>
            </w:r>
            <w:r>
              <w:rPr>
                <w:rFonts w:ascii="Times New Roman" w:hAnsi="Times New Roman"/>
                <w:b/>
                <w:color w:val="000000"/>
                <w:sz w:val="20"/>
              </w:rPr>
              <w:t xml:space="preserve"> </w:t>
            </w:r>
          </w:p>
        </w:tc>
      </w:tr>
      <w:tr w14:paraId="2973C23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0EB6F">
            <w:pPr>
              <w:textAlignment w:val="center"/>
              <w:rPr>
                <w:rFonts w:hint="default" w:cs="宋体"/>
                <w:color w:val="000000"/>
                <w:sz w:val="20"/>
                <w:szCs w:val="20"/>
              </w:rPr>
            </w:pPr>
            <w:r>
              <w:rPr>
                <w:rFonts w:cs="宋体"/>
                <w:color w:val="000000"/>
                <w:sz w:val="20"/>
                <w:szCs w:val="20"/>
              </w:rPr>
              <w:t>2010350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4ABA8">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A3D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88.63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664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88.63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DB2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D291F7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DBFF2">
            <w:pPr>
              <w:textAlignment w:val="center"/>
              <w:rPr>
                <w:rFonts w:hint="default" w:cs="宋体"/>
                <w:color w:val="000000"/>
                <w:sz w:val="20"/>
                <w:szCs w:val="20"/>
              </w:rPr>
            </w:pPr>
            <w:r>
              <w:rPr>
                <w:rFonts w:cs="宋体"/>
                <w:color w:val="000000"/>
                <w:sz w:val="20"/>
                <w:szCs w:val="20"/>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98134">
            <w:pPr>
              <w:textAlignment w:val="center"/>
              <w:rPr>
                <w:rFonts w:hint="default" w:cs="宋体"/>
                <w:color w:val="000000"/>
                <w:sz w:val="20"/>
                <w:szCs w:val="20"/>
              </w:rPr>
            </w:pPr>
            <w:r>
              <w:rPr>
                <w:rFonts w:cs="宋体"/>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E7D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244.56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E9C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068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239.36</w:t>
            </w:r>
            <w:r>
              <w:rPr>
                <w:rFonts w:ascii="Times New Roman" w:hAnsi="Times New Roman"/>
                <w:color w:val="000000"/>
                <w:sz w:val="20"/>
              </w:rPr>
              <w:t xml:space="preserve"> </w:t>
            </w:r>
          </w:p>
        </w:tc>
      </w:tr>
      <w:tr w14:paraId="216C630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9751F">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EEC06">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159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DF8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695C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601D60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01A26">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80164">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A2E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932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4C1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733255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BC3D2">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438DD">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64D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AF1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705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BF58E8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BFE48">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6BFE3">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C35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020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BDA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FB1452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91F97">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DC231">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F9F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9B9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DCC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C4255B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6F940">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517D7">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07C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AB7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322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54027E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E3D8B">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BD9F6">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56B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597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497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1EF2A7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77D38">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B9EF1">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D55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803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6C1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8869B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D7FCF">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CFADA">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02E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D4B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6FE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043DE3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B5F86">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C88AB">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405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1AF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A09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02ABE4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FCB6C">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BF554">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F84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C60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3A0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2D2D575">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D53A24C">
      <w:pPr>
        <w:ind w:firstLine="630" w:firstLineChars="300"/>
        <w:rPr>
          <w:rFonts w:hint="default" w:cs="宋体"/>
          <w:sz w:val="21"/>
          <w:szCs w:val="21"/>
        </w:rPr>
      </w:pPr>
      <w:r>
        <w:rPr>
          <w:rFonts w:cs="宋体"/>
          <w:sz w:val="21"/>
          <w:szCs w:val="21"/>
        </w:rPr>
        <w:br w:type="page"/>
      </w:r>
    </w:p>
    <w:tbl>
      <w:tblPr>
        <w:tblStyle w:val="10"/>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0553EF7E">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C86400C">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CA94E7B">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0017742B">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丰都县金融服务中心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1ED03C5D">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35A86BBE">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193A22BB">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6531714">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453E4540">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263493F6">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A1CFE96">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55F9F80">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076D7A0">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A3B051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4955F19">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38DA2">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8D2A1D">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2025A030">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E08C6">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538F73">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B30626">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F8B56">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91508A">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CB96FF">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C9ECF">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1553CC">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3CA8D4">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7A4AA30">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F1CBD">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7E6D8E">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3DB3D6">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8C4A7">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0CFF14">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A275E3">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15438">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589825">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D1BF4C">
            <w:pPr>
              <w:spacing w:line="192" w:lineRule="exact"/>
              <w:jc w:val="center"/>
              <w:rPr>
                <w:rFonts w:hint="default" w:cs="宋体"/>
                <w:b/>
                <w:color w:val="000000"/>
                <w:sz w:val="18"/>
                <w:szCs w:val="18"/>
              </w:rPr>
            </w:pPr>
          </w:p>
        </w:tc>
      </w:tr>
      <w:tr w14:paraId="415E49B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1DCA4">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A33F5">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F03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98.58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6EF8E">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0ED4F">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CB78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AA3D8">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C669D">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98A5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CAF0B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F8870">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2140A">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7BE4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C0410">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491DB">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C79A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4594E">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2EA69">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7BF9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CBEAF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4BDE5">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5CEC9">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AD1A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8FAD0">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AB1A3">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D9D4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73F01">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8C228">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D6C9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6ADAE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30212">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2052">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B8A9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14B94">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D47F3">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E37A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9DD9B">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75846">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274E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213396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4009">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5FA1">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E6C7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40E49">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E66D">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8D09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82241">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6DDF8">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E627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B6A8F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D1E25">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A5E76">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6B9B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49.66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FB46A">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927EB">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D1AF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F6EB6">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709D1">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07EA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6AF019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C509C">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D64E4">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427B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55E3F">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D4F89">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0FA8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82359">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0F567">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37C2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1CD20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CEFBE">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64FD3">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1189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9F309">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D7C5A">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891F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48195">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BE44E">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2608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EB8F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189D1">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0F0C4">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160D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E4AC4">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70F6E">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7BAB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2CA75">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DCB64">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0697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71A25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44461">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0173A">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7EBA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9435B">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9EF66">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1E0E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E4813">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FDD4A">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9384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31D56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D9834">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4F082">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BA17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E1DFC">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11887">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6AD8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D41D6">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37507">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D4F8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674D6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48997">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F301C">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57C3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BF05F">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15FE7">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8F04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64841">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EC080">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BD50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0553D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1FBB5">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0F92">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C0C1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87CBD">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622D8">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39D8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FF5FA">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C43DE">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4A9D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388CA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DF668">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2E06D">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89DF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13445">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F1A99">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C502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AAEB9">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DB38A">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DA82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4C25C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99ECA">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D9256">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B6C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69E7E">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B3134">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B3AC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BE368">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FB5EA">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2C78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C48A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250E8">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6B9A9">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D590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CD961">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C196F">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7DD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02B4B">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D110">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60D2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8D4C1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843EC">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275FF">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5997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E5927">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F1A0A">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6C88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897AC">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F8224">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0850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02C96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CFEAC">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2F11E">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8BD3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F3B4C">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2B06B">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6E29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FC65E">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A0C98">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1F43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657DE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4818D">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ED0B">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48B4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FD2D3">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7ACB0">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8B31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AE99F">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14D0D">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5F93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3EAFB0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AF99B">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67346">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0EE3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081A3">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A1E36">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5C8D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6EE64">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4700F">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C17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93590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C357F">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D24B4">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5BF8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118A6">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B6F25">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3CC4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0F14D">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5D637">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7BB2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C21DE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A4EAF">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68D1">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6DA3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E43F9">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2990D">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494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64CE3">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0725D">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02D2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F6F89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2A2E7">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04C4A">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B7A9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AC62E">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18595">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EB22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50996">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D98A9">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644B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E5373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BD070">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81DC5">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AFA8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A5028">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1E813">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0D6B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97AE6">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CBCB7">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0BFA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87FFF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4392F">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291BF">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E25C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C1184">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8E711">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5699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0ADB5">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4C927">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5B33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A4FA9A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49F06">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5644D">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59D8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885A1">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B3F90">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5B7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CC512">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0447">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DEF3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757B9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CA292">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57D48">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3D62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B42FA">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53C1F">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0602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5B1C7">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1F190">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D0C1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41C47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404C9">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86944">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BB0BCD">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096DA">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8322A">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9509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5C12B">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06252">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932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87656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BC55B">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EF4B8">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AF2DAF">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86033">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F6542">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C81E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1189E">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A5617">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5916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3B1EE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AADA2">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4121E">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67E2E2">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7FE12">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AF00D">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7F1C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3049B">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499D4">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E4CF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976C7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D8432">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54ACD">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F3961C">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25890">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C3C1E">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B206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67FD4">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2F09C">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56F9C">
            <w:pPr>
              <w:spacing w:line="192" w:lineRule="exact"/>
              <w:jc w:val="right"/>
              <w:rPr>
                <w:rFonts w:hint="default" w:ascii="Times New Roman" w:hAnsi="Times New Roman"/>
                <w:color w:val="000000"/>
                <w:sz w:val="18"/>
                <w:szCs w:val="18"/>
              </w:rPr>
            </w:pPr>
          </w:p>
        </w:tc>
      </w:tr>
      <w:tr w14:paraId="0BF78D9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9054B">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CF605">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370DB0">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4D3C3">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C8381">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DD76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CBD8A">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04967">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CA80B">
            <w:pPr>
              <w:spacing w:line="192" w:lineRule="exact"/>
              <w:jc w:val="right"/>
              <w:rPr>
                <w:rFonts w:hint="default" w:ascii="Times New Roman" w:hAnsi="Times New Roman"/>
                <w:color w:val="000000"/>
                <w:sz w:val="18"/>
                <w:szCs w:val="18"/>
              </w:rPr>
            </w:pPr>
          </w:p>
        </w:tc>
      </w:tr>
      <w:tr w14:paraId="27321F09">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05B76">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183C7">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E92ED4">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64412">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E4434">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B345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2CE76">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73FD6">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8CCB5">
            <w:pPr>
              <w:spacing w:line="192" w:lineRule="exact"/>
              <w:jc w:val="right"/>
              <w:rPr>
                <w:rFonts w:hint="default" w:ascii="Times New Roman" w:hAnsi="Times New Roman"/>
                <w:color w:val="000000"/>
                <w:sz w:val="18"/>
                <w:szCs w:val="18"/>
              </w:rPr>
            </w:pPr>
          </w:p>
        </w:tc>
      </w:tr>
      <w:tr w14:paraId="564040AD">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D6998">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28D770">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99.92</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DE11E">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2186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19.46</w:t>
            </w:r>
            <w:r>
              <w:rPr>
                <w:rFonts w:ascii="Times New Roman" w:hAnsi="Times New Roman"/>
                <w:color w:val="000000"/>
                <w:sz w:val="18"/>
              </w:rPr>
              <w:t xml:space="preserve"> </w:t>
            </w:r>
          </w:p>
        </w:tc>
      </w:tr>
    </w:tbl>
    <w:p w14:paraId="79FE0B54">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10"/>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14:paraId="4B956248">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2059798">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FEB9E2A">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3CE8499C">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丰都县金融服务中心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365CBD4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ED59A2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3873903">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5A2EB13">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621209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6E0D0FB3">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D1F874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D95765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9EA201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5DD80C0">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DA1055D">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6557A2C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C58BE4">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02A96">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0E66FB">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15E4A">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DAEBB6">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1931E">
            <w:pPr>
              <w:jc w:val="center"/>
              <w:textAlignment w:val="center"/>
              <w:rPr>
                <w:rFonts w:hint="default" w:cs="宋体"/>
                <w:b/>
                <w:color w:val="000000"/>
                <w:sz w:val="20"/>
                <w:szCs w:val="20"/>
              </w:rPr>
            </w:pPr>
            <w:r>
              <w:rPr>
                <w:rFonts w:cs="宋体"/>
                <w:b/>
                <w:color w:val="000000"/>
                <w:sz w:val="20"/>
                <w:szCs w:val="20"/>
              </w:rPr>
              <w:t>年末结转和结余</w:t>
            </w:r>
          </w:p>
        </w:tc>
      </w:tr>
      <w:tr w14:paraId="3F0EB23E">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460D4">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37BE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C64E4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5B416">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CA95F9">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E82D19">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170867">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A15AF">
            <w:pPr>
              <w:jc w:val="center"/>
              <w:rPr>
                <w:rFonts w:hint="default" w:cs="宋体"/>
                <w:b/>
                <w:color w:val="000000"/>
                <w:sz w:val="20"/>
                <w:szCs w:val="20"/>
              </w:rPr>
            </w:pPr>
          </w:p>
        </w:tc>
      </w:tr>
      <w:tr w14:paraId="50DF82D9">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8BBEE">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E774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227BC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3D98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ED3ED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910232">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0DF934">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E0CD8">
            <w:pPr>
              <w:jc w:val="center"/>
              <w:rPr>
                <w:rFonts w:hint="default" w:cs="宋体"/>
                <w:b/>
                <w:color w:val="000000"/>
                <w:sz w:val="20"/>
                <w:szCs w:val="20"/>
              </w:rPr>
            </w:pPr>
          </w:p>
        </w:tc>
      </w:tr>
      <w:tr w14:paraId="79F08CA0">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BAA81">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8F161">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10D9E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4273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E160F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50CFF9">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4755CD">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38B36">
            <w:pPr>
              <w:jc w:val="center"/>
              <w:rPr>
                <w:rFonts w:hint="default" w:cs="宋体"/>
                <w:b/>
                <w:color w:val="000000"/>
                <w:sz w:val="20"/>
                <w:szCs w:val="20"/>
              </w:rPr>
            </w:pPr>
          </w:p>
        </w:tc>
      </w:tr>
      <w:tr w14:paraId="7F6C3A72">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FD98D">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9C0C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561D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857B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AE28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1FC7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002E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862404A">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B2225">
            <w:pPr>
              <w:jc w:val="both"/>
              <w:textAlignment w:val="center"/>
              <w:rPr>
                <w:rFonts w:hint="default" w:cs="宋体"/>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9D3AA">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9DB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F46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1D9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654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FAC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443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5C492C86">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7E3E021E">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6D752BEE">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BE43941">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AAD4742">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432347F1">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丰都县金融服务中心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B8BB368">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96E61D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13747553">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04937F14">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97EDC69">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2DA803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0E318F3">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C5BA5B">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8B37A9">
            <w:pPr>
              <w:jc w:val="center"/>
              <w:textAlignment w:val="bottom"/>
              <w:rPr>
                <w:rFonts w:hint="default" w:cs="宋体"/>
                <w:b/>
                <w:color w:val="000000"/>
                <w:sz w:val="20"/>
                <w:szCs w:val="20"/>
              </w:rPr>
            </w:pPr>
            <w:r>
              <w:rPr>
                <w:rFonts w:cs="宋体"/>
                <w:b/>
                <w:color w:val="000000"/>
                <w:sz w:val="20"/>
                <w:szCs w:val="20"/>
              </w:rPr>
              <w:t>本年支出</w:t>
            </w:r>
          </w:p>
        </w:tc>
      </w:tr>
      <w:tr w14:paraId="15559699">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0F1DA">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8B0E4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FFB68">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4CAC68">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7EF3A4">
            <w:pPr>
              <w:jc w:val="center"/>
              <w:textAlignment w:val="center"/>
              <w:rPr>
                <w:rFonts w:hint="default" w:cs="宋体"/>
                <w:b/>
                <w:color w:val="000000"/>
                <w:sz w:val="20"/>
                <w:szCs w:val="20"/>
              </w:rPr>
            </w:pPr>
            <w:r>
              <w:rPr>
                <w:rFonts w:cs="宋体"/>
                <w:b/>
                <w:color w:val="000000"/>
                <w:sz w:val="20"/>
                <w:szCs w:val="20"/>
              </w:rPr>
              <w:t>项目支出</w:t>
            </w:r>
          </w:p>
        </w:tc>
      </w:tr>
      <w:tr w14:paraId="091CD939">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F3205">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AE936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9A8F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B4D232">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08B4D">
            <w:pPr>
              <w:jc w:val="center"/>
              <w:rPr>
                <w:rFonts w:hint="default" w:cs="宋体"/>
                <w:b/>
                <w:color w:val="000000"/>
                <w:sz w:val="20"/>
                <w:szCs w:val="20"/>
              </w:rPr>
            </w:pPr>
          </w:p>
        </w:tc>
      </w:tr>
      <w:tr w14:paraId="139E1ACA">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627CA">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F1402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80FB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BF7B48">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E93B8B">
            <w:pPr>
              <w:jc w:val="center"/>
              <w:rPr>
                <w:rFonts w:hint="default" w:cs="宋体"/>
                <w:b/>
                <w:color w:val="000000"/>
                <w:sz w:val="20"/>
                <w:szCs w:val="20"/>
              </w:rPr>
            </w:pPr>
          </w:p>
        </w:tc>
      </w:tr>
      <w:tr w14:paraId="7B064064">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68250">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72031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E576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9B415D">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2762CD">
            <w:pPr>
              <w:jc w:val="center"/>
              <w:rPr>
                <w:rFonts w:hint="default" w:cs="宋体"/>
                <w:b/>
                <w:color w:val="000000"/>
                <w:sz w:val="20"/>
                <w:szCs w:val="20"/>
              </w:rPr>
            </w:pPr>
          </w:p>
        </w:tc>
      </w:tr>
      <w:tr w14:paraId="0AA46667">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12813">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B42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44F3F">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0F6B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7764EC8">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93430">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40D2B">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A34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AE111">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940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10B9359C">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2C4A6B54">
      <w:pPr>
        <w:rPr>
          <w:rFonts w:hint="default" w:cs="宋体"/>
          <w:sz w:val="21"/>
          <w:szCs w:val="21"/>
        </w:rPr>
      </w:pPr>
      <w:r>
        <w:rPr>
          <w:rFonts w:hint="default" w:cs="宋体"/>
          <w:sz w:val="21"/>
          <w:szCs w:val="21"/>
        </w:rPr>
        <w:br w:type="page"/>
      </w:r>
    </w:p>
    <w:tbl>
      <w:tblPr>
        <w:tblStyle w:val="10"/>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14:paraId="43D2E559">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E043E3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042157A">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0CB5515D">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22FF21F2">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30C60D7E">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390066AD">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5F6FD4C3">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15128DAA">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23EE4F3">
            <w:pPr>
              <w:spacing w:line="280" w:lineRule="exact"/>
              <w:rPr>
                <w:rFonts w:hint="default" w:cs="宋体"/>
                <w:color w:val="000000"/>
                <w:kern w:val="2"/>
                <w:sz w:val="20"/>
                <w:szCs w:val="20"/>
              </w:rPr>
            </w:pPr>
            <w:r>
              <w:rPr>
                <w:rFonts w:cs="宋体"/>
                <w:sz w:val="20"/>
                <w:szCs w:val="20"/>
              </w:rPr>
              <w:t>部门</w:t>
            </w:r>
            <w:r>
              <w:rPr>
                <w:rFonts w:cs="宋体"/>
                <w:color w:val="000000"/>
                <w:kern w:val="2"/>
                <w:sz w:val="20"/>
                <w:szCs w:val="20"/>
              </w:rPr>
              <w:t>：</w:t>
            </w:r>
            <w:r>
              <w:rPr>
                <w:color w:val="000000"/>
                <w:sz w:val="20"/>
              </w:rPr>
              <w:t>丰都县金融服务中心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21E2333E">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7DD499C0">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601B5ED9">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583CFB9">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D17CA4">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A756CE">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B9CB4B">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B8C766">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C67503">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8DD36EE">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C4F207">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85E04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F975D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2B34A4">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8F488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E4A2D1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913FE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4D22B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0.45</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3976E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92A2F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8339B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53998C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AFF49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4711C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82FAA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D6CB4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426C1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7FDD74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A5FB4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A4CFF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CB316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328A10">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E7859E">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A8675B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380F8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B7FD3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790A2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87821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95FFE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BFAB0E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5DD30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768C1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E822B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87DB3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F06FB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60111E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6227B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9AC3D1">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0.45</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56FA1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C479E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84717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958D11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18D5E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D3234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FE7B78">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D3887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27A10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F3FDE0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5B74B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99846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78F07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AD833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8F65C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809D45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368E5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00402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AA051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9315C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B86BB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463F8F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245E6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4784B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BB49C1">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0952D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BB16B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B0063E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53455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96DC5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8F3E9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60441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2163D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039C36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05A09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EE642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84CE7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F24C3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633D7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B74B3A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099FE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48533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AC0BF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54C18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922A7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DDF842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1D215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95541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C69F8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E32DAC">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5C16B1">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EB98D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DCBB5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0B817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71DCE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33CE9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88BCA2">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200.00</w:t>
            </w:r>
            <w:r>
              <w:rPr>
                <w:rFonts w:ascii="Times New Roman" w:hAnsi="Times New Roman"/>
                <w:color w:val="000000"/>
                <w:sz w:val="18"/>
              </w:rPr>
              <w:t xml:space="preserve"> </w:t>
            </w:r>
          </w:p>
        </w:tc>
      </w:tr>
      <w:tr w14:paraId="41CE27F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85091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B9B59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77D7E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A2199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BCDF4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A7F0D8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E1118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69D16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93AEE4">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9436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8CE02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6A5947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37EA0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193E5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7A8EB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C1D1E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9E7970">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200.00</w:t>
            </w:r>
            <w:r>
              <w:rPr>
                <w:rFonts w:ascii="Times New Roman" w:hAnsi="Times New Roman"/>
                <w:color w:val="000000"/>
                <w:sz w:val="18"/>
              </w:rPr>
              <w:t xml:space="preserve"> </w:t>
            </w:r>
          </w:p>
        </w:tc>
      </w:tr>
      <w:tr w14:paraId="33ECBE1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3D0D0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293B5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D6D0E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19D6C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51A9D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96A88D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4592A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172A9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CABA1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5254F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9208D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15AFD52">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10341C">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AC031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0073C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26.13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66B059">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88275E">
            <w:pPr>
              <w:spacing w:line="280" w:lineRule="exact"/>
              <w:jc w:val="right"/>
              <w:rPr>
                <w:rFonts w:hint="default" w:cs="宋体"/>
                <w:color w:val="000000"/>
                <w:kern w:val="2"/>
                <w:sz w:val="16"/>
                <w:szCs w:val="16"/>
              </w:rPr>
            </w:pPr>
          </w:p>
        </w:tc>
      </w:tr>
      <w:tr w14:paraId="4B4014E0">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B4E0CC">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20B9D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8565C0">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9D3847">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84BC7E">
            <w:pPr>
              <w:spacing w:line="280" w:lineRule="exact"/>
              <w:jc w:val="right"/>
              <w:rPr>
                <w:rFonts w:hint="default" w:cs="宋体"/>
                <w:color w:val="000000"/>
                <w:kern w:val="2"/>
                <w:sz w:val="16"/>
                <w:szCs w:val="16"/>
              </w:rPr>
            </w:pPr>
          </w:p>
        </w:tc>
      </w:tr>
      <w:tr w14:paraId="3BC5D253">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6DACD0">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8BA6CB">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8A7DB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0.63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0558ED">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316394">
            <w:pPr>
              <w:spacing w:line="280" w:lineRule="exact"/>
              <w:jc w:val="right"/>
              <w:rPr>
                <w:rFonts w:hint="default" w:cs="宋体"/>
                <w:color w:val="000000"/>
                <w:sz w:val="16"/>
                <w:szCs w:val="16"/>
              </w:rPr>
            </w:pPr>
          </w:p>
        </w:tc>
      </w:tr>
    </w:tbl>
    <w:p w14:paraId="2F227E6A">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AF2B8">
    <w:pPr>
      <w:pStyle w:val="5"/>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4EFC77DA">
                <w:pPr>
                  <w:pStyle w:val="5"/>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77A59">
    <w:pPr>
      <w:pStyle w:val="5"/>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6C199A12">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6E885C0D">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27293">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497E3"/>
    <w:multiLevelType w:val="singleLevel"/>
    <w:tmpl w:val="F4B497E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57359"/>
    <w:rsid w:val="005B023C"/>
    <w:rsid w:val="00600322"/>
    <w:rsid w:val="006137D7"/>
    <w:rsid w:val="00634FA8"/>
    <w:rsid w:val="0063613A"/>
    <w:rsid w:val="0068170B"/>
    <w:rsid w:val="006E2034"/>
    <w:rsid w:val="00732392"/>
    <w:rsid w:val="007439CC"/>
    <w:rsid w:val="00792285"/>
    <w:rsid w:val="007A0D2E"/>
    <w:rsid w:val="007A3314"/>
    <w:rsid w:val="007B419D"/>
    <w:rsid w:val="007C5C5B"/>
    <w:rsid w:val="007C689B"/>
    <w:rsid w:val="00810F13"/>
    <w:rsid w:val="00826B47"/>
    <w:rsid w:val="00893689"/>
    <w:rsid w:val="00940231"/>
    <w:rsid w:val="00944711"/>
    <w:rsid w:val="009574D5"/>
    <w:rsid w:val="009821E3"/>
    <w:rsid w:val="00984852"/>
    <w:rsid w:val="009B37A6"/>
    <w:rsid w:val="009B67B8"/>
    <w:rsid w:val="009E63B9"/>
    <w:rsid w:val="00A03B1E"/>
    <w:rsid w:val="00A67739"/>
    <w:rsid w:val="00A72D2B"/>
    <w:rsid w:val="00A820B7"/>
    <w:rsid w:val="00A830E1"/>
    <w:rsid w:val="00AA63B9"/>
    <w:rsid w:val="00AC5566"/>
    <w:rsid w:val="00B03CCD"/>
    <w:rsid w:val="00B104B0"/>
    <w:rsid w:val="00B40138"/>
    <w:rsid w:val="00B756BE"/>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8ED5064"/>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3CF14BA"/>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950882"/>
    <w:rsid w:val="6EF77F2C"/>
    <w:rsid w:val="6EFD1324"/>
    <w:rsid w:val="6F5A53AC"/>
    <w:rsid w:val="6FAC003D"/>
    <w:rsid w:val="6FE55E12"/>
    <w:rsid w:val="6FFB2E76"/>
    <w:rsid w:val="708F6F7F"/>
    <w:rsid w:val="70D94BD3"/>
    <w:rsid w:val="713C3DCA"/>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spacing w:after="120"/>
      <w:ind w:left="420" w:leftChars="200"/>
    </w:pPr>
    <w:rPr>
      <w:rFonts w:cs="宋体"/>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4"/>
    <w:qFormat/>
    <w:uiPriority w:val="0"/>
    <w:rPr>
      <w:rFonts w:ascii="宋体" w:hAnsi="宋体"/>
      <w:sz w:val="18"/>
      <w:szCs w:val="18"/>
    </w:rPr>
  </w:style>
  <w:style w:type="paragraph" w:customStyle="1" w:styleId="19">
    <w:name w:val="列表段落1"/>
    <w:basedOn w:val="1"/>
    <w:qFormat/>
    <w:uiPriority w:val="99"/>
    <w:pPr>
      <w:ind w:firstLine="420" w:firstLineChars="200"/>
    </w:pPr>
  </w:style>
  <w:style w:type="paragraph" w:customStyle="1" w:styleId="20">
    <w:name w:val="正文-公1"/>
    <w:basedOn w:val="1"/>
    <w:next w:val="1"/>
    <w:qFormat/>
    <w:uiPriority w:val="0"/>
    <w:pPr>
      <w:widowControl w:val="0"/>
      <w:ind w:firstLine="200" w:firstLineChars="200"/>
      <w:jc w:val="both"/>
    </w:pPr>
    <w:rPr>
      <w:rFonts w:hint="default" w:ascii="Times New Roman" w:hAnsi="Times New Roman"/>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9666</Words>
  <Characters>12175</Characters>
  <Lines>101</Lines>
  <Paragraphs>28</Paragraphs>
  <TotalTime>0</TotalTime>
  <ScaleCrop>false</ScaleCrop>
  <LinksUpToDate>false</LinksUpToDate>
  <CharactersWithSpaces>13194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victini</cp:lastModifiedBy>
  <dcterms:modified xsi:type="dcterms:W3CDTF">2025-09-15T07:24:29Z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eyJoZGlkIjoiOWY0N2FiMGFhNWZhZTNhM2NlMjg3ZmVhMzVlNWU3MDgiLCJ1c2VySWQiOiIzMTI1NTk3NDAifQ==</vt:lpwstr>
  </property>
</Properties>
</file>