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C6253">
      <w:pPr>
        <w:keepNext w:val="0"/>
        <w:keepLines w:val="0"/>
        <w:pageBreakBefore w:val="0"/>
        <w:widowControl w:val="0"/>
        <w:kinsoku/>
        <w:wordWrap/>
        <w:overflowPunct/>
        <w:topLinePunct w:val="0"/>
        <w:autoSpaceDE/>
        <w:autoSpaceDN/>
        <w:bidi w:val="0"/>
        <w:adjustRightInd/>
        <w:spacing w:beforeAutospacing="0" w:afterAutospacing="0" w:line="616" w:lineRule="exact"/>
        <w:ind w:left="0" w:leftChars="0"/>
        <w:jc w:val="center"/>
        <w:textAlignment w:val="auto"/>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color w:val="auto"/>
          <w:sz w:val="44"/>
          <w:szCs w:val="44"/>
        </w:rPr>
        <w:t>丰都县融媒体中心</w:t>
      </w:r>
    </w:p>
    <w:p w14:paraId="46C9FC91">
      <w:pPr>
        <w:keepNext w:val="0"/>
        <w:keepLines w:val="0"/>
        <w:pageBreakBefore w:val="0"/>
        <w:widowControl w:val="0"/>
        <w:kinsoku/>
        <w:wordWrap/>
        <w:overflowPunct/>
        <w:topLinePunct w:val="0"/>
        <w:autoSpaceDE/>
        <w:autoSpaceDN/>
        <w:bidi w:val="0"/>
        <w:adjustRightInd/>
        <w:spacing w:beforeAutospacing="0" w:afterAutospacing="0" w:line="616" w:lineRule="exact"/>
        <w:ind w:left="0" w:lef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202</w:t>
      </w:r>
      <w:r>
        <w:rPr>
          <w:rFonts w:hint="default" w:ascii="Times New Roman" w:hAnsi="Times New Roman" w:eastAsia="方正小标宋_GBK" w:cs="Times New Roman"/>
          <w:b w:val="0"/>
          <w:bCs w:val="0"/>
          <w:color w:val="auto"/>
          <w:sz w:val="44"/>
          <w:szCs w:val="44"/>
          <w:lang w:val="en-US" w:eastAsia="zh-CN"/>
        </w:rPr>
        <w:t>4</w:t>
      </w:r>
      <w:r>
        <w:rPr>
          <w:rFonts w:hint="default" w:ascii="Times New Roman" w:hAnsi="Times New Roman" w:eastAsia="方正小标宋_GBK" w:cs="Times New Roman"/>
          <w:b w:val="0"/>
          <w:bCs w:val="0"/>
          <w:color w:val="auto"/>
          <w:sz w:val="44"/>
          <w:szCs w:val="44"/>
        </w:rPr>
        <w:t>年度决算</w:t>
      </w:r>
      <w:r>
        <w:rPr>
          <w:rFonts w:hint="default" w:ascii="Times New Roman" w:hAnsi="Times New Roman" w:eastAsia="方正小标宋_GBK" w:cs="Times New Roman"/>
          <w:b w:val="0"/>
          <w:bCs w:val="0"/>
          <w:color w:val="auto"/>
          <w:sz w:val="44"/>
          <w:szCs w:val="44"/>
          <w:lang w:val="en-US" w:eastAsia="zh-CN"/>
        </w:rPr>
        <w:t>公开</w:t>
      </w:r>
      <w:r>
        <w:rPr>
          <w:rFonts w:hint="default" w:ascii="Times New Roman" w:hAnsi="Times New Roman" w:eastAsia="方正小标宋_GBK" w:cs="Times New Roman"/>
          <w:b w:val="0"/>
          <w:bCs w:val="0"/>
          <w:color w:val="auto"/>
          <w:sz w:val="44"/>
          <w:szCs w:val="44"/>
        </w:rPr>
        <w:t>说明</w:t>
      </w:r>
    </w:p>
    <w:p w14:paraId="22C64264">
      <w:pPr>
        <w:keepNext w:val="0"/>
        <w:keepLines w:val="0"/>
        <w:pageBreakBefore w:val="0"/>
        <w:widowControl w:val="0"/>
        <w:kinsoku/>
        <w:wordWrap/>
        <w:overflowPunct/>
        <w:topLinePunct w:val="0"/>
        <w:autoSpaceDE/>
        <w:autoSpaceDN/>
        <w:bidi w:val="0"/>
        <w:adjustRightInd/>
        <w:spacing w:beforeAutospacing="0" w:afterAutospacing="0" w:line="616" w:lineRule="exact"/>
        <w:ind w:left="0" w:leftChars="0"/>
        <w:jc w:val="center"/>
        <w:textAlignment w:val="auto"/>
        <w:rPr>
          <w:rFonts w:hint="default" w:ascii="Times New Roman" w:hAnsi="Times New Roman" w:eastAsia="方正小标宋_GBK" w:cs="Times New Roman"/>
          <w:b w:val="0"/>
          <w:bCs w:val="0"/>
          <w:color w:val="auto"/>
          <w:sz w:val="44"/>
          <w:szCs w:val="44"/>
        </w:rPr>
      </w:pPr>
    </w:p>
    <w:p w14:paraId="118C1F73">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一、</w:t>
      </w:r>
      <w:r>
        <w:rPr>
          <w:rStyle w:val="10"/>
          <w:rFonts w:hint="eastAsia" w:ascii="方正黑体_GBK" w:hAnsi="方正黑体_GBK" w:eastAsia="方正黑体_GBK" w:cs="方正黑体_GBK"/>
          <w:b w:val="0"/>
          <w:bCs w:val="0"/>
          <w:sz w:val="32"/>
          <w:szCs w:val="32"/>
          <w:shd w:val="clear" w:color="auto" w:fill="FFFFFF"/>
          <w:lang w:val="en-US" w:eastAsia="zh-CN"/>
        </w:rPr>
        <w:t>部门</w:t>
      </w:r>
      <w:r>
        <w:rPr>
          <w:rStyle w:val="10"/>
          <w:rFonts w:hint="eastAsia" w:ascii="方正黑体_GBK" w:hAnsi="方正黑体_GBK" w:eastAsia="方正黑体_GBK" w:cs="方正黑体_GBK"/>
          <w:b w:val="0"/>
          <w:bCs w:val="0"/>
          <w:sz w:val="32"/>
          <w:szCs w:val="32"/>
          <w:shd w:val="clear" w:color="auto" w:fill="FFFFFF"/>
        </w:rPr>
        <w:t>基本情况</w:t>
      </w:r>
    </w:p>
    <w:p w14:paraId="4418C404">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（一）职能职责</w:t>
      </w:r>
    </w:p>
    <w:p w14:paraId="64D99774">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丰都县融媒体中心宗旨是：宣传政策，展示成就，报道民生，舆论监督。主要职责是：在县委领导下，做好党的新闻舆论工作，巩固壮大宣传思想文化阵地，维护意识形态安全，构建现代传播体系，提高新闻舆论传播力、引导力、影响力、公信力。</w:t>
      </w:r>
    </w:p>
    <w:p w14:paraId="18810D5E">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（二）机构设置</w:t>
      </w:r>
      <w:bookmarkStart w:id="0" w:name="_GoBack"/>
      <w:bookmarkEnd w:id="0"/>
    </w:p>
    <w:p w14:paraId="6C560FFE">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Fonts w:hint="default" w:ascii="Times New Roman" w:hAnsi="Times New Roman" w:eastAsia="方正仿宋_GBK" w:cs="Times New Roman"/>
          <w:b w:val="0"/>
          <w:bCs w:val="0"/>
          <w:color w:val="333333"/>
          <w:kern w:val="0"/>
          <w:sz w:val="32"/>
          <w:szCs w:val="32"/>
        </w:rPr>
      </w:pPr>
      <w:r>
        <w:rPr>
          <w:rFonts w:hint="default" w:ascii="Times New Roman" w:hAnsi="Times New Roman" w:eastAsia="方正仿宋_GBK" w:cs="Times New Roman"/>
          <w:b w:val="0"/>
          <w:bCs w:val="0"/>
          <w:color w:val="333333"/>
          <w:kern w:val="0"/>
          <w:sz w:val="32"/>
          <w:szCs w:val="32"/>
        </w:rPr>
        <w:t>本</w:t>
      </w:r>
      <w:r>
        <w:rPr>
          <w:rFonts w:hint="default" w:ascii="Times New Roman" w:hAnsi="Times New Roman" w:eastAsia="方正仿宋_GBK" w:cs="Times New Roman"/>
          <w:b w:val="0"/>
          <w:bCs w:val="0"/>
          <w:color w:val="333333"/>
          <w:kern w:val="0"/>
          <w:sz w:val="32"/>
          <w:szCs w:val="32"/>
          <w:lang w:eastAsia="zh-CN"/>
        </w:rPr>
        <w:t>部门</w:t>
      </w:r>
      <w:r>
        <w:rPr>
          <w:rFonts w:hint="default" w:ascii="Times New Roman" w:hAnsi="Times New Roman" w:eastAsia="方正仿宋_GBK" w:cs="Times New Roman"/>
          <w:b w:val="0"/>
          <w:bCs w:val="0"/>
          <w:color w:val="333333"/>
          <w:kern w:val="0"/>
          <w:sz w:val="32"/>
          <w:szCs w:val="32"/>
        </w:rPr>
        <w:t>内设八个职能科室，分别为综合科、总编室、新闻采访科、移动传媒科、报媒编排科、广播电视科、技术保障科及栏目专题科。</w:t>
      </w:r>
    </w:p>
    <w:p w14:paraId="784F5ACA">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方正黑体_GBK" w:hAnsi="方正黑体_GBK" w:eastAsia="方正黑体_GBK" w:cs="方正黑体_GBK"/>
          <w:b w:val="0"/>
          <w:bCs w:val="0"/>
          <w:sz w:val="32"/>
          <w:szCs w:val="32"/>
          <w:shd w:val="clear" w:color="auto" w:fill="FFFFFF"/>
        </w:rPr>
      </w:pPr>
      <w:r>
        <w:rPr>
          <w:rStyle w:val="10"/>
          <w:rFonts w:hint="default" w:ascii="方正黑体_GBK" w:hAnsi="方正黑体_GBK" w:eastAsia="方正黑体_GBK" w:cs="方正黑体_GBK"/>
          <w:b w:val="0"/>
          <w:bCs w:val="0"/>
          <w:sz w:val="32"/>
          <w:szCs w:val="32"/>
          <w:shd w:val="clear" w:color="auto" w:fill="FFFFFF"/>
        </w:rPr>
        <w:t>二、</w:t>
      </w:r>
      <w:r>
        <w:rPr>
          <w:rStyle w:val="10"/>
          <w:rFonts w:hint="default" w:ascii="方正黑体_GBK" w:hAnsi="方正黑体_GBK" w:eastAsia="方正黑体_GBK" w:cs="方正黑体_GBK"/>
          <w:b w:val="0"/>
          <w:bCs w:val="0"/>
          <w:sz w:val="32"/>
          <w:szCs w:val="32"/>
          <w:shd w:val="clear" w:color="auto" w:fill="FFFFFF"/>
          <w:lang w:val="en-US" w:eastAsia="zh-CN"/>
        </w:rPr>
        <w:t>部门</w:t>
      </w:r>
      <w:r>
        <w:rPr>
          <w:rStyle w:val="10"/>
          <w:rFonts w:hint="default" w:ascii="方正黑体_GBK" w:hAnsi="方正黑体_GBK" w:eastAsia="方正黑体_GBK" w:cs="方正黑体_GBK"/>
          <w:b w:val="0"/>
          <w:bCs w:val="0"/>
          <w:sz w:val="32"/>
          <w:szCs w:val="32"/>
          <w:shd w:val="clear" w:color="auto" w:fill="FFFFFF"/>
        </w:rPr>
        <w:t>决算</w:t>
      </w:r>
      <w:r>
        <w:rPr>
          <w:rStyle w:val="10"/>
          <w:rFonts w:hint="default" w:ascii="方正黑体_GBK" w:hAnsi="方正黑体_GBK" w:eastAsia="方正黑体_GBK" w:cs="方正黑体_GBK"/>
          <w:b w:val="0"/>
          <w:bCs w:val="0"/>
          <w:sz w:val="32"/>
          <w:szCs w:val="32"/>
          <w:shd w:val="clear" w:color="auto" w:fill="FFFFFF"/>
          <w:lang w:eastAsia="zh-CN"/>
        </w:rPr>
        <w:t>收支</w:t>
      </w:r>
      <w:r>
        <w:rPr>
          <w:rStyle w:val="10"/>
          <w:rFonts w:hint="default" w:ascii="方正黑体_GBK" w:hAnsi="方正黑体_GBK" w:eastAsia="方正黑体_GBK" w:cs="方正黑体_GBK"/>
          <w:b w:val="0"/>
          <w:bCs w:val="0"/>
          <w:sz w:val="32"/>
          <w:szCs w:val="32"/>
          <w:shd w:val="clear" w:color="auto" w:fill="FFFFFF"/>
        </w:rPr>
        <w:t>情况说明</w:t>
      </w:r>
    </w:p>
    <w:p w14:paraId="67CDD1B0">
      <w:pPr>
        <w:pStyle w:val="11"/>
        <w:keepNext w:val="0"/>
        <w:keepLines w:val="0"/>
        <w:pageBreakBefore w:val="0"/>
        <w:widowControl/>
        <w:shd w:val="clear"/>
        <w:kinsoku/>
        <w:wordWrap/>
        <w:overflowPunct/>
        <w:topLinePunct w:val="0"/>
        <w:autoSpaceDE w:val="0"/>
        <w:autoSpaceDN/>
        <w:bidi w:val="0"/>
        <w:adjustRightInd/>
        <w:snapToGrid/>
        <w:spacing w:line="616"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（一）收入支出决算总体情况说明</w:t>
      </w:r>
    </w:p>
    <w:p w14:paraId="6CB071A7">
      <w:pPr>
        <w:pStyle w:val="6"/>
        <w:keepNext w:val="0"/>
        <w:keepLines w:val="0"/>
        <w:pageBreakBefore w:val="0"/>
        <w:shd w:val="clear"/>
        <w:kinsoku/>
        <w:wordWrap/>
        <w:overflowPunct/>
        <w:topLinePunct w:val="0"/>
        <w:autoSpaceDN/>
        <w:bidi w:val="0"/>
        <w:adjustRightInd/>
        <w:spacing w:before="0" w:beforeAutospacing="0" w:after="0" w:afterAutospacing="0" w:line="616"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方正仿宋_GBK" w:cs="Times New Roman"/>
          <w:b w:val="0"/>
          <w:bCs w:val="0"/>
          <w:sz w:val="32"/>
          <w:szCs w:val="32"/>
          <w:shd w:val="clear" w:color="auto" w:fill="FFFFFF"/>
        </w:rPr>
        <w:t>2024年度收</w:t>
      </w:r>
      <w:r>
        <w:rPr>
          <w:rFonts w:hint="default" w:ascii="Times New Roman" w:hAnsi="Times New Roman" w:eastAsia="方正仿宋_GBK" w:cs="Times New Roman"/>
          <w:b w:val="0"/>
          <w:bCs w:val="0"/>
          <w:sz w:val="32"/>
          <w:szCs w:val="32"/>
          <w:shd w:val="clear" w:color="auto" w:fill="FFFFFF"/>
          <w:lang w:eastAsia="zh-CN"/>
        </w:rPr>
        <w:t>、支</w:t>
      </w:r>
      <w:r>
        <w:rPr>
          <w:rFonts w:hint="default" w:ascii="Times New Roman" w:hAnsi="Times New Roman" w:eastAsia="方正仿宋_GBK" w:cs="Times New Roman"/>
          <w:b w:val="0"/>
          <w:bCs w:val="0"/>
          <w:sz w:val="32"/>
          <w:szCs w:val="32"/>
          <w:shd w:val="clear" w:color="auto" w:fill="FFFFFF"/>
        </w:rPr>
        <w:t>总计</w:t>
      </w:r>
      <w:r>
        <w:rPr>
          <w:rFonts w:hint="default" w:ascii="Times New Roman" w:hAnsi="Times New Roman" w:eastAsia="方正仿宋_GBK" w:cs="Times New Roman"/>
          <w:b w:val="0"/>
          <w:bCs w:val="0"/>
          <w:sz w:val="32"/>
          <w:szCs w:val="32"/>
          <w:shd w:val="clear" w:color="auto" w:fill="FFFFFF"/>
          <w:lang w:eastAsia="zh-CN"/>
        </w:rPr>
        <w:t>均为</w:t>
      </w:r>
      <w:r>
        <w:rPr>
          <w:rFonts w:hint="default" w:ascii="Times New Roman" w:hAnsi="Times New Roman" w:eastAsia="方正仿宋_GBK" w:cs="Times New Roman"/>
          <w:b w:val="0"/>
          <w:bCs w:val="0"/>
          <w:sz w:val="32"/>
          <w:szCs w:val="32"/>
          <w:shd w:val="clear" w:color="auto" w:fill="FFFFFF"/>
        </w:rPr>
        <w:t>1909.00万元。收、支与2023年度相比，减少412.68万元，下降17.8%，</w:t>
      </w:r>
      <w:r>
        <w:rPr>
          <w:rFonts w:hint="default" w:ascii="Times New Roman" w:hAnsi="Times New Roman" w:eastAsia="方正仿宋_GBK" w:cs="Times New Roman"/>
          <w:b w:val="0"/>
          <w:bCs w:val="0"/>
          <w:sz w:val="32"/>
          <w:szCs w:val="32"/>
          <w:lang w:val="en-US" w:eastAsia="zh-CN"/>
        </w:rPr>
        <w:t>主要原因是根据财政统一安排，2023项目资金为统筹返还，</w:t>
      </w:r>
      <w:r>
        <w:rPr>
          <w:rFonts w:hint="default" w:ascii="Times New Roman" w:hAnsi="Times New Roman" w:eastAsia="仿宋_GB2312" w:cs="Times New Roman"/>
          <w:b w:val="0"/>
          <w:bCs w:val="0"/>
          <w:color w:val="000000"/>
          <w:sz w:val="32"/>
          <w:szCs w:val="32"/>
          <w:lang w:val="en-US" w:eastAsia="zh-CN"/>
        </w:rPr>
        <w:t>项目收入安排存量资金居多，今年主要为当年预算，所以本年度支出减少。</w:t>
      </w:r>
    </w:p>
    <w:p w14:paraId="13E614D0">
      <w:pPr>
        <w:pStyle w:val="6"/>
        <w:keepNext w:val="0"/>
        <w:keepLines w:val="0"/>
        <w:pageBreakBefore w:val="0"/>
        <w:shd w:val="clear"/>
        <w:kinsoku/>
        <w:wordWrap/>
        <w:overflowPunct/>
        <w:topLinePunct w:val="0"/>
        <w:autoSpaceDN/>
        <w:bidi w:val="0"/>
        <w:adjustRightInd/>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lang w:val="en-US" w:eastAsia="zh-CN"/>
        </w:rPr>
        <w:t>1</w:t>
      </w:r>
      <w:r>
        <w:rPr>
          <w:rStyle w:val="10"/>
          <w:rFonts w:hint="default" w:ascii="Times New Roman" w:hAnsi="Times New Roman" w:eastAsia="方正仿宋_GBK" w:cs="Times New Roman"/>
          <w:b w:val="0"/>
          <w:bCs w:val="0"/>
          <w:sz w:val="32"/>
          <w:szCs w:val="32"/>
          <w:shd w:val="clear" w:color="auto" w:fill="FFFFFF"/>
        </w:rPr>
        <w:t>.收入情况。</w:t>
      </w:r>
      <w:r>
        <w:rPr>
          <w:rFonts w:hint="default" w:ascii="Times New Roman" w:hAnsi="Times New Roman" w:eastAsia="方正仿宋_GBK" w:cs="Times New Roman"/>
          <w:b w:val="0"/>
          <w:bCs w:val="0"/>
          <w:sz w:val="32"/>
          <w:szCs w:val="32"/>
          <w:shd w:val="clear" w:color="auto" w:fill="FFFFFF"/>
        </w:rPr>
        <w:t>2024年度收入合计1907.66万元，与2023年度相比，增加296.84万元，增长18.4%，</w:t>
      </w:r>
      <w:r>
        <w:rPr>
          <w:rFonts w:hint="default" w:ascii="Times New Roman" w:hAnsi="Times New Roman" w:eastAsia="方正仿宋_GBK" w:cs="Times New Roman"/>
          <w:b w:val="0"/>
          <w:bCs w:val="0"/>
          <w:sz w:val="32"/>
          <w:szCs w:val="32"/>
        </w:rPr>
        <w:t>主要原因是</w:t>
      </w:r>
      <w:r>
        <w:rPr>
          <w:rFonts w:hint="default" w:ascii="Times New Roman" w:hAnsi="Times New Roman" w:eastAsia="方正仿宋_GBK" w:cs="Times New Roman"/>
          <w:b w:val="0"/>
          <w:bCs w:val="0"/>
          <w:sz w:val="32"/>
          <w:szCs w:val="32"/>
          <w:lang w:val="en-US" w:eastAsia="zh-CN"/>
        </w:rPr>
        <w:t>本部门今年项目收入增加，去年项目收入为存量资金居多，未列入当年收入预算。</w:t>
      </w:r>
      <w:r>
        <w:rPr>
          <w:rFonts w:hint="default" w:ascii="Times New Roman" w:hAnsi="Times New Roman" w:eastAsia="方正仿宋_GBK" w:cs="Times New Roman"/>
          <w:b w:val="0"/>
          <w:bCs w:val="0"/>
          <w:sz w:val="32"/>
          <w:szCs w:val="32"/>
          <w:shd w:val="clear" w:color="auto" w:fill="FFFFFF"/>
        </w:rPr>
        <w:t>其中：财政拨款收入1907.66万元，占100.0%；事业收入0.00万元，占0.0%；经营收入0.00万元，占0.0%；其他收入0.00万元，占0.0%。此外，使用非财政拨款结余（含专用结余）0.00万元，年初结转和结余1.34万元。</w:t>
      </w:r>
    </w:p>
    <w:p w14:paraId="55604FA5">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lang w:val="en-US" w:eastAsia="zh-CN"/>
        </w:rPr>
        <w:t>2</w:t>
      </w:r>
      <w:r>
        <w:rPr>
          <w:rStyle w:val="10"/>
          <w:rFonts w:hint="default" w:ascii="Times New Roman" w:hAnsi="Times New Roman" w:eastAsia="方正仿宋_GBK" w:cs="Times New Roman"/>
          <w:b w:val="0"/>
          <w:bCs w:val="0"/>
          <w:sz w:val="32"/>
          <w:szCs w:val="32"/>
          <w:shd w:val="clear" w:color="auto" w:fill="FFFFFF"/>
        </w:rPr>
        <w:t>.支出情况。</w:t>
      </w:r>
      <w:r>
        <w:rPr>
          <w:rFonts w:hint="default" w:ascii="Times New Roman" w:hAnsi="Times New Roman" w:eastAsia="方正仿宋_GBK" w:cs="Times New Roman"/>
          <w:b w:val="0"/>
          <w:bCs w:val="0"/>
          <w:sz w:val="32"/>
          <w:szCs w:val="32"/>
          <w:shd w:val="clear" w:color="auto" w:fill="FFFFFF"/>
        </w:rPr>
        <w:t>2024年度支出合计1909.00万元，与2023年度相比，减少412.68万元，下降17.8%，</w:t>
      </w:r>
      <w:r>
        <w:rPr>
          <w:rFonts w:hint="default" w:ascii="Times New Roman" w:hAnsi="Times New Roman" w:eastAsia="方正仿宋_GBK" w:cs="Times New Roman"/>
          <w:b w:val="0"/>
          <w:bCs w:val="0"/>
          <w:sz w:val="32"/>
          <w:szCs w:val="32"/>
          <w:lang w:val="en-US" w:eastAsia="zh-CN"/>
        </w:rPr>
        <w:t>主要原因是根据财政统一安排，2023项目资金为统筹返还，未列入当年收入但列入了当年预算支出，和上年度比，本年度项目资金支出减少。</w:t>
      </w:r>
      <w:r>
        <w:rPr>
          <w:rFonts w:hint="default" w:ascii="Times New Roman" w:hAnsi="Times New Roman" w:eastAsia="方正仿宋_GBK" w:cs="Times New Roman"/>
          <w:b w:val="0"/>
          <w:bCs w:val="0"/>
          <w:sz w:val="32"/>
          <w:szCs w:val="32"/>
          <w:shd w:val="clear" w:color="auto" w:fill="FFFFFF"/>
        </w:rPr>
        <w:t>其中：基本支出1613.90万元，占84.5%；项目支出295.10万元，占15.5%；经营支出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万元，占0.0%。此外，结余分配0.00万元。</w:t>
      </w:r>
    </w:p>
    <w:p w14:paraId="1B07532C">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Style w:val="10"/>
          <w:rFonts w:hint="default" w:ascii="Times New Roman" w:hAnsi="Times New Roman" w:eastAsia="方正仿宋_GBK" w:cs="Times New Roman"/>
          <w:b w:val="0"/>
          <w:bCs w:val="0"/>
          <w:sz w:val="32"/>
          <w:szCs w:val="32"/>
          <w:shd w:val="clear" w:color="auto" w:fill="FFFFFF"/>
          <w:lang w:val="en-US" w:eastAsia="zh-CN"/>
        </w:rPr>
        <w:t>3</w:t>
      </w:r>
      <w:r>
        <w:rPr>
          <w:rStyle w:val="10"/>
          <w:rFonts w:hint="default" w:ascii="Times New Roman" w:hAnsi="Times New Roman" w:eastAsia="方正仿宋_GBK" w:cs="Times New Roman"/>
          <w:b w:val="0"/>
          <w:bCs w:val="0"/>
          <w:sz w:val="32"/>
          <w:szCs w:val="32"/>
          <w:shd w:val="clear" w:color="auto" w:fill="FFFFFF"/>
        </w:rPr>
        <w:t>.结转结余情况。</w:t>
      </w:r>
      <w:r>
        <w:rPr>
          <w:rFonts w:hint="default" w:ascii="Times New Roman" w:hAnsi="Times New Roman" w:eastAsia="方正仿宋_GBK" w:cs="Times New Roman"/>
          <w:b w:val="0"/>
          <w:bCs w:val="0"/>
          <w:sz w:val="32"/>
          <w:szCs w:val="32"/>
          <w:shd w:val="clear" w:color="auto" w:fill="FFFFFF"/>
        </w:rPr>
        <w:t>2024年度年末结转和结余0.00万元，</w:t>
      </w:r>
      <w:r>
        <w:rPr>
          <w:rFonts w:hint="default" w:ascii="Times New Roman" w:hAnsi="Times New Roman" w:eastAsia="方正仿宋_GBK" w:cs="Times New Roman"/>
          <w:b w:val="0"/>
          <w:bCs w:val="0"/>
          <w:sz w:val="32"/>
          <w:szCs w:val="32"/>
        </w:rPr>
        <w:t>与上年决算数持平</w:t>
      </w:r>
      <w:r>
        <w:rPr>
          <w:rFonts w:hint="default" w:ascii="Times New Roman" w:hAnsi="Times New Roman" w:eastAsia="方正仿宋_GBK" w:cs="Times New Roman"/>
          <w:b w:val="0"/>
          <w:bCs w:val="0"/>
          <w:sz w:val="32"/>
          <w:szCs w:val="32"/>
          <w:shd w:val="clear" w:color="auto" w:fill="FFFFFF"/>
          <w:lang w:eastAsia="zh-CN"/>
        </w:rPr>
        <w:t>。</w:t>
      </w:r>
    </w:p>
    <w:p w14:paraId="79F073D8">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（二）财政拨款收入支出决算总体情况说明</w:t>
      </w:r>
    </w:p>
    <w:p w14:paraId="5F1B3F0E">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2024年度财政拨款收、支总计均为1909.00万元。与2023年</w:t>
      </w:r>
      <w:r>
        <w:rPr>
          <w:rFonts w:hint="default" w:ascii="Times New Roman" w:hAnsi="Times New Roman" w:eastAsia="方正仿宋_GBK" w:cs="Times New Roman"/>
          <w:b w:val="0"/>
          <w:bCs w:val="0"/>
          <w:sz w:val="32"/>
          <w:szCs w:val="32"/>
          <w:shd w:val="clear" w:color="auto" w:fill="FFFFFF"/>
          <w:lang w:eastAsia="zh-CN"/>
        </w:rPr>
        <w:t>度</w:t>
      </w:r>
      <w:r>
        <w:rPr>
          <w:rFonts w:hint="default" w:ascii="Times New Roman" w:hAnsi="Times New Roman" w:eastAsia="方正仿宋_GBK" w:cs="Times New Roman"/>
          <w:b w:val="0"/>
          <w:bCs w:val="0"/>
          <w:sz w:val="32"/>
          <w:szCs w:val="32"/>
          <w:shd w:val="clear" w:color="auto" w:fill="FFFFFF"/>
        </w:rPr>
        <w:t>相比，财政拨款收、支总计各减少412.68万元，下降17.8%。主要原因是</w:t>
      </w:r>
      <w:r>
        <w:rPr>
          <w:rFonts w:hint="default" w:ascii="Times New Roman" w:hAnsi="Times New Roman" w:eastAsia="方正仿宋_GBK" w:cs="Times New Roman"/>
          <w:b w:val="0"/>
          <w:bCs w:val="0"/>
          <w:sz w:val="32"/>
          <w:szCs w:val="32"/>
          <w:shd w:val="clear" w:color="auto" w:fill="FFFFFF"/>
          <w:lang w:val="en-US" w:eastAsia="zh-CN"/>
        </w:rPr>
        <w:t>上年度项目收入安排存量资金居多，今年主要为当年预算，所以本年度支出减少。</w:t>
      </w:r>
    </w:p>
    <w:p w14:paraId="62554638">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（三）一般公共预算财政拨款收入支出决算情况说明</w:t>
      </w:r>
    </w:p>
    <w:p w14:paraId="37EDFDC8">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2024年度一般公共预算财政拨款收入1907.66万元，与2023年度相比，增加296.84万元，增长18.4%。</w:t>
      </w:r>
      <w:r>
        <w:rPr>
          <w:rFonts w:hint="default" w:ascii="Times New Roman" w:hAnsi="Times New Roman" w:eastAsia="方正仿宋_GBK" w:cs="Times New Roman"/>
          <w:b w:val="0"/>
          <w:bCs w:val="0"/>
          <w:sz w:val="32"/>
          <w:szCs w:val="32"/>
        </w:rPr>
        <w:t>主要原因是</w:t>
      </w:r>
      <w:r>
        <w:rPr>
          <w:rFonts w:hint="default" w:ascii="Times New Roman" w:hAnsi="Times New Roman" w:eastAsia="方正仿宋_GBK" w:cs="Times New Roman"/>
          <w:b w:val="0"/>
          <w:bCs w:val="0"/>
          <w:sz w:val="32"/>
          <w:szCs w:val="32"/>
          <w:lang w:val="en-US" w:eastAsia="zh-CN"/>
        </w:rPr>
        <w:t>本部门今年项目收入增加，去年项目收入为存量资金。</w:t>
      </w:r>
      <w:r>
        <w:rPr>
          <w:rFonts w:hint="default" w:ascii="Times New Roman" w:hAnsi="Times New Roman" w:eastAsia="方正仿宋_GBK" w:cs="Times New Roman"/>
          <w:b w:val="0"/>
          <w:bCs w:val="0"/>
          <w:sz w:val="32"/>
          <w:szCs w:val="32"/>
          <w:shd w:val="clear" w:color="auto" w:fill="FFFFFF"/>
        </w:rPr>
        <w:t>较年初预算数增加430.18万元，增长29.1%。主要原因</w:t>
      </w:r>
      <w:r>
        <w:rPr>
          <w:rFonts w:hint="default" w:ascii="Times New Roman" w:hAnsi="Times New Roman" w:eastAsia="方正仿宋_GBK" w:cs="Times New Roman"/>
          <w:b w:val="0"/>
          <w:bCs w:val="0"/>
          <w:sz w:val="32"/>
          <w:szCs w:val="32"/>
        </w:rPr>
        <w:t>是</w:t>
      </w:r>
      <w:r>
        <w:rPr>
          <w:rFonts w:hint="default" w:ascii="Times New Roman" w:hAnsi="Times New Roman" w:eastAsia="方正仿宋_GBK" w:cs="Times New Roman"/>
          <w:b w:val="0"/>
          <w:bCs w:val="0"/>
          <w:sz w:val="32"/>
          <w:szCs w:val="32"/>
          <w:lang w:val="en-US" w:eastAsia="zh-CN"/>
        </w:rPr>
        <w:t>本部门今年项目收入增加，去年项目收入为存量资金；另外，本年度增加调入2人，公招1人，人员支出与公用经费均增加。</w:t>
      </w:r>
      <w:r>
        <w:rPr>
          <w:rFonts w:hint="default" w:ascii="Times New Roman" w:hAnsi="Times New Roman" w:eastAsia="方正仿宋_GBK" w:cs="Times New Roman"/>
          <w:b w:val="0"/>
          <w:bCs w:val="0"/>
          <w:sz w:val="32"/>
          <w:szCs w:val="32"/>
          <w:shd w:val="clear" w:color="auto" w:fill="FFFFFF"/>
        </w:rPr>
        <w:t>此外，年初财政拨款结转和结余1.34万元。</w:t>
      </w:r>
    </w:p>
    <w:p w14:paraId="06F0D7B5">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color w:val="FF000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2024年度一般公共预算财政拨款支出1909.00万元，与2023年度相比，减少412.68万元，下降17.8%。主要原因是</w:t>
      </w:r>
      <w:r>
        <w:rPr>
          <w:rFonts w:hint="default" w:ascii="Times New Roman" w:hAnsi="Times New Roman" w:eastAsia="方正仿宋_GBK" w:cs="Times New Roman"/>
          <w:b w:val="0"/>
          <w:bCs w:val="0"/>
          <w:sz w:val="32"/>
          <w:szCs w:val="32"/>
          <w:shd w:val="clear" w:color="auto" w:fill="FFFFFF"/>
          <w:lang w:val="en-US" w:eastAsia="zh-CN"/>
        </w:rPr>
        <w:t>上年度项目收入安排存量资金居多，今年主要为当年预算，所以本年度支出减少。</w:t>
      </w:r>
      <w:r>
        <w:rPr>
          <w:rFonts w:hint="default" w:ascii="Times New Roman" w:hAnsi="Times New Roman" w:eastAsia="方正仿宋_GBK" w:cs="Times New Roman"/>
          <w:b w:val="0"/>
          <w:bCs w:val="0"/>
          <w:sz w:val="32"/>
          <w:szCs w:val="32"/>
          <w:shd w:val="clear" w:color="auto" w:fill="FFFFFF"/>
        </w:rPr>
        <w:t>较年初预算数增加431.52万元，增长29.2%。主要原因是</w:t>
      </w:r>
      <w:r>
        <w:rPr>
          <w:rFonts w:hint="default" w:ascii="Times New Roman" w:hAnsi="Times New Roman" w:eastAsia="方正仿宋_GBK" w:cs="Times New Roman"/>
          <w:b w:val="0"/>
          <w:bCs w:val="0"/>
          <w:sz w:val="32"/>
          <w:szCs w:val="32"/>
          <w:lang w:val="en-US" w:eastAsia="zh-CN"/>
        </w:rPr>
        <w:t>今年项目收入增加，去年项目收入为存量资金；另外，本年度增加调入2人，公招1人，人员支出与公用经费均增加。</w:t>
      </w:r>
    </w:p>
    <w:p w14:paraId="221CE0A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方正仿宋_GBK" w:cs="Times New Roman"/>
          <w:b w:val="0"/>
          <w:bCs w:val="0"/>
          <w:sz w:val="32"/>
          <w:szCs w:val="32"/>
          <w:highlight w:val="none"/>
          <w:shd w:val="clear" w:color="auto" w:fill="FFFFFF"/>
        </w:rPr>
        <w:t>一般公共预算财政拨款支出主要</w:t>
      </w:r>
      <w:r>
        <w:rPr>
          <w:rFonts w:hint="default" w:ascii="Times New Roman" w:hAnsi="Times New Roman" w:eastAsia="方正仿宋_GBK" w:cs="Times New Roman"/>
          <w:b w:val="0"/>
          <w:bCs w:val="0"/>
          <w:sz w:val="32"/>
          <w:szCs w:val="32"/>
          <w:highlight w:val="none"/>
          <w:shd w:val="clear" w:color="auto" w:fill="FFFFFF"/>
          <w:lang w:eastAsia="zh-CN"/>
        </w:rPr>
        <w:t>用途如下</w:t>
      </w:r>
      <w:r>
        <w:rPr>
          <w:rFonts w:hint="default" w:ascii="Times New Roman" w:hAnsi="Times New Roman" w:eastAsia="方正仿宋_GBK" w:cs="Times New Roman"/>
          <w:b w:val="0"/>
          <w:bCs w:val="0"/>
          <w:sz w:val="32"/>
          <w:szCs w:val="32"/>
          <w:highlight w:val="none"/>
          <w:shd w:val="clear" w:color="auto" w:fill="FFFFFF"/>
        </w:rPr>
        <w:t>：</w:t>
      </w:r>
    </w:p>
    <w:p w14:paraId="52441685">
      <w:pPr>
        <w:keepNext w:val="0"/>
        <w:keepLines w:val="0"/>
        <w:pageBreakBefore w:val="0"/>
        <w:numPr>
          <w:ilvl w:val="0"/>
          <w:numId w:val="0"/>
        </w:numPr>
        <w:kinsoku/>
        <w:wordWrap/>
        <w:overflowPunct/>
        <w:topLinePunct w:val="0"/>
        <w:autoSpaceDN/>
        <w:bidi w:val="0"/>
        <w:adjustRightInd/>
        <w:spacing w:line="616" w:lineRule="exact"/>
        <w:ind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（1）文化旅游体育与传媒支出1577.92万元，占比82.71%，较年初预算数增加379.12万元，增加31.62%，主要原因是</w:t>
      </w:r>
      <w:r>
        <w:rPr>
          <w:rFonts w:hint="default" w:ascii="Times New Roman" w:hAnsi="Times New Roman" w:eastAsia="方正仿宋_GBK" w:cs="Times New Roman"/>
          <w:b w:val="0"/>
          <w:bCs w:val="0"/>
          <w:sz w:val="32"/>
          <w:szCs w:val="32"/>
          <w:lang w:val="en-US" w:eastAsia="zh-CN"/>
        </w:rPr>
        <w:t>本年度本部门调入2人，公招1人，偿还以前年度项目资金200余万元。</w:t>
      </w:r>
    </w:p>
    <w:p w14:paraId="52DA8E44">
      <w:pPr>
        <w:keepNext w:val="0"/>
        <w:keepLines w:val="0"/>
        <w:pageBreakBefore w:val="0"/>
        <w:numPr>
          <w:ilvl w:val="0"/>
          <w:numId w:val="0"/>
        </w:numPr>
        <w:kinsoku/>
        <w:wordWrap/>
        <w:overflowPunct/>
        <w:topLinePunct w:val="0"/>
        <w:autoSpaceDN/>
        <w:bidi w:val="0"/>
        <w:adjustRightInd/>
        <w:spacing w:line="616" w:lineRule="exact"/>
        <w:ind w:left="0" w:lef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（2）社会保障与就业支出229.92万元，占比12.05%，较年初预算数增加50.95万元，增长28.47%，主要原因是养老保险职业年金基数调整增加，补缴了2024年度职业年金与养老保险调整基数部分。</w:t>
      </w:r>
    </w:p>
    <w:p w14:paraId="719243A7">
      <w:pPr>
        <w:keepNext w:val="0"/>
        <w:keepLines w:val="0"/>
        <w:pageBreakBefore w:val="0"/>
        <w:numPr>
          <w:ilvl w:val="0"/>
          <w:numId w:val="0"/>
        </w:numPr>
        <w:kinsoku/>
        <w:wordWrap/>
        <w:overflowPunct/>
        <w:topLinePunct w:val="0"/>
        <w:autoSpaceDN/>
        <w:bidi w:val="0"/>
        <w:adjustRightInd/>
        <w:spacing w:line="616" w:lineRule="exact"/>
        <w:ind w:left="0" w:lef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（3）卫生健康支出55.4万元，占比2.9%，较年初预算数增加0.67万元，增长1.22%，主要原因是人员增加，薪级工资增加导致计算基数增加。</w:t>
      </w:r>
    </w:p>
    <w:p w14:paraId="49B1316C">
      <w:pPr>
        <w:keepNext w:val="0"/>
        <w:keepLines w:val="0"/>
        <w:pageBreakBefore w:val="0"/>
        <w:kinsoku/>
        <w:wordWrap/>
        <w:overflowPunct/>
        <w:topLinePunct w:val="0"/>
        <w:autoSpaceDN/>
        <w:bidi w:val="0"/>
        <w:adjustRightInd/>
        <w:snapToGrid w:val="0"/>
        <w:spacing w:line="616"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方正仿宋_GBK" w:cs="Times New Roman"/>
          <w:b w:val="0"/>
          <w:bCs w:val="0"/>
          <w:kern w:val="2"/>
          <w:sz w:val="32"/>
          <w:szCs w:val="32"/>
          <w:lang w:val="en-US" w:eastAsia="zh-CN" w:bidi="ar-SA"/>
        </w:rPr>
        <w:t>（4）住房保障支出45.76万元，占比2.4%，较年初预算数减少0.78万元，增长1.73%，主要原因是人员增加，部门其他人员薪级工资增加导致公积金</w:t>
      </w:r>
      <w:r>
        <w:rPr>
          <w:rFonts w:hint="eastAsia" w:ascii="Times New Roman" w:hAnsi="Times New Roman" w:eastAsia="方正仿宋_GBK" w:cs="Times New Roman"/>
          <w:b w:val="0"/>
          <w:bCs w:val="0"/>
          <w:kern w:val="2"/>
          <w:sz w:val="32"/>
          <w:szCs w:val="32"/>
          <w:lang w:val="en-US" w:eastAsia="zh-CN" w:bidi="ar-SA"/>
        </w:rPr>
        <w:t>交</w:t>
      </w:r>
      <w:r>
        <w:rPr>
          <w:rFonts w:hint="default" w:ascii="Times New Roman" w:hAnsi="Times New Roman" w:eastAsia="方正仿宋_GBK" w:cs="Times New Roman"/>
          <w:b w:val="0"/>
          <w:bCs w:val="0"/>
          <w:kern w:val="2"/>
          <w:sz w:val="32"/>
          <w:szCs w:val="32"/>
          <w:lang w:val="en-US" w:eastAsia="zh-CN" w:bidi="ar-SA"/>
        </w:rPr>
        <w:t>纳基数增加。</w:t>
      </w:r>
    </w:p>
    <w:p w14:paraId="2E3EA2F5">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color w:val="FF0000"/>
          <w:sz w:val="32"/>
          <w:szCs w:val="32"/>
          <w:shd w:val="clear" w:color="auto" w:fill="FFFFFF"/>
          <w:lang w:eastAsia="zh-CN"/>
        </w:rPr>
      </w:pPr>
      <w:r>
        <w:rPr>
          <w:rStyle w:val="10"/>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2024年度年末一般公共预算财政拨款结转和结余0.00万元，</w:t>
      </w:r>
      <w:r>
        <w:rPr>
          <w:rFonts w:hint="default" w:ascii="Times New Roman" w:hAnsi="Times New Roman" w:eastAsia="方正仿宋_GBK" w:cs="Times New Roman"/>
          <w:b w:val="0"/>
          <w:bCs w:val="0"/>
          <w:sz w:val="32"/>
          <w:szCs w:val="32"/>
          <w:shd w:val="clear" w:color="auto" w:fill="FFFFFF"/>
          <w:lang w:val="en-US" w:eastAsia="zh-CN"/>
        </w:rPr>
        <w:t>与上年度持平</w:t>
      </w:r>
      <w:r>
        <w:rPr>
          <w:rFonts w:hint="default" w:ascii="Times New Roman" w:hAnsi="Times New Roman" w:eastAsia="方正仿宋_GBK" w:cs="Times New Roman"/>
          <w:b w:val="0"/>
          <w:bCs w:val="0"/>
          <w:sz w:val="32"/>
          <w:szCs w:val="32"/>
          <w:shd w:val="clear" w:color="auto" w:fill="FFFFFF"/>
          <w:lang w:eastAsia="zh-CN"/>
        </w:rPr>
        <w:t>。</w:t>
      </w:r>
    </w:p>
    <w:p w14:paraId="230F73C7">
      <w:pPr>
        <w:pStyle w:val="11"/>
        <w:keepNext w:val="0"/>
        <w:keepLines w:val="0"/>
        <w:pageBreakBefore w:val="0"/>
        <w:widowControl/>
        <w:kinsoku/>
        <w:wordWrap/>
        <w:overflowPunct/>
        <w:topLinePunct w:val="0"/>
        <w:autoSpaceDE w:val="0"/>
        <w:autoSpaceDN/>
        <w:bidi w:val="0"/>
        <w:adjustRightInd/>
        <w:snapToGrid/>
        <w:spacing w:line="616"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（四）一般公共预算财政拨款基本支出决算情况说明</w:t>
      </w:r>
    </w:p>
    <w:p w14:paraId="0F431B9C">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2024年度一般公共财政拨款基本支出1613.90万元。</w:t>
      </w:r>
    </w:p>
    <w:p w14:paraId="7425E90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16" w:lineRule="exact"/>
        <w:ind w:firstLine="0" w:firstLineChars="0"/>
        <w:jc w:val="both"/>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其中：</w:t>
      </w:r>
    </w:p>
    <w:p w14:paraId="37C6E281">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人员经费1471.99万元，与2023年度相比，增加49.27万元，增长3.5%，主要原因是</w:t>
      </w:r>
      <w:r>
        <w:rPr>
          <w:rFonts w:hint="default" w:ascii="Times New Roman" w:hAnsi="Times New Roman" w:eastAsia="方正仿宋_GBK" w:cs="Times New Roman"/>
          <w:b w:val="0"/>
          <w:bCs w:val="0"/>
          <w:sz w:val="32"/>
          <w:szCs w:val="32"/>
          <w:shd w:val="clear" w:color="auto" w:fill="FFFFFF"/>
          <w:lang w:val="en-US" w:eastAsia="zh-CN"/>
        </w:rPr>
        <w:t>补缴2024年养老保险以及职业年金部门部分，另外部门在职人员调入2人，新增1人。</w:t>
      </w:r>
    </w:p>
    <w:p w14:paraId="292FDC2D">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公用经费141.91万元，与2023年度相比，增加25.14万元，增长21.5%，主要原因</w:t>
      </w:r>
      <w:r>
        <w:rPr>
          <w:rFonts w:hint="default" w:ascii="Times New Roman" w:hAnsi="Times New Roman" w:eastAsia="方正仿宋_GBK" w:cs="Times New Roman"/>
          <w:b w:val="0"/>
          <w:bCs w:val="0"/>
          <w:sz w:val="32"/>
          <w:szCs w:val="32"/>
          <w:shd w:val="clear" w:color="auto" w:fill="FFFFFF"/>
          <w:lang w:val="en-US" w:eastAsia="zh-CN"/>
        </w:rPr>
        <w:t>是部门在职人员调入2人、新增1人。</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b w:val="0"/>
          <w:bCs w:val="0"/>
          <w:sz w:val="32"/>
          <w:szCs w:val="32"/>
          <w:shd w:val="clear" w:color="auto" w:fill="FFFFFF"/>
          <w:lang w:val="en-US" w:eastAsia="zh-CN"/>
        </w:rPr>
        <w:t>办公费、印刷费、会议费、培训费、劳务费等支出。</w:t>
      </w:r>
    </w:p>
    <w:p w14:paraId="1DDD56C1">
      <w:pPr>
        <w:pStyle w:val="11"/>
        <w:keepNext w:val="0"/>
        <w:keepLines w:val="0"/>
        <w:pageBreakBefore w:val="0"/>
        <w:widowControl/>
        <w:kinsoku/>
        <w:wordWrap/>
        <w:overflowPunct/>
        <w:topLinePunct w:val="0"/>
        <w:autoSpaceDE w:val="0"/>
        <w:autoSpaceDN/>
        <w:bidi w:val="0"/>
        <w:adjustRightInd/>
        <w:snapToGrid/>
        <w:spacing w:line="616"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（五）政府性基金预算收支决算情况说明</w:t>
      </w:r>
    </w:p>
    <w:p w14:paraId="40110430">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lang w:val="en-US" w:eastAsia="zh-CN"/>
        </w:rPr>
        <w:t>本部门</w:t>
      </w:r>
      <w:r>
        <w:rPr>
          <w:rFonts w:hint="default" w:ascii="Times New Roman" w:hAnsi="Times New Roman" w:eastAsia="方正仿宋_GBK" w:cs="Times New Roman"/>
          <w:b w:val="0"/>
          <w:bCs w:val="0"/>
          <w:sz w:val="32"/>
          <w:szCs w:val="32"/>
          <w:shd w:val="clear" w:color="auto" w:fill="FFFFFF"/>
        </w:rPr>
        <w:t>2024年度</w:t>
      </w:r>
      <w:r>
        <w:rPr>
          <w:rFonts w:hint="default" w:ascii="Times New Roman" w:hAnsi="Times New Roman" w:eastAsia="方正仿宋_GBK" w:cs="Times New Roman"/>
          <w:b w:val="0"/>
          <w:bCs w:val="0"/>
          <w:sz w:val="32"/>
          <w:szCs w:val="32"/>
          <w:shd w:val="clear" w:color="auto" w:fill="FFFFFF"/>
          <w:lang w:val="en-US" w:eastAsia="zh-CN"/>
        </w:rPr>
        <w:t>无</w:t>
      </w:r>
      <w:r>
        <w:rPr>
          <w:rFonts w:hint="default" w:ascii="Times New Roman" w:hAnsi="Times New Roman" w:eastAsia="方正仿宋_GBK" w:cs="Times New Roman"/>
          <w:b w:val="0"/>
          <w:bCs w:val="0"/>
          <w:sz w:val="32"/>
          <w:szCs w:val="32"/>
          <w:shd w:val="clear" w:color="auto" w:fill="FFFFFF"/>
        </w:rPr>
        <w:t>政府性基金预算财政拨款</w:t>
      </w:r>
      <w:r>
        <w:rPr>
          <w:rFonts w:hint="default" w:ascii="Times New Roman" w:hAnsi="Times New Roman" w:eastAsia="方正仿宋_GBK" w:cs="Times New Roman"/>
          <w:b w:val="0"/>
          <w:bCs w:val="0"/>
          <w:sz w:val="32"/>
          <w:szCs w:val="32"/>
          <w:shd w:val="clear" w:color="auto" w:fill="FFFFFF"/>
          <w:lang w:val="en-US" w:eastAsia="zh-CN"/>
        </w:rPr>
        <w:t>收支。</w:t>
      </w:r>
    </w:p>
    <w:p w14:paraId="181C4A24">
      <w:pPr>
        <w:pStyle w:val="11"/>
        <w:keepNext w:val="0"/>
        <w:keepLines w:val="0"/>
        <w:pageBreakBefore w:val="0"/>
        <w:widowControl/>
        <w:kinsoku/>
        <w:wordWrap/>
        <w:overflowPunct/>
        <w:topLinePunct w:val="0"/>
        <w:autoSpaceDE w:val="0"/>
        <w:autoSpaceDN/>
        <w:bidi w:val="0"/>
        <w:adjustRightInd/>
        <w:snapToGrid/>
        <w:spacing w:line="616"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（六）国有资本经营预算财政拨款支出决算情况说明</w:t>
      </w:r>
    </w:p>
    <w:p w14:paraId="29248E8B">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lang w:val="en-US" w:eastAsia="zh-CN"/>
        </w:rPr>
        <w:t>本部门</w:t>
      </w:r>
      <w:r>
        <w:rPr>
          <w:rFonts w:hint="default" w:ascii="Times New Roman" w:hAnsi="Times New Roman" w:eastAsia="方正仿宋_GBK" w:cs="Times New Roman"/>
          <w:b w:val="0"/>
          <w:bCs w:val="0"/>
          <w:sz w:val="32"/>
          <w:szCs w:val="32"/>
          <w:shd w:val="clear" w:color="auto" w:fill="FFFFFF"/>
        </w:rPr>
        <w:t>2024年度</w:t>
      </w:r>
      <w:r>
        <w:rPr>
          <w:rFonts w:hint="default" w:ascii="Times New Roman" w:hAnsi="Times New Roman" w:eastAsia="方正仿宋_GBK" w:cs="Times New Roman"/>
          <w:b w:val="0"/>
          <w:bCs w:val="0"/>
          <w:sz w:val="32"/>
          <w:szCs w:val="32"/>
          <w:shd w:val="clear" w:color="auto" w:fill="FFFFFF"/>
          <w:lang w:val="en-US" w:eastAsia="zh-CN"/>
        </w:rPr>
        <w:t>无</w:t>
      </w:r>
      <w:r>
        <w:rPr>
          <w:rFonts w:hint="default" w:ascii="Times New Roman" w:hAnsi="Times New Roman" w:eastAsia="方正仿宋_GBK" w:cs="Times New Roman"/>
          <w:b w:val="0"/>
          <w:bCs w:val="0"/>
          <w:sz w:val="32"/>
          <w:szCs w:val="32"/>
          <w:shd w:val="clear" w:color="auto" w:fill="FFFFFF"/>
        </w:rPr>
        <w:t>国有资本经营预算财政拨款支出</w:t>
      </w:r>
      <w:r>
        <w:rPr>
          <w:rFonts w:hint="default" w:ascii="Times New Roman" w:hAnsi="Times New Roman" w:eastAsia="方正仿宋_GBK" w:cs="Times New Roman"/>
          <w:b w:val="0"/>
          <w:bCs w:val="0"/>
          <w:sz w:val="32"/>
          <w:szCs w:val="32"/>
          <w:shd w:val="clear" w:color="auto" w:fill="FFFFFF"/>
          <w:lang w:eastAsia="zh-CN"/>
        </w:rPr>
        <w:t>。</w:t>
      </w:r>
    </w:p>
    <w:p w14:paraId="3A52B618">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方正黑体_GBK" w:hAnsi="方正黑体_GBK" w:eastAsia="方正黑体_GBK" w:cs="方正黑体_GBK"/>
          <w:b w:val="0"/>
          <w:bCs w:val="0"/>
          <w:sz w:val="32"/>
          <w:szCs w:val="32"/>
          <w:shd w:val="clear" w:color="auto" w:fill="FFFFFF"/>
        </w:rPr>
      </w:pPr>
      <w:r>
        <w:rPr>
          <w:rStyle w:val="10"/>
          <w:rFonts w:hint="default" w:ascii="方正黑体_GBK" w:hAnsi="方正黑体_GBK" w:eastAsia="方正黑体_GBK" w:cs="方正黑体_GBK"/>
          <w:b w:val="0"/>
          <w:bCs w:val="0"/>
          <w:sz w:val="32"/>
          <w:szCs w:val="32"/>
          <w:shd w:val="clear" w:color="auto" w:fill="FFFFFF"/>
        </w:rPr>
        <w:t>三、</w:t>
      </w:r>
      <w:r>
        <w:rPr>
          <w:rStyle w:val="10"/>
          <w:rFonts w:hint="default" w:ascii="方正黑体_GBK" w:hAnsi="方正黑体_GBK" w:eastAsia="方正黑体_GBK" w:cs="方正黑体_GBK"/>
          <w:b w:val="0"/>
          <w:bCs w:val="0"/>
          <w:sz w:val="32"/>
          <w:szCs w:val="32"/>
          <w:shd w:val="clear" w:color="auto" w:fill="FFFFFF"/>
          <w:lang w:eastAsia="zh-CN"/>
        </w:rPr>
        <w:t>财政拨款</w:t>
      </w:r>
      <w:r>
        <w:rPr>
          <w:rStyle w:val="10"/>
          <w:rFonts w:hint="default" w:ascii="方正黑体_GBK" w:hAnsi="方正黑体_GBK" w:eastAsia="方正黑体_GBK" w:cs="方正黑体_GBK"/>
          <w:b w:val="0"/>
          <w:bCs w:val="0"/>
          <w:sz w:val="32"/>
          <w:szCs w:val="32"/>
          <w:shd w:val="clear" w:color="auto" w:fill="FFFFFF"/>
        </w:rPr>
        <w:t>“三公”经费情况说明</w:t>
      </w:r>
    </w:p>
    <w:p w14:paraId="244FCBEC">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（一）“三公”经费支出总体情况说明</w:t>
      </w:r>
    </w:p>
    <w:p w14:paraId="48833819">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2024年度“三公”经费支出共计8.39万元，较年初预算数增加1.99万元，增长31.1%，</w:t>
      </w:r>
      <w:r>
        <w:rPr>
          <w:rFonts w:hint="default" w:ascii="Times New Roman" w:hAnsi="Times New Roman" w:eastAsia="方正仿宋_GBK" w:cs="Times New Roman"/>
          <w:b w:val="0"/>
          <w:bCs w:val="0"/>
          <w:kern w:val="2"/>
          <w:sz w:val="32"/>
          <w:szCs w:val="32"/>
          <w:lang w:val="en-US" w:eastAsia="zh-CN" w:bidi="ar-SA"/>
        </w:rPr>
        <w:t>主要原因是本年度偿还以前年度公务车购置费用4.51万元，导致公务车购置费用增加。</w:t>
      </w:r>
      <w:r>
        <w:rPr>
          <w:rFonts w:hint="default" w:ascii="Times New Roman" w:hAnsi="Times New Roman" w:eastAsia="方正仿宋_GBK" w:cs="Times New Roman"/>
          <w:b w:val="0"/>
          <w:bCs w:val="0"/>
          <w:sz w:val="32"/>
          <w:szCs w:val="32"/>
          <w:shd w:val="clear" w:color="auto" w:fill="FFFFFF"/>
        </w:rPr>
        <w:t>较上年支出数增加4.48万元，增长114.6%，主要原因</w:t>
      </w:r>
      <w:r>
        <w:rPr>
          <w:rFonts w:hint="default" w:ascii="Times New Roman" w:hAnsi="Times New Roman" w:eastAsia="方正仿宋_GBK" w:cs="Times New Roman"/>
          <w:b w:val="0"/>
          <w:bCs w:val="0"/>
          <w:sz w:val="32"/>
          <w:szCs w:val="32"/>
          <w:shd w:val="clear" w:color="auto" w:fill="FFFFFF"/>
          <w:lang w:val="en-US" w:eastAsia="zh-CN"/>
        </w:rPr>
        <w:t>是</w:t>
      </w:r>
      <w:r>
        <w:rPr>
          <w:rFonts w:hint="default" w:ascii="Times New Roman" w:hAnsi="Times New Roman" w:eastAsia="方正仿宋_GBK" w:cs="Times New Roman"/>
          <w:b w:val="0"/>
          <w:bCs w:val="0"/>
          <w:kern w:val="2"/>
          <w:sz w:val="32"/>
          <w:szCs w:val="32"/>
          <w:lang w:val="en-US" w:eastAsia="zh-CN" w:bidi="ar-SA"/>
        </w:rPr>
        <w:t>本年度偿还以前年度公务车购置费用4.51万元，导致公务车购置费用增加。</w:t>
      </w:r>
    </w:p>
    <w:p w14:paraId="1D374664">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（二）“三公”经费分项支出情况</w:t>
      </w:r>
    </w:p>
    <w:p w14:paraId="710FC68C">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shd w:val="clear" w:color="auto" w:fill="FFFFFF"/>
        </w:rPr>
        <w:t>2024年度本</w:t>
      </w:r>
      <w:r>
        <w:rPr>
          <w:rFonts w:hint="default"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lang w:val="en-US" w:eastAsia="zh-CN"/>
        </w:rPr>
        <w:t>无</w:t>
      </w:r>
      <w:r>
        <w:rPr>
          <w:rFonts w:hint="default" w:ascii="Times New Roman" w:hAnsi="Times New Roman" w:eastAsia="方正仿宋_GBK" w:cs="Times New Roman"/>
          <w:b w:val="0"/>
          <w:bCs w:val="0"/>
          <w:sz w:val="32"/>
          <w:szCs w:val="32"/>
          <w:shd w:val="clear" w:color="auto" w:fill="FFFFFF"/>
        </w:rPr>
        <w:t>因公出国（境）费用</w:t>
      </w:r>
      <w:r>
        <w:rPr>
          <w:rFonts w:hint="default" w:ascii="Times New Roman" w:hAnsi="Times New Roman" w:eastAsia="方正仿宋_GBK" w:cs="Times New Roman"/>
          <w:b w:val="0"/>
          <w:bCs w:val="0"/>
          <w:sz w:val="32"/>
          <w:szCs w:val="32"/>
          <w:shd w:val="clear" w:color="auto" w:fill="FFFFFF"/>
          <w:lang w:eastAsia="zh-CN"/>
        </w:rPr>
        <w:t>。</w:t>
      </w:r>
    </w:p>
    <w:p w14:paraId="6DF22C0F">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w:t>
      </w:r>
      <w:r>
        <w:rPr>
          <w:rFonts w:hint="default" w:ascii="Times New Roman" w:hAnsi="Times New Roman" w:eastAsia="方正仿宋_GBK" w:cs="Times New Roman"/>
          <w:b w:val="0"/>
          <w:bCs w:val="0"/>
          <w:sz w:val="32"/>
          <w:szCs w:val="32"/>
          <w:shd w:val="clear" w:color="auto" w:fill="FFFFFF"/>
          <w:lang w:eastAsia="zh-CN"/>
        </w:rPr>
        <w:t>用</w:t>
      </w:r>
      <w:r>
        <w:rPr>
          <w:rFonts w:hint="default" w:ascii="Times New Roman" w:hAnsi="Times New Roman" w:eastAsia="方正仿宋_GBK" w:cs="Times New Roman"/>
          <w:b w:val="0"/>
          <w:bCs w:val="0"/>
          <w:sz w:val="32"/>
          <w:szCs w:val="32"/>
          <w:shd w:val="clear" w:color="auto" w:fill="FFFFFF"/>
        </w:rPr>
        <w:t>车购置费4.51万元，</w:t>
      </w:r>
      <w:r>
        <w:rPr>
          <w:rFonts w:hint="default" w:ascii="Times New Roman" w:hAnsi="Times New Roman" w:eastAsia="方正仿宋_GBK" w:cs="Times New Roman"/>
          <w:b w:val="0"/>
          <w:bCs w:val="0"/>
          <w:color w:val="auto"/>
          <w:sz w:val="32"/>
          <w:szCs w:val="32"/>
          <w:shd w:val="clear" w:color="auto" w:fill="FFFFFF"/>
        </w:rPr>
        <w:t>主要用于</w:t>
      </w:r>
      <w:r>
        <w:rPr>
          <w:rFonts w:hint="default" w:ascii="Times New Roman" w:hAnsi="Times New Roman" w:eastAsia="方正仿宋_GBK" w:cs="Times New Roman"/>
          <w:b w:val="0"/>
          <w:bCs w:val="0"/>
          <w:color w:val="auto"/>
          <w:sz w:val="32"/>
          <w:szCs w:val="32"/>
          <w:shd w:val="clear" w:color="auto" w:fill="FFFFFF"/>
          <w:lang w:val="en-US" w:eastAsia="zh-CN"/>
        </w:rPr>
        <w:t>公务车购置，偿还以前年度公务车购置费用，</w:t>
      </w:r>
      <w:r>
        <w:rPr>
          <w:rFonts w:hint="default" w:ascii="Times New Roman" w:hAnsi="Times New Roman" w:eastAsia="方正仿宋_GBK" w:cs="Times New Roman"/>
          <w:b w:val="0"/>
          <w:bCs w:val="0"/>
          <w:color w:val="auto"/>
          <w:sz w:val="32"/>
          <w:szCs w:val="32"/>
          <w:shd w:val="clear" w:color="auto" w:fill="FFFFFF"/>
        </w:rPr>
        <w:t>费用</w:t>
      </w:r>
      <w:r>
        <w:rPr>
          <w:rFonts w:hint="default" w:ascii="Times New Roman" w:hAnsi="Times New Roman" w:eastAsia="方正仿宋_GBK" w:cs="Times New Roman"/>
          <w:b w:val="0"/>
          <w:bCs w:val="0"/>
          <w:sz w:val="32"/>
          <w:szCs w:val="32"/>
          <w:shd w:val="clear" w:color="auto" w:fill="FFFFFF"/>
        </w:rPr>
        <w:t>支出较年初预算数增加4.51万元，增长100.0%，主要原因是</w:t>
      </w:r>
      <w:r>
        <w:rPr>
          <w:rFonts w:hint="default" w:ascii="Times New Roman" w:hAnsi="Times New Roman" w:eastAsia="方正仿宋_GBK" w:cs="Times New Roman"/>
          <w:b w:val="0"/>
          <w:bCs w:val="0"/>
          <w:sz w:val="32"/>
          <w:szCs w:val="32"/>
          <w:shd w:val="clear" w:color="auto" w:fill="FFFFFF"/>
          <w:lang w:val="en-US" w:eastAsia="zh-CN"/>
        </w:rPr>
        <w:t>偿还以前年度公务车购置费用。</w:t>
      </w:r>
      <w:r>
        <w:rPr>
          <w:rFonts w:hint="default" w:ascii="Times New Roman" w:hAnsi="Times New Roman" w:eastAsia="方正仿宋_GBK" w:cs="Times New Roman"/>
          <w:b w:val="0"/>
          <w:bCs w:val="0"/>
          <w:sz w:val="32"/>
          <w:szCs w:val="32"/>
          <w:shd w:val="clear" w:color="auto" w:fill="FFFFFF"/>
        </w:rPr>
        <w:t>较上年支出数增加4.51万元，增长100.0%，主要原因是</w:t>
      </w:r>
      <w:r>
        <w:rPr>
          <w:rFonts w:hint="default" w:ascii="Times New Roman" w:hAnsi="Times New Roman" w:eastAsia="方正仿宋_GBK" w:cs="Times New Roman"/>
          <w:b w:val="0"/>
          <w:bCs w:val="0"/>
          <w:sz w:val="32"/>
          <w:szCs w:val="32"/>
          <w:shd w:val="clear" w:color="auto" w:fill="FFFFFF"/>
          <w:lang w:val="en-US" w:eastAsia="zh-CN"/>
        </w:rPr>
        <w:t>从偿以前年度公务车购置费用</w:t>
      </w:r>
      <w:r>
        <w:rPr>
          <w:rFonts w:hint="default" w:ascii="Times New Roman" w:hAnsi="Times New Roman" w:eastAsia="方正仿宋_GBK" w:cs="Times New Roman"/>
          <w:b w:val="0"/>
          <w:bCs w:val="0"/>
          <w:color w:val="auto"/>
          <w:sz w:val="32"/>
          <w:szCs w:val="32"/>
          <w:shd w:val="clear" w:color="auto" w:fill="FFFFFF"/>
        </w:rPr>
        <w:t>。</w:t>
      </w:r>
    </w:p>
    <w:p w14:paraId="4BED82A4">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shd w:val="clear" w:color="auto" w:fill="FFFFFF"/>
        </w:rPr>
        <w:t>公务</w:t>
      </w:r>
      <w:r>
        <w:rPr>
          <w:rFonts w:hint="default" w:ascii="Times New Roman" w:hAnsi="Times New Roman" w:eastAsia="方正仿宋_GBK" w:cs="Times New Roman"/>
          <w:b w:val="0"/>
          <w:bCs w:val="0"/>
          <w:sz w:val="32"/>
          <w:szCs w:val="32"/>
          <w:shd w:val="clear" w:color="auto" w:fill="FFFFFF"/>
          <w:lang w:eastAsia="zh-CN"/>
        </w:rPr>
        <w:t>用</w:t>
      </w:r>
      <w:r>
        <w:rPr>
          <w:rFonts w:hint="default" w:ascii="Times New Roman" w:hAnsi="Times New Roman" w:eastAsia="方正仿宋_GBK" w:cs="Times New Roman"/>
          <w:b w:val="0"/>
          <w:bCs w:val="0"/>
          <w:sz w:val="32"/>
          <w:szCs w:val="32"/>
          <w:shd w:val="clear" w:color="auto" w:fill="FFFFFF"/>
        </w:rPr>
        <w:t>车运行维护费2.96万元，主要用于</w:t>
      </w:r>
      <w:r>
        <w:rPr>
          <w:rFonts w:hint="default" w:ascii="Times New Roman" w:hAnsi="Times New Roman" w:eastAsia="方正仿宋_GBK" w:cs="Times New Roman"/>
          <w:b w:val="0"/>
          <w:bCs w:val="0"/>
          <w:sz w:val="32"/>
          <w:szCs w:val="32"/>
          <w:shd w:val="clear" w:color="auto" w:fill="FFFFFF"/>
          <w:lang w:val="en-US" w:eastAsia="zh-CN"/>
        </w:rPr>
        <w:t>本部门两辆公务车燃油费、维修费、保险费等支出。</w:t>
      </w:r>
      <w:r>
        <w:rPr>
          <w:rFonts w:hint="default" w:ascii="Times New Roman" w:hAnsi="Times New Roman" w:eastAsia="方正仿宋_GBK" w:cs="Times New Roman"/>
          <w:b w:val="0"/>
          <w:bCs w:val="0"/>
          <w:sz w:val="32"/>
          <w:szCs w:val="32"/>
          <w:shd w:val="clear" w:color="auto" w:fill="FFFFFF"/>
        </w:rPr>
        <w:t>费用支出较年初预算数减少2.44万元，下降45.2%，主要原因是</w:t>
      </w:r>
      <w:r>
        <w:rPr>
          <w:rFonts w:hint="default" w:ascii="Times New Roman" w:hAnsi="Times New Roman" w:eastAsia="方正仿宋_GBK" w:cs="Times New Roman"/>
          <w:b w:val="0"/>
          <w:bCs w:val="0"/>
          <w:color w:val="auto"/>
          <w:sz w:val="32"/>
          <w:szCs w:val="32"/>
          <w:shd w:val="clear" w:color="auto" w:fill="FFFFFF"/>
          <w:lang w:val="en-US" w:eastAsia="zh-CN"/>
        </w:rPr>
        <w:t>本部门严格控制公务车支出，</w:t>
      </w:r>
      <w:r>
        <w:rPr>
          <w:rFonts w:hint="default" w:ascii="Times New Roman" w:hAnsi="Times New Roman" w:eastAsia="方正仿宋_GBK" w:cs="Times New Roman"/>
          <w:b w:val="0"/>
          <w:bCs w:val="0"/>
          <w:sz w:val="32"/>
          <w:szCs w:val="32"/>
          <w:shd w:val="clear" w:color="auto" w:fill="FFFFFF"/>
        </w:rPr>
        <w:t>较上年支出数减少</w:t>
      </w:r>
      <w:r>
        <w:rPr>
          <w:rFonts w:hint="default" w:ascii="Times New Roman" w:hAnsi="Times New Roman" w:eastAsia="方正仿宋_GBK" w:cs="Times New Roman"/>
          <w:b w:val="0"/>
          <w:bCs w:val="0"/>
          <w:sz w:val="32"/>
          <w:szCs w:val="32"/>
          <w:shd w:val="clear" w:color="auto" w:fill="FFFFFF"/>
          <w:lang w:val="en-US" w:eastAsia="zh-CN"/>
        </w:rPr>
        <w:t>0.02万元，下降0.7%，主要原因是本部门从严控制相关支出。</w:t>
      </w:r>
    </w:p>
    <w:p w14:paraId="05C28131">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16"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公务接待费0.92万元，主要用于接待</w:t>
      </w:r>
      <w:r>
        <w:rPr>
          <w:rFonts w:hint="default" w:ascii="Times New Roman" w:hAnsi="Times New Roman" w:eastAsia="方正仿宋_GBK" w:cs="Times New Roman"/>
          <w:b w:val="0"/>
          <w:bCs w:val="0"/>
          <w:color w:val="auto"/>
          <w:sz w:val="32"/>
          <w:szCs w:val="32"/>
          <w:shd w:val="clear" w:color="auto" w:fill="FFFFFF"/>
          <w:lang w:val="en-US" w:eastAsia="zh-CN"/>
        </w:rPr>
        <w:t>华龙网、新华社、重报数字等部门</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费用支出较年初预算数减少0.08万元，下降8.0%，主要原因是</w:t>
      </w:r>
      <w:r>
        <w:rPr>
          <w:rFonts w:hint="default" w:ascii="Times New Roman" w:hAnsi="Times New Roman" w:eastAsia="方正仿宋_GBK" w:cs="Times New Roman"/>
          <w:b w:val="0"/>
          <w:bCs w:val="0"/>
          <w:sz w:val="32"/>
          <w:szCs w:val="32"/>
          <w:shd w:val="clear" w:color="auto" w:fill="FFFFFF"/>
          <w:lang w:val="en-US" w:eastAsia="zh-CN"/>
        </w:rPr>
        <w:t>本部门基数小，并且严格控制相关支出。</w:t>
      </w:r>
      <w:r>
        <w:rPr>
          <w:rFonts w:hint="default" w:ascii="Times New Roman" w:hAnsi="Times New Roman" w:eastAsia="方正仿宋_GBK" w:cs="Times New Roman"/>
          <w:b w:val="0"/>
          <w:bCs w:val="0"/>
          <w:sz w:val="32"/>
          <w:szCs w:val="32"/>
          <w:shd w:val="clear" w:color="auto" w:fill="FFFFFF"/>
        </w:rPr>
        <w:t>较上年支出数减少0.01万元，下降1.1%，主要原因是</w:t>
      </w:r>
      <w:r>
        <w:rPr>
          <w:rFonts w:hint="default" w:ascii="Times New Roman" w:hAnsi="Times New Roman" w:eastAsia="方正仿宋_GBK" w:cs="Times New Roman"/>
          <w:b w:val="0"/>
          <w:bCs w:val="0"/>
          <w:sz w:val="32"/>
          <w:szCs w:val="32"/>
          <w:shd w:val="clear" w:color="auto" w:fill="FFFFFF"/>
          <w:lang w:val="en-US" w:eastAsia="zh-CN"/>
        </w:rPr>
        <w:t>本部门基数小，</w:t>
      </w:r>
      <w:r>
        <w:rPr>
          <w:rFonts w:hint="default" w:ascii="Times New Roman" w:hAnsi="Times New Roman" w:eastAsia="方正仿宋_GBK" w:cs="Times New Roman"/>
          <w:b w:val="0"/>
          <w:bCs w:val="0"/>
          <w:color w:val="auto"/>
          <w:kern w:val="2"/>
          <w:sz w:val="32"/>
          <w:szCs w:val="32"/>
          <w:lang w:val="en-US" w:eastAsia="zh-CN" w:bidi="ar-SA"/>
        </w:rPr>
        <w:t>本部门严格维持只减不增原则。</w:t>
      </w:r>
    </w:p>
    <w:p w14:paraId="26E5E77E">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方正楷体_GBK" w:hAnsi="方正楷体_GBK" w:eastAsia="方正楷体_GBK" w:cs="方正楷体_GBK"/>
          <w:b w:val="0"/>
          <w:bCs w:val="0"/>
          <w:sz w:val="32"/>
          <w:szCs w:val="32"/>
          <w:shd w:val="clear" w:color="auto" w:fill="FFFFFF"/>
        </w:rPr>
      </w:pPr>
      <w:r>
        <w:rPr>
          <w:rStyle w:val="10"/>
          <w:rFonts w:hint="default" w:ascii="方正楷体_GBK" w:hAnsi="方正楷体_GBK" w:eastAsia="方正楷体_GBK" w:cs="方正楷体_GBK"/>
          <w:b w:val="0"/>
          <w:bCs w:val="0"/>
          <w:sz w:val="32"/>
          <w:szCs w:val="32"/>
          <w:shd w:val="clear" w:color="auto" w:fill="FFFFFF"/>
        </w:rPr>
        <w:t>（三）“三公”经费实物量情况</w:t>
      </w:r>
    </w:p>
    <w:p w14:paraId="70478DDA">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2024年度本</w:t>
      </w:r>
      <w:r>
        <w:rPr>
          <w:rFonts w:hint="default"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rPr>
        <w:t>因公出国（境）共计0个团组，0人；公务用车购置1辆，公务车保有量为2辆；国内公务接待10批次55人，其中：国内外事接待0批次，0人；国（境）外公务接待0批次，0人。2024年本</w:t>
      </w:r>
      <w:r>
        <w:rPr>
          <w:rFonts w:hint="default"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rPr>
        <w:t>人均接待费167.04元，车均购置费4.51万元，车均维护费1.48万元。</w:t>
      </w:r>
    </w:p>
    <w:p w14:paraId="599F4181">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四、其他需要说明的事项</w:t>
      </w:r>
    </w:p>
    <w:p w14:paraId="1C6A5966">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616"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（一）财政拨款会议费、培训费和差旅费情况说明</w:t>
      </w:r>
    </w:p>
    <w:p w14:paraId="422C04A0">
      <w:pPr>
        <w:keepNext w:val="0"/>
        <w:keepLines w:val="0"/>
        <w:pageBreakBefore w:val="0"/>
        <w:kinsoku/>
        <w:wordWrap/>
        <w:overflowPunct/>
        <w:topLinePunct w:val="0"/>
        <w:autoSpaceDN/>
        <w:bidi w:val="0"/>
        <w:adjustRightInd/>
        <w:snapToGrid w:val="0"/>
        <w:spacing w:line="616"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本年度会议费支出2.15万元，与2023年度相比，减少0.11万元，下降4.9%，主要原因是</w:t>
      </w:r>
      <w:r>
        <w:rPr>
          <w:rFonts w:hint="default" w:ascii="Times New Roman" w:hAnsi="Times New Roman" w:eastAsia="方正仿宋_GBK" w:cs="Times New Roman"/>
          <w:b w:val="0"/>
          <w:bCs w:val="0"/>
          <w:sz w:val="32"/>
          <w:szCs w:val="32"/>
          <w:shd w:val="clear" w:color="auto" w:fill="FFFFFF"/>
          <w:lang w:val="en-US" w:eastAsia="zh-CN"/>
        </w:rPr>
        <w:t>本部门严格控制相关支出。</w:t>
      </w:r>
    </w:p>
    <w:p w14:paraId="06A80C9C">
      <w:pPr>
        <w:keepNext w:val="0"/>
        <w:keepLines w:val="0"/>
        <w:pageBreakBefore w:val="0"/>
        <w:kinsoku/>
        <w:wordWrap/>
        <w:overflowPunct/>
        <w:topLinePunct w:val="0"/>
        <w:autoSpaceDN/>
        <w:bidi w:val="0"/>
        <w:adjustRightInd/>
        <w:snapToGrid w:val="0"/>
        <w:spacing w:line="616"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本年度培训费支出1.99万元，与2023年度相比，减少0.01万元，下降0.5%，主要原因是</w:t>
      </w:r>
      <w:r>
        <w:rPr>
          <w:rFonts w:hint="default" w:ascii="Times New Roman" w:hAnsi="Times New Roman" w:eastAsia="方正仿宋_GBK" w:cs="Times New Roman"/>
          <w:b w:val="0"/>
          <w:bCs w:val="0"/>
          <w:sz w:val="32"/>
          <w:szCs w:val="32"/>
          <w:shd w:val="clear" w:color="auto" w:fill="FFFFFF"/>
          <w:lang w:val="en-US" w:eastAsia="zh-CN"/>
        </w:rPr>
        <w:t>外出学习机会减少，本部门本身基数不高。</w:t>
      </w:r>
    </w:p>
    <w:p w14:paraId="22BAD1D0">
      <w:pPr>
        <w:keepNext w:val="0"/>
        <w:keepLines w:val="0"/>
        <w:pageBreakBefore w:val="0"/>
        <w:kinsoku/>
        <w:wordWrap/>
        <w:overflowPunct/>
        <w:topLinePunct w:val="0"/>
        <w:autoSpaceDN/>
        <w:bidi w:val="0"/>
        <w:adjustRightInd/>
        <w:snapToGrid w:val="0"/>
        <w:spacing w:line="616"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本年度差旅费支出9.97万元，与2023年度相比，减少7.54万元，下降43.1%，</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本部门积极响应过紧日子号召，非必要不外出。</w:t>
      </w:r>
    </w:p>
    <w:p w14:paraId="4A926A3F">
      <w:pPr>
        <w:pStyle w:val="11"/>
        <w:keepNext w:val="0"/>
        <w:keepLines w:val="0"/>
        <w:pageBreakBefore w:val="0"/>
        <w:widowControl/>
        <w:kinsoku/>
        <w:wordWrap/>
        <w:overflowPunct/>
        <w:topLinePunct w:val="0"/>
        <w:autoSpaceDE w:val="0"/>
        <w:autoSpaceDN/>
        <w:bidi w:val="0"/>
        <w:adjustRightInd/>
        <w:snapToGrid/>
        <w:spacing w:line="616"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（二）机关运行经费情况说明</w:t>
      </w:r>
    </w:p>
    <w:p w14:paraId="15143C95">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按照部门决算列报口径，我</w:t>
      </w:r>
      <w:r>
        <w:rPr>
          <w:rFonts w:hint="default" w:ascii="Times New Roman" w:hAnsi="Times New Roman" w:eastAsia="方正仿宋_GBK" w:cs="Times New Roman"/>
          <w:b w:val="0"/>
          <w:bCs w:val="0"/>
          <w:color w:val="auto"/>
          <w:sz w:val="32"/>
          <w:szCs w:val="32"/>
          <w:highlight w:val="none"/>
          <w:lang w:eastAsia="zh-CN"/>
        </w:rPr>
        <w:t>部门</w:t>
      </w:r>
      <w:r>
        <w:rPr>
          <w:rFonts w:hint="default" w:ascii="Times New Roman" w:hAnsi="Times New Roman" w:eastAsia="方正仿宋_GBK" w:cs="Times New Roman"/>
          <w:b w:val="0"/>
          <w:bCs w:val="0"/>
          <w:color w:val="auto"/>
          <w:sz w:val="32"/>
          <w:szCs w:val="32"/>
          <w:highlight w:val="none"/>
        </w:rPr>
        <w:t>不在机关运行经费统计范围之内。</w:t>
      </w:r>
    </w:p>
    <w:p w14:paraId="4EF0DF51">
      <w:pPr>
        <w:pStyle w:val="11"/>
        <w:keepNext w:val="0"/>
        <w:keepLines w:val="0"/>
        <w:pageBreakBefore w:val="0"/>
        <w:widowControl/>
        <w:kinsoku/>
        <w:wordWrap/>
        <w:overflowPunct/>
        <w:topLinePunct w:val="0"/>
        <w:autoSpaceDE w:val="0"/>
        <w:autoSpaceDN/>
        <w:bidi w:val="0"/>
        <w:adjustRightInd/>
        <w:snapToGrid/>
        <w:spacing w:line="616"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（三）国有资产占用情况说明</w:t>
      </w:r>
    </w:p>
    <w:p w14:paraId="660401D8">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截至2024年12月31日，本</w:t>
      </w:r>
      <w:r>
        <w:rPr>
          <w:rFonts w:hint="default"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rPr>
        <w:t>共有车辆2辆，其中，副部（省）级及以上领导用车0辆、主要负责人用车0辆、机要通信用车0辆、应急保障用车2辆、执法执勤用车0辆，特种专业技术用车0辆，离退休干部用车0辆。单价100万元（含）以上专用设备2台（套）。</w:t>
      </w:r>
    </w:p>
    <w:p w14:paraId="7920CE00">
      <w:pPr>
        <w:pStyle w:val="11"/>
        <w:keepNext w:val="0"/>
        <w:keepLines w:val="0"/>
        <w:pageBreakBefore w:val="0"/>
        <w:widowControl/>
        <w:kinsoku/>
        <w:wordWrap/>
        <w:overflowPunct/>
        <w:topLinePunct w:val="0"/>
        <w:autoSpaceDE w:val="0"/>
        <w:autoSpaceDN/>
        <w:bidi w:val="0"/>
        <w:adjustRightInd/>
        <w:snapToGrid/>
        <w:spacing w:line="616" w:lineRule="exact"/>
        <w:ind w:firstLine="640" w:firstLineChars="200"/>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（四）政府采购支出情况说明</w:t>
      </w:r>
    </w:p>
    <w:p w14:paraId="275D15BB">
      <w:pPr>
        <w:pStyle w:val="6"/>
        <w:keepNext w:val="0"/>
        <w:keepLines w:val="0"/>
        <w:pageBreakBefore w:val="0"/>
        <w:kinsoku/>
        <w:wordWrap/>
        <w:overflowPunct/>
        <w:topLinePunct w:val="0"/>
        <w:autoSpaceDN/>
        <w:bidi w:val="0"/>
        <w:adjustRightInd/>
        <w:snapToGrid w:val="0"/>
        <w:spacing w:before="0" w:beforeAutospacing="0" w:after="0" w:afterAutospacing="0" w:line="616"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rPr>
        <w:t>2024年度本</w:t>
      </w:r>
      <w:r>
        <w:rPr>
          <w:rFonts w:hint="default"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rPr>
        <w:t>政府采购支出总额1.42万元，其中：政府采购货物支出1.42万元、政府采购工程支出0.00万元、政府采购服务支出0.00万元。授予中小企业合同金额0.93</w:t>
      </w:r>
      <w:r>
        <w:rPr>
          <w:rFonts w:hint="default" w:ascii="Times New Roman" w:hAnsi="Times New Roman" w:eastAsia="方正仿宋_GBK" w:cs="Times New Roman"/>
          <w:b w:val="0"/>
          <w:bCs w:val="0"/>
          <w:sz w:val="32"/>
          <w:szCs w:val="32"/>
        </w:rPr>
        <w:t>万</w:t>
      </w:r>
      <w:r>
        <w:rPr>
          <w:rFonts w:hint="default" w:ascii="Times New Roman" w:hAnsi="Times New Roman" w:eastAsia="方正仿宋_GBK" w:cs="Times New Roman"/>
          <w:b w:val="0"/>
          <w:bCs w:val="0"/>
          <w:sz w:val="32"/>
          <w:szCs w:val="32"/>
          <w:shd w:val="clear" w:color="auto" w:fill="FFFFFF"/>
        </w:rPr>
        <w:t>元，占政府采购支出总额的65.2%，其中：授予小微企业合同金额0.93万元，占政府采购支出总额的65.2 %。主要用于</w:t>
      </w:r>
      <w:r>
        <w:rPr>
          <w:rFonts w:hint="default" w:ascii="Times New Roman" w:hAnsi="Times New Roman" w:eastAsia="方正仿宋_GBK" w:cs="Times New Roman"/>
          <w:b w:val="0"/>
          <w:bCs w:val="0"/>
          <w:sz w:val="32"/>
          <w:szCs w:val="32"/>
          <w:shd w:val="clear" w:color="auto" w:fill="FFFFFF"/>
          <w:lang w:val="en-US" w:eastAsia="zh-CN"/>
        </w:rPr>
        <w:t>采购空调以及复印纸的支出。</w:t>
      </w:r>
    </w:p>
    <w:p w14:paraId="7BDFCDE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616" w:lineRule="exact"/>
        <w:ind w:firstLine="640" w:firstLineChars="200"/>
        <w:textAlignment w:val="auto"/>
        <w:rPr>
          <w:rStyle w:val="10"/>
          <w:rFonts w:hint="default" w:ascii="Times New Roman" w:hAnsi="Times New Roman" w:eastAsia="黑体" w:cs="Times New Roman"/>
          <w:b w:val="0"/>
          <w:bCs w:val="0"/>
          <w:sz w:val="32"/>
          <w:szCs w:val="32"/>
          <w:shd w:val="clear" w:color="auto" w:fill="FFFFFF"/>
          <w:lang w:val="en-US" w:eastAsia="zh-CN" w:bidi="ar-SA"/>
        </w:rPr>
      </w:pPr>
      <w:r>
        <w:rPr>
          <w:rStyle w:val="10"/>
          <w:rFonts w:hint="default" w:ascii="Times New Roman" w:hAnsi="Times New Roman" w:eastAsia="黑体" w:cs="Times New Roman"/>
          <w:b w:val="0"/>
          <w:bCs w:val="0"/>
          <w:sz w:val="32"/>
          <w:szCs w:val="32"/>
          <w:shd w:val="clear" w:color="auto" w:fill="FFFFFF"/>
          <w:lang w:val="en-US" w:eastAsia="zh-CN" w:bidi="ar-SA"/>
        </w:rPr>
        <w:t>五、2024年度预算绩效管理情况说明</w:t>
      </w:r>
    </w:p>
    <w:p w14:paraId="66924DDA">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16" w:lineRule="exact"/>
        <w:ind w:firstLine="640" w:firstLineChars="200"/>
        <w:jc w:val="left"/>
        <w:textAlignment w:val="auto"/>
        <w:rPr>
          <w:rFonts w:hint="default" w:ascii="Times New Roman" w:hAnsi="Times New Roman" w:eastAsia="楷体" w:cs="Times New Roman"/>
          <w:b w:val="0"/>
          <w:bCs w:val="0"/>
          <w:kern w:val="0"/>
          <w:sz w:val="32"/>
          <w:szCs w:val="32"/>
          <w:shd w:val="clear" w:fill="FFFFFF"/>
        </w:rPr>
      </w:pPr>
      <w:r>
        <w:rPr>
          <w:rFonts w:hint="default" w:ascii="Times New Roman" w:hAnsi="Times New Roman" w:eastAsia="楷体" w:cs="Times New Roman"/>
          <w:b w:val="0"/>
          <w:bCs w:val="0"/>
          <w:kern w:val="0"/>
          <w:sz w:val="32"/>
          <w:szCs w:val="32"/>
          <w:shd w:val="clear" w:fill="FFFFFF"/>
        </w:rPr>
        <w:t>（一）</w:t>
      </w:r>
      <w:r>
        <w:rPr>
          <w:rFonts w:hint="default" w:ascii="Times New Roman" w:hAnsi="Times New Roman" w:eastAsia="楷体" w:cs="Times New Roman"/>
          <w:b w:val="0"/>
          <w:bCs w:val="0"/>
          <w:kern w:val="0"/>
          <w:sz w:val="32"/>
          <w:szCs w:val="32"/>
          <w:shd w:val="clear" w:fill="FFFFFF"/>
          <w:lang w:eastAsia="zh-CN"/>
        </w:rPr>
        <w:t>部门</w:t>
      </w:r>
      <w:r>
        <w:rPr>
          <w:rFonts w:hint="default" w:ascii="Times New Roman" w:hAnsi="Times New Roman" w:eastAsia="楷体" w:cs="Times New Roman"/>
          <w:b w:val="0"/>
          <w:bCs w:val="0"/>
          <w:kern w:val="0"/>
          <w:sz w:val="32"/>
          <w:szCs w:val="32"/>
          <w:shd w:val="clear" w:fill="FFFFFF"/>
        </w:rPr>
        <w:t>自评情况</w:t>
      </w:r>
    </w:p>
    <w:p w14:paraId="4FAB35A4">
      <w:pPr>
        <w:pStyle w:val="12"/>
        <w:keepNext w:val="0"/>
        <w:keepLines w:val="0"/>
        <w:pageBreakBefore w:val="0"/>
        <w:widowControl/>
        <w:kinsoku/>
        <w:wordWrap/>
        <w:overflowPunct/>
        <w:topLinePunct w:val="0"/>
        <w:autoSpaceDN/>
        <w:bidi w:val="0"/>
        <w:adjustRightInd/>
        <w:snapToGrid/>
        <w:spacing w:before="0" w:beforeAutospacing="0" w:after="0" w:afterAutospacing="0" w:line="616" w:lineRule="exact"/>
        <w:ind w:firstLine="640" w:firstLineChars="200"/>
        <w:jc w:val="left"/>
        <w:textAlignment w:val="auto"/>
        <w:rPr>
          <w:rFonts w:hint="default" w:ascii="Times New Roman" w:hAnsi="Times New Roman" w:eastAsia="方正仿宋_GBK" w:cs="Times New Roman"/>
          <w:b w:val="0"/>
          <w:bCs w:val="0"/>
          <w:kern w:val="0"/>
          <w:sz w:val="32"/>
          <w:szCs w:val="32"/>
          <w:shd w:val="clear" w:fill="FFFFFF"/>
          <w:lang w:eastAsia="zh-CN"/>
        </w:rPr>
      </w:pPr>
      <w:r>
        <w:rPr>
          <w:rFonts w:hint="default" w:ascii="Times New Roman" w:hAnsi="Times New Roman" w:eastAsia="方正仿宋_GBK" w:cs="Times New Roman"/>
          <w:b w:val="0"/>
          <w:bCs w:val="0"/>
          <w:color w:val="auto"/>
          <w:sz w:val="32"/>
          <w:szCs w:val="32"/>
        </w:rPr>
        <w:t>根据预算绩效管理要求，本</w:t>
      </w:r>
      <w:r>
        <w:rPr>
          <w:rFonts w:hint="default" w:ascii="Times New Roman" w:hAnsi="Times New Roman" w:eastAsia="方正仿宋_GBK" w:cs="Times New Roman"/>
          <w:b w:val="0"/>
          <w:bCs w:val="0"/>
          <w:color w:val="auto"/>
          <w:sz w:val="32"/>
          <w:szCs w:val="32"/>
          <w:lang w:val="en-US" w:eastAsia="zh-CN"/>
        </w:rPr>
        <w:t>对2024年部门整体展开了绩效自评，</w:t>
      </w:r>
      <w:r>
        <w:rPr>
          <w:rFonts w:hint="eastAsia" w:ascii="Times New Roman" w:hAnsi="Times New Roman" w:eastAsia="方正仿宋_GBK" w:cs="Times New Roman"/>
          <w:b w:val="0"/>
          <w:bCs w:val="0"/>
          <w:color w:val="auto"/>
          <w:sz w:val="32"/>
          <w:szCs w:val="32"/>
          <w:lang w:val="en-US" w:eastAsia="zh-CN"/>
        </w:rPr>
        <w:t>涉及</w:t>
      </w:r>
      <w:r>
        <w:rPr>
          <w:rFonts w:hint="default" w:ascii="Times New Roman" w:hAnsi="Times New Roman" w:eastAsia="方正仿宋_GBK" w:cs="Times New Roman"/>
          <w:b w:val="0"/>
          <w:bCs w:val="0"/>
          <w:color w:val="auto"/>
          <w:sz w:val="32"/>
          <w:szCs w:val="32"/>
          <w:lang w:val="en-US" w:eastAsia="zh-CN"/>
        </w:rPr>
        <w:t>金额1911.84万元，对12</w:t>
      </w:r>
      <w:r>
        <w:rPr>
          <w:rFonts w:hint="default" w:ascii="Times New Roman" w:hAnsi="Times New Roman" w:eastAsia="方正仿宋_GBK" w:cs="Times New Roman"/>
          <w:b w:val="0"/>
          <w:bCs w:val="0"/>
          <w:color w:val="auto"/>
          <w:sz w:val="32"/>
          <w:szCs w:val="32"/>
        </w:rPr>
        <w:t>个项目开展了绩效自评，其中以填报目标自评表形式开展自评</w:t>
      </w:r>
      <w:r>
        <w:rPr>
          <w:rFonts w:hint="default" w:ascii="Times New Roman" w:hAnsi="Times New Roman" w:eastAsia="方正仿宋_GBK" w:cs="Times New Roman"/>
          <w:b w:val="0"/>
          <w:bCs w:val="0"/>
          <w:color w:val="auto"/>
          <w:sz w:val="32"/>
          <w:szCs w:val="32"/>
          <w:lang w:val="en-US" w:eastAsia="zh-CN"/>
        </w:rPr>
        <w:t>12</w:t>
      </w:r>
      <w:r>
        <w:rPr>
          <w:rFonts w:hint="default" w:ascii="Times New Roman" w:hAnsi="Times New Roman" w:eastAsia="方正仿宋_GBK" w:cs="Times New Roman"/>
          <w:b w:val="0"/>
          <w:bCs w:val="0"/>
          <w:color w:val="auto"/>
          <w:sz w:val="32"/>
          <w:szCs w:val="32"/>
        </w:rPr>
        <w:t>项，涉及资金</w:t>
      </w:r>
      <w:r>
        <w:rPr>
          <w:rFonts w:hint="default" w:ascii="Times New Roman" w:hAnsi="Times New Roman" w:eastAsia="方正仿宋_GBK" w:cs="Times New Roman"/>
          <w:b w:val="0"/>
          <w:bCs w:val="0"/>
          <w:color w:val="auto"/>
          <w:sz w:val="32"/>
          <w:szCs w:val="32"/>
          <w:lang w:val="en-US" w:eastAsia="zh-CN"/>
        </w:rPr>
        <w:t>总计481.94</w:t>
      </w:r>
      <w:r>
        <w:rPr>
          <w:rFonts w:hint="default" w:ascii="Times New Roman" w:hAnsi="Times New Roman" w:eastAsia="方正仿宋_GBK" w:cs="Times New Roman"/>
          <w:b w:val="0"/>
          <w:bCs w:val="0"/>
          <w:color w:val="auto"/>
          <w:sz w:val="32"/>
          <w:szCs w:val="32"/>
        </w:rPr>
        <w:t>万元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丰都县融媒体中心2024年度项目绩效</w:t>
      </w:r>
      <w:r>
        <w:rPr>
          <w:rFonts w:hint="eastAsia" w:ascii="Times New Roman" w:hAnsi="Times New Roman" w:eastAsia="方正仿宋_GBK" w:cs="Times New Roman"/>
          <w:b w:val="0"/>
          <w:bCs w:val="0"/>
          <w:color w:val="auto"/>
          <w:sz w:val="32"/>
          <w:szCs w:val="32"/>
          <w:lang w:val="en-US" w:eastAsia="zh-CN"/>
        </w:rPr>
        <w:t>自评</w:t>
      </w:r>
      <w:r>
        <w:rPr>
          <w:rFonts w:hint="default" w:ascii="Times New Roman" w:hAnsi="Times New Roman" w:eastAsia="方正仿宋_GBK" w:cs="Times New Roman"/>
          <w:b w:val="0"/>
          <w:bCs w:val="0"/>
          <w:color w:val="auto"/>
          <w:sz w:val="32"/>
          <w:szCs w:val="32"/>
          <w:lang w:val="en-US" w:eastAsia="zh-CN"/>
        </w:rPr>
        <w:t>表详见附件。</w:t>
      </w:r>
    </w:p>
    <w:p w14:paraId="77A4D0F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val="0"/>
          <w:kern w:val="0"/>
          <w:sz w:val="32"/>
          <w:szCs w:val="32"/>
          <w:shd w:val="clear" w:fill="FFFFFF"/>
          <w:lang w:eastAsia="zh-CN"/>
        </w:rPr>
      </w:pPr>
    </w:p>
    <w:p w14:paraId="60FF37C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val="0"/>
          <w:kern w:val="0"/>
          <w:sz w:val="32"/>
          <w:szCs w:val="32"/>
          <w:shd w:val="clear" w:fill="FFFFFF"/>
          <w:lang w:eastAsia="zh-CN"/>
        </w:rPr>
      </w:pPr>
    </w:p>
    <w:p w14:paraId="6EB516C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val="0"/>
          <w:kern w:val="0"/>
          <w:sz w:val="32"/>
          <w:szCs w:val="32"/>
          <w:shd w:val="clear" w:fill="FFFFFF"/>
          <w:lang w:eastAsia="zh-CN"/>
        </w:rPr>
        <w:sectPr>
          <w:footerReference r:id="rId3" w:type="default"/>
          <w:pgSz w:w="11915" w:h="16840"/>
          <w:pgMar w:top="2098"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50C389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default" w:ascii="Times New Roman" w:hAnsi="Times New Roman" w:eastAsia="方正仿宋_GBK" w:cs="Times New Roman"/>
          <w:b w:val="0"/>
          <w:bCs w:val="0"/>
          <w:kern w:val="0"/>
          <w:sz w:val="32"/>
          <w:szCs w:val="32"/>
          <w:shd w:val="clear" w:fill="FFFFFF"/>
          <w:lang w:eastAsia="zh-CN"/>
        </w:rPr>
      </w:pPr>
    </w:p>
    <w:tbl>
      <w:tblPr>
        <w:tblStyle w:val="7"/>
        <w:tblW w:w="11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1"/>
        <w:gridCol w:w="726"/>
        <w:gridCol w:w="650"/>
        <w:gridCol w:w="1266"/>
        <w:gridCol w:w="784"/>
        <w:gridCol w:w="1183"/>
        <w:gridCol w:w="850"/>
        <w:gridCol w:w="1283"/>
        <w:gridCol w:w="534"/>
        <w:gridCol w:w="800"/>
        <w:gridCol w:w="1808"/>
      </w:tblGrid>
      <w:tr w14:paraId="6084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128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4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微软雅黑" w:cs="Times New Roman"/>
                <w:b w:val="0"/>
                <w:bCs w:val="0"/>
                <w:i w:val="0"/>
                <w:iCs w:val="0"/>
                <w:color w:val="000000"/>
                <w:sz w:val="40"/>
                <w:szCs w:val="40"/>
                <w:u w:val="none"/>
              </w:rPr>
            </w:pPr>
            <w:r>
              <w:rPr>
                <w:rFonts w:hint="default" w:ascii="Times New Roman" w:hAnsi="Times New Roman" w:eastAsia="微软雅黑" w:cs="Times New Roman"/>
                <w:b w:val="0"/>
                <w:bCs w:val="0"/>
                <w:i w:val="0"/>
                <w:iCs w:val="0"/>
                <w:color w:val="000000"/>
                <w:kern w:val="0"/>
                <w:sz w:val="21"/>
                <w:szCs w:val="21"/>
                <w:u w:val="none"/>
                <w:lang w:val="en-US" w:eastAsia="zh-CN" w:bidi="ar"/>
              </w:rPr>
              <w:t>2024年度部门整体绩效自评表</w:t>
            </w:r>
          </w:p>
        </w:tc>
      </w:tr>
      <w:tr w14:paraId="478B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1128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3CA9">
            <w:pPr>
              <w:jc w:val="right"/>
              <w:rPr>
                <w:rFonts w:hint="default" w:ascii="Times New Roman" w:hAnsi="Times New Roman" w:eastAsia="宋体" w:cs="Times New Roman"/>
                <w:b w:val="0"/>
                <w:bCs w:val="0"/>
                <w:i w:val="0"/>
                <w:iCs w:val="0"/>
                <w:color w:val="DA3232"/>
                <w:sz w:val="18"/>
                <w:szCs w:val="18"/>
                <w:u w:val="none"/>
              </w:rPr>
            </w:pPr>
          </w:p>
        </w:tc>
      </w:tr>
      <w:tr w14:paraId="3F12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11A7">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项目名称：</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66DE">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丰都县融媒体中心整体监控</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8016">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项目编码：</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1EB0">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50023000024P000029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DBA2">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16"/>
                <w:szCs w:val="16"/>
                <w:u w:val="none"/>
              </w:rPr>
            </w:pPr>
            <w:r>
              <w:rPr>
                <w:rFonts w:hint="eastAsia" w:ascii="Times New Roman" w:hAnsi="Times New Roman" w:cs="Times New Roman"/>
                <w:b w:val="0"/>
                <w:bCs w:val="0"/>
                <w:i w:val="0"/>
                <w:iCs w:val="0"/>
                <w:color w:val="000000"/>
                <w:kern w:val="0"/>
                <w:sz w:val="16"/>
                <w:szCs w:val="16"/>
                <w:u w:val="none"/>
                <w:lang w:val="en-US" w:eastAsia="zh-CN" w:bidi="ar"/>
              </w:rPr>
              <w:t>自</w:t>
            </w:r>
            <w:r>
              <w:rPr>
                <w:rFonts w:hint="default" w:ascii="Times New Roman" w:hAnsi="Times New Roman" w:eastAsia="宋体" w:cs="Times New Roman"/>
                <w:b w:val="0"/>
                <w:bCs w:val="0"/>
                <w:i w:val="0"/>
                <w:iCs w:val="0"/>
                <w:color w:val="000000"/>
                <w:kern w:val="0"/>
                <w:sz w:val="16"/>
                <w:szCs w:val="16"/>
                <w:u w:val="none"/>
                <w:lang w:val="en-US" w:eastAsia="zh-CN" w:bidi="ar"/>
              </w:rPr>
              <w:t>评总分：</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8604">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E0BA">
            <w:pPr>
              <w:jc w:val="right"/>
              <w:rPr>
                <w:rFonts w:hint="default" w:ascii="Times New Roman" w:hAnsi="Times New Roman" w:eastAsia="宋体" w:cs="Times New Roman"/>
                <w:b w:val="0"/>
                <w:bCs w:val="0"/>
                <w:i w:val="0"/>
                <w:iCs w:val="0"/>
                <w:color w:val="000000"/>
                <w:sz w:val="16"/>
                <w:szCs w:val="16"/>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E7FD">
            <w:pPr>
              <w:rPr>
                <w:rFonts w:hint="default" w:ascii="Times New Roman" w:hAnsi="Times New Roman" w:eastAsia="宋体" w:cs="Times New Roman"/>
                <w:b w:val="0"/>
                <w:bCs w:val="0"/>
                <w:i w:val="0"/>
                <w:iCs w:val="0"/>
                <w:color w:val="000000"/>
                <w:sz w:val="16"/>
                <w:szCs w:val="16"/>
                <w:u w:val="none"/>
              </w:rPr>
            </w:pPr>
          </w:p>
        </w:tc>
      </w:tr>
      <w:tr w14:paraId="72C6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CDEF">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项目主管部门：</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4C26">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207-丰都县融媒体中心</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B275">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财政归口处室：</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D2B2">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002-教科文科</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CA16">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部门联系人：</w:t>
            </w:r>
          </w:p>
        </w:tc>
        <w:tc>
          <w:tcPr>
            <w:tcW w:w="18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D839">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李曾真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8A43">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联系电话：</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C0DF">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19923659389</w:t>
            </w:r>
          </w:p>
        </w:tc>
      </w:tr>
      <w:tr w14:paraId="3E3A4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1128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36F3">
            <w:pPr>
              <w:keepNext w:val="0"/>
              <w:keepLines w:val="0"/>
              <w:widowControl/>
              <w:suppressLineNumbers w:val="0"/>
              <w:jc w:val="center"/>
              <w:textAlignment w:val="center"/>
              <w:rPr>
                <w:rFonts w:hint="default" w:ascii="Times New Roman" w:hAnsi="Times New Roman" w:eastAsia="微软雅黑" w:cs="Times New Roman"/>
                <w:b w:val="0"/>
                <w:bCs w:val="0"/>
                <w:i w:val="0"/>
                <w:iCs w:val="0"/>
                <w:color w:val="808080"/>
                <w:sz w:val="16"/>
                <w:szCs w:val="16"/>
                <w:u w:val="none"/>
              </w:rPr>
            </w:pPr>
            <w:r>
              <w:rPr>
                <w:rFonts w:hint="default" w:ascii="Times New Roman" w:hAnsi="Times New Roman" w:eastAsia="微软雅黑" w:cs="Times New Roman"/>
                <w:b w:val="0"/>
                <w:bCs w:val="0"/>
                <w:i w:val="0"/>
                <w:iCs w:val="0"/>
                <w:color w:val="808080"/>
                <w:kern w:val="0"/>
                <w:sz w:val="16"/>
                <w:szCs w:val="16"/>
                <w:u w:val="none"/>
                <w:lang w:val="en-US" w:eastAsia="zh-CN" w:bidi="ar"/>
              </w:rPr>
              <w:t>资金情况</w:t>
            </w:r>
          </w:p>
        </w:tc>
      </w:tr>
      <w:tr w14:paraId="5BA6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86F5">
            <w:pPr>
              <w:jc w:val="center"/>
              <w:rPr>
                <w:rFonts w:hint="default" w:ascii="Times New Roman" w:hAnsi="Times New Roman" w:eastAsia="宋体" w:cs="Times New Roman"/>
                <w:b w:val="0"/>
                <w:bCs w:val="0"/>
                <w:i w:val="0"/>
                <w:iCs w:val="0"/>
                <w:color w:val="000000"/>
                <w:sz w:val="16"/>
                <w:szCs w:val="16"/>
                <w:u w:val="none"/>
              </w:rPr>
            </w:pPr>
          </w:p>
        </w:tc>
        <w:tc>
          <w:tcPr>
            <w:tcW w:w="1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A148">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年初预算数</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7B5D">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全年（调整）预算数</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F29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全年执行数</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AA7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执行率</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0E55">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执行率权重</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7B1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执行率得分</w:t>
            </w:r>
          </w:p>
        </w:tc>
      </w:tr>
      <w:tr w14:paraId="3575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401" w:type="dxa"/>
            <w:tcBorders>
              <w:top w:val="single" w:color="000000" w:sz="4" w:space="0"/>
              <w:left w:val="single" w:color="000000" w:sz="4" w:space="0"/>
              <w:bottom w:val="single" w:color="000000" w:sz="4" w:space="0"/>
              <w:right w:val="nil"/>
            </w:tcBorders>
            <w:shd w:val="clear" w:color="auto" w:fill="auto"/>
            <w:vAlign w:val="center"/>
          </w:tcPr>
          <w:p w14:paraId="6B1DCD8C">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年度总金额</w:t>
            </w:r>
          </w:p>
        </w:tc>
        <w:tc>
          <w:tcPr>
            <w:tcW w:w="726" w:type="dxa"/>
            <w:tcBorders>
              <w:top w:val="single" w:color="000000" w:sz="4" w:space="0"/>
              <w:left w:val="nil"/>
              <w:bottom w:val="single" w:color="000000" w:sz="4" w:space="0"/>
              <w:right w:val="single" w:color="000000" w:sz="4" w:space="0"/>
            </w:tcBorders>
            <w:shd w:val="clear" w:color="auto" w:fill="auto"/>
            <w:noWrap/>
            <w:vAlign w:val="center"/>
          </w:tcPr>
          <w:p w14:paraId="702AA58F">
            <w:pPr>
              <w:rPr>
                <w:rFonts w:hint="default" w:ascii="Times New Roman" w:hAnsi="Times New Roman" w:eastAsia="宋体" w:cs="Times New Roman"/>
                <w:b w:val="0"/>
                <w:bCs w:val="0"/>
                <w:i w:val="0"/>
                <w:iCs w:val="0"/>
                <w:color w:val="000000"/>
                <w:sz w:val="16"/>
                <w:szCs w:val="16"/>
                <w:u w:val="none"/>
              </w:rPr>
            </w:pPr>
          </w:p>
        </w:tc>
        <w:tc>
          <w:tcPr>
            <w:tcW w:w="650" w:type="dxa"/>
            <w:tcBorders>
              <w:top w:val="single" w:color="000000" w:sz="4" w:space="0"/>
              <w:left w:val="single" w:color="000000" w:sz="4" w:space="0"/>
              <w:bottom w:val="single" w:color="000000" w:sz="4" w:space="0"/>
              <w:right w:val="nil"/>
            </w:tcBorders>
            <w:shd w:val="clear" w:color="auto" w:fill="auto"/>
            <w:noWrap/>
            <w:vAlign w:val="center"/>
          </w:tcPr>
          <w:p w14:paraId="0E073A9A">
            <w:pPr>
              <w:rPr>
                <w:rFonts w:hint="default" w:ascii="Times New Roman" w:hAnsi="Times New Roman" w:eastAsia="宋体" w:cs="Times New Roman"/>
                <w:b w:val="0"/>
                <w:bCs w:val="0"/>
                <w:i w:val="0"/>
                <w:iCs w:val="0"/>
                <w:color w:val="000000"/>
                <w:sz w:val="16"/>
                <w:szCs w:val="16"/>
                <w:u w:val="none"/>
              </w:rPr>
            </w:pPr>
          </w:p>
        </w:tc>
        <w:tc>
          <w:tcPr>
            <w:tcW w:w="1266" w:type="dxa"/>
            <w:tcBorders>
              <w:top w:val="single" w:color="000000" w:sz="4" w:space="0"/>
              <w:left w:val="nil"/>
              <w:bottom w:val="single" w:color="000000" w:sz="4" w:space="0"/>
              <w:right w:val="single" w:color="000000" w:sz="4" w:space="0"/>
            </w:tcBorders>
            <w:shd w:val="clear" w:color="auto" w:fill="auto"/>
            <w:noWrap/>
            <w:vAlign w:val="center"/>
          </w:tcPr>
          <w:p w14:paraId="587170EE">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14,774,827.66 </w:t>
            </w:r>
          </w:p>
        </w:tc>
        <w:tc>
          <w:tcPr>
            <w:tcW w:w="784" w:type="dxa"/>
            <w:tcBorders>
              <w:top w:val="single" w:color="000000" w:sz="4" w:space="0"/>
              <w:left w:val="single" w:color="000000" w:sz="4" w:space="0"/>
              <w:bottom w:val="single" w:color="000000" w:sz="4" w:space="0"/>
              <w:right w:val="nil"/>
            </w:tcBorders>
            <w:shd w:val="clear" w:color="auto" w:fill="auto"/>
            <w:noWrap/>
            <w:vAlign w:val="center"/>
          </w:tcPr>
          <w:p w14:paraId="6CE98182">
            <w:pPr>
              <w:rPr>
                <w:rFonts w:hint="default" w:ascii="Times New Roman" w:hAnsi="Times New Roman" w:eastAsia="宋体" w:cs="Times New Roman"/>
                <w:b w:val="0"/>
                <w:bCs w:val="0"/>
                <w:i w:val="0"/>
                <w:iCs w:val="0"/>
                <w:color w:val="000000"/>
                <w:sz w:val="16"/>
                <w:szCs w:val="16"/>
                <w:u w:val="none"/>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14:paraId="5A295B4D">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19,118,446.08 </w:t>
            </w:r>
          </w:p>
        </w:tc>
        <w:tc>
          <w:tcPr>
            <w:tcW w:w="850" w:type="dxa"/>
            <w:tcBorders>
              <w:top w:val="single" w:color="000000" w:sz="4" w:space="0"/>
              <w:left w:val="single" w:color="000000" w:sz="4" w:space="0"/>
              <w:bottom w:val="single" w:color="000000" w:sz="4" w:space="0"/>
              <w:right w:val="nil"/>
            </w:tcBorders>
            <w:shd w:val="clear" w:color="auto" w:fill="auto"/>
            <w:noWrap/>
            <w:vAlign w:val="center"/>
          </w:tcPr>
          <w:p w14:paraId="1604A3D5">
            <w:pPr>
              <w:rPr>
                <w:rFonts w:hint="default" w:ascii="Times New Roman" w:hAnsi="Times New Roman" w:eastAsia="宋体" w:cs="Times New Roman"/>
                <w:b w:val="0"/>
                <w:bCs w:val="0"/>
                <w:i w:val="0"/>
                <w:iCs w:val="0"/>
                <w:color w:val="000000"/>
                <w:sz w:val="16"/>
                <w:szCs w:val="16"/>
                <w:u w:val="none"/>
              </w:rPr>
            </w:pPr>
          </w:p>
        </w:tc>
        <w:tc>
          <w:tcPr>
            <w:tcW w:w="1283" w:type="dxa"/>
            <w:tcBorders>
              <w:top w:val="single" w:color="000000" w:sz="4" w:space="0"/>
              <w:left w:val="nil"/>
              <w:bottom w:val="single" w:color="000000" w:sz="4" w:space="0"/>
              <w:right w:val="single" w:color="000000" w:sz="4" w:space="0"/>
            </w:tcBorders>
            <w:shd w:val="clear" w:color="auto" w:fill="auto"/>
            <w:noWrap/>
            <w:vAlign w:val="center"/>
          </w:tcPr>
          <w:p w14:paraId="788632EC">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19,118,446.08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9814">
            <w:pPr>
              <w:rPr>
                <w:rFonts w:hint="default" w:ascii="Times New Roman" w:hAnsi="Times New Roman" w:eastAsia="宋体" w:cs="Times New Roman"/>
                <w:b w:val="0"/>
                <w:bCs w:val="0"/>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BB8B">
            <w:pPr>
              <w:rPr>
                <w:rFonts w:hint="default" w:ascii="Times New Roman" w:hAnsi="Times New Roman" w:eastAsia="宋体" w:cs="Times New Roman"/>
                <w:b w:val="0"/>
                <w:bCs w:val="0"/>
                <w:i w:val="0"/>
                <w:iCs w:val="0"/>
                <w:color w:val="000000"/>
                <w:sz w:val="16"/>
                <w:szCs w:val="16"/>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F7B9">
            <w:pPr>
              <w:jc w:val="right"/>
              <w:rPr>
                <w:rFonts w:hint="default" w:ascii="Times New Roman" w:hAnsi="Times New Roman" w:eastAsia="宋体" w:cs="Times New Roman"/>
                <w:b w:val="0"/>
                <w:bCs w:val="0"/>
                <w:i w:val="0"/>
                <w:iCs w:val="0"/>
                <w:color w:val="000000"/>
                <w:sz w:val="16"/>
                <w:szCs w:val="16"/>
                <w:u w:val="none"/>
              </w:rPr>
            </w:pPr>
          </w:p>
        </w:tc>
      </w:tr>
      <w:tr w14:paraId="4987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01" w:type="dxa"/>
            <w:tcBorders>
              <w:top w:val="single" w:color="000000" w:sz="4" w:space="0"/>
              <w:left w:val="single" w:color="000000" w:sz="4" w:space="0"/>
              <w:bottom w:val="single" w:color="000000" w:sz="4" w:space="0"/>
              <w:right w:val="nil"/>
            </w:tcBorders>
            <w:shd w:val="clear" w:color="auto" w:fill="auto"/>
            <w:vAlign w:val="center"/>
          </w:tcPr>
          <w:p w14:paraId="349BCB75">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其中：财政拨款</w:t>
            </w:r>
          </w:p>
        </w:tc>
        <w:tc>
          <w:tcPr>
            <w:tcW w:w="726" w:type="dxa"/>
            <w:tcBorders>
              <w:top w:val="single" w:color="000000" w:sz="4" w:space="0"/>
              <w:left w:val="nil"/>
              <w:bottom w:val="single" w:color="000000" w:sz="4" w:space="0"/>
              <w:right w:val="single" w:color="000000" w:sz="4" w:space="0"/>
            </w:tcBorders>
            <w:shd w:val="clear" w:color="auto" w:fill="auto"/>
            <w:noWrap/>
            <w:vAlign w:val="center"/>
          </w:tcPr>
          <w:p w14:paraId="00ACB1B8">
            <w:pPr>
              <w:rPr>
                <w:rFonts w:hint="default" w:ascii="Times New Roman" w:hAnsi="Times New Roman" w:eastAsia="宋体" w:cs="Times New Roman"/>
                <w:b w:val="0"/>
                <w:bCs w:val="0"/>
                <w:i w:val="0"/>
                <w:iCs w:val="0"/>
                <w:color w:val="000000"/>
                <w:sz w:val="16"/>
                <w:szCs w:val="16"/>
                <w:u w:val="none"/>
              </w:rPr>
            </w:pPr>
          </w:p>
        </w:tc>
        <w:tc>
          <w:tcPr>
            <w:tcW w:w="650" w:type="dxa"/>
            <w:tcBorders>
              <w:top w:val="single" w:color="000000" w:sz="4" w:space="0"/>
              <w:left w:val="single" w:color="000000" w:sz="4" w:space="0"/>
              <w:bottom w:val="single" w:color="000000" w:sz="4" w:space="0"/>
              <w:right w:val="nil"/>
            </w:tcBorders>
            <w:shd w:val="clear" w:color="auto" w:fill="auto"/>
            <w:noWrap/>
            <w:vAlign w:val="center"/>
          </w:tcPr>
          <w:p w14:paraId="551DB9F1">
            <w:pPr>
              <w:rPr>
                <w:rFonts w:hint="default" w:ascii="Times New Roman" w:hAnsi="Times New Roman" w:eastAsia="宋体" w:cs="Times New Roman"/>
                <w:b w:val="0"/>
                <w:bCs w:val="0"/>
                <w:i w:val="0"/>
                <w:iCs w:val="0"/>
                <w:color w:val="000000"/>
                <w:sz w:val="16"/>
                <w:szCs w:val="16"/>
                <w:u w:val="none"/>
              </w:rPr>
            </w:pPr>
          </w:p>
        </w:tc>
        <w:tc>
          <w:tcPr>
            <w:tcW w:w="1266" w:type="dxa"/>
            <w:tcBorders>
              <w:top w:val="single" w:color="000000" w:sz="4" w:space="0"/>
              <w:left w:val="nil"/>
              <w:bottom w:val="single" w:color="000000" w:sz="4" w:space="0"/>
              <w:right w:val="single" w:color="000000" w:sz="4" w:space="0"/>
            </w:tcBorders>
            <w:shd w:val="clear" w:color="auto" w:fill="auto"/>
            <w:noWrap/>
            <w:vAlign w:val="center"/>
          </w:tcPr>
          <w:p w14:paraId="6EFA3D76">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14,774,827.66 </w:t>
            </w:r>
          </w:p>
        </w:tc>
        <w:tc>
          <w:tcPr>
            <w:tcW w:w="784" w:type="dxa"/>
            <w:tcBorders>
              <w:top w:val="single" w:color="000000" w:sz="4" w:space="0"/>
              <w:left w:val="single" w:color="000000" w:sz="4" w:space="0"/>
              <w:bottom w:val="single" w:color="000000" w:sz="4" w:space="0"/>
              <w:right w:val="nil"/>
            </w:tcBorders>
            <w:shd w:val="clear" w:color="auto" w:fill="auto"/>
            <w:noWrap/>
            <w:vAlign w:val="center"/>
          </w:tcPr>
          <w:p w14:paraId="51E41B08">
            <w:pPr>
              <w:rPr>
                <w:rFonts w:hint="default" w:ascii="Times New Roman" w:hAnsi="Times New Roman" w:eastAsia="宋体" w:cs="Times New Roman"/>
                <w:b w:val="0"/>
                <w:bCs w:val="0"/>
                <w:i w:val="0"/>
                <w:iCs w:val="0"/>
                <w:color w:val="000000"/>
                <w:sz w:val="16"/>
                <w:szCs w:val="16"/>
                <w:u w:val="none"/>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14:paraId="392F9E59">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19,118,446.08 </w:t>
            </w:r>
          </w:p>
        </w:tc>
        <w:tc>
          <w:tcPr>
            <w:tcW w:w="850" w:type="dxa"/>
            <w:tcBorders>
              <w:top w:val="single" w:color="000000" w:sz="4" w:space="0"/>
              <w:left w:val="single" w:color="000000" w:sz="4" w:space="0"/>
              <w:bottom w:val="single" w:color="000000" w:sz="4" w:space="0"/>
              <w:right w:val="nil"/>
            </w:tcBorders>
            <w:shd w:val="clear" w:color="auto" w:fill="auto"/>
            <w:noWrap/>
            <w:vAlign w:val="center"/>
          </w:tcPr>
          <w:p w14:paraId="2B57024F">
            <w:pPr>
              <w:rPr>
                <w:rFonts w:hint="default" w:ascii="Times New Roman" w:hAnsi="Times New Roman" w:eastAsia="宋体" w:cs="Times New Roman"/>
                <w:b w:val="0"/>
                <w:bCs w:val="0"/>
                <w:i w:val="0"/>
                <w:iCs w:val="0"/>
                <w:color w:val="000000"/>
                <w:sz w:val="16"/>
                <w:szCs w:val="16"/>
                <w:u w:val="none"/>
              </w:rPr>
            </w:pPr>
          </w:p>
        </w:tc>
        <w:tc>
          <w:tcPr>
            <w:tcW w:w="1283" w:type="dxa"/>
            <w:tcBorders>
              <w:top w:val="single" w:color="000000" w:sz="4" w:space="0"/>
              <w:left w:val="nil"/>
              <w:bottom w:val="single" w:color="000000" w:sz="4" w:space="0"/>
              <w:right w:val="single" w:color="000000" w:sz="4" w:space="0"/>
            </w:tcBorders>
            <w:shd w:val="clear" w:color="auto" w:fill="auto"/>
            <w:noWrap/>
            <w:vAlign w:val="center"/>
          </w:tcPr>
          <w:p w14:paraId="417CBAC1">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19,118,446.08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4F32">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419F">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10.00</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7012">
            <w:pPr>
              <w:keepNext w:val="0"/>
              <w:keepLines w:val="0"/>
              <w:widowControl/>
              <w:suppressLineNumbers w:val="0"/>
              <w:ind w:firstLineChars="10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10.00 </w:t>
            </w:r>
          </w:p>
        </w:tc>
      </w:tr>
      <w:tr w14:paraId="3362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01" w:type="dxa"/>
            <w:tcBorders>
              <w:top w:val="single" w:color="000000" w:sz="4" w:space="0"/>
              <w:left w:val="single" w:color="000000" w:sz="4" w:space="0"/>
              <w:bottom w:val="single" w:color="000000" w:sz="4" w:space="0"/>
              <w:right w:val="nil"/>
            </w:tcBorders>
            <w:shd w:val="clear" w:color="auto" w:fill="auto"/>
            <w:vAlign w:val="center"/>
          </w:tcPr>
          <w:p w14:paraId="14E8B592">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一般公共预算</w:t>
            </w:r>
          </w:p>
        </w:tc>
        <w:tc>
          <w:tcPr>
            <w:tcW w:w="726" w:type="dxa"/>
            <w:tcBorders>
              <w:top w:val="single" w:color="000000" w:sz="4" w:space="0"/>
              <w:left w:val="nil"/>
              <w:bottom w:val="single" w:color="000000" w:sz="4" w:space="0"/>
              <w:right w:val="single" w:color="000000" w:sz="4" w:space="0"/>
            </w:tcBorders>
            <w:shd w:val="clear" w:color="auto" w:fill="auto"/>
            <w:noWrap/>
            <w:vAlign w:val="center"/>
          </w:tcPr>
          <w:p w14:paraId="0BD01050">
            <w:pPr>
              <w:rPr>
                <w:rFonts w:hint="default" w:ascii="Times New Roman" w:hAnsi="Times New Roman" w:eastAsia="宋体" w:cs="Times New Roman"/>
                <w:b w:val="0"/>
                <w:bCs w:val="0"/>
                <w:i w:val="0"/>
                <w:iCs w:val="0"/>
                <w:color w:val="000000"/>
                <w:sz w:val="16"/>
                <w:szCs w:val="16"/>
                <w:u w:val="none"/>
              </w:rPr>
            </w:pPr>
          </w:p>
        </w:tc>
        <w:tc>
          <w:tcPr>
            <w:tcW w:w="650" w:type="dxa"/>
            <w:tcBorders>
              <w:top w:val="single" w:color="000000" w:sz="4" w:space="0"/>
              <w:left w:val="single" w:color="000000" w:sz="4" w:space="0"/>
              <w:bottom w:val="single" w:color="000000" w:sz="4" w:space="0"/>
              <w:right w:val="nil"/>
            </w:tcBorders>
            <w:shd w:val="clear" w:color="auto" w:fill="auto"/>
            <w:noWrap/>
            <w:vAlign w:val="center"/>
          </w:tcPr>
          <w:p w14:paraId="1A063B05">
            <w:pPr>
              <w:rPr>
                <w:rFonts w:hint="default" w:ascii="Times New Roman" w:hAnsi="Times New Roman" w:eastAsia="宋体" w:cs="Times New Roman"/>
                <w:b w:val="0"/>
                <w:bCs w:val="0"/>
                <w:i w:val="0"/>
                <w:iCs w:val="0"/>
                <w:color w:val="000000"/>
                <w:sz w:val="16"/>
                <w:szCs w:val="16"/>
                <w:u w:val="none"/>
              </w:rPr>
            </w:pPr>
          </w:p>
        </w:tc>
        <w:tc>
          <w:tcPr>
            <w:tcW w:w="1266" w:type="dxa"/>
            <w:tcBorders>
              <w:top w:val="single" w:color="000000" w:sz="4" w:space="0"/>
              <w:left w:val="nil"/>
              <w:bottom w:val="single" w:color="000000" w:sz="4" w:space="0"/>
              <w:right w:val="single" w:color="000000" w:sz="4" w:space="0"/>
            </w:tcBorders>
            <w:shd w:val="clear" w:color="auto" w:fill="auto"/>
            <w:noWrap/>
            <w:vAlign w:val="center"/>
          </w:tcPr>
          <w:p w14:paraId="1CAB9879">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14,774,827.66 </w:t>
            </w:r>
          </w:p>
        </w:tc>
        <w:tc>
          <w:tcPr>
            <w:tcW w:w="784" w:type="dxa"/>
            <w:tcBorders>
              <w:top w:val="single" w:color="000000" w:sz="4" w:space="0"/>
              <w:left w:val="single" w:color="000000" w:sz="4" w:space="0"/>
              <w:bottom w:val="single" w:color="000000" w:sz="4" w:space="0"/>
              <w:right w:val="nil"/>
            </w:tcBorders>
            <w:shd w:val="clear" w:color="auto" w:fill="auto"/>
            <w:noWrap/>
            <w:vAlign w:val="center"/>
          </w:tcPr>
          <w:p w14:paraId="0DEBAA8C">
            <w:pPr>
              <w:rPr>
                <w:rFonts w:hint="default" w:ascii="Times New Roman" w:hAnsi="Times New Roman" w:eastAsia="宋体" w:cs="Times New Roman"/>
                <w:b w:val="0"/>
                <w:bCs w:val="0"/>
                <w:i w:val="0"/>
                <w:iCs w:val="0"/>
                <w:color w:val="000000"/>
                <w:sz w:val="16"/>
                <w:szCs w:val="16"/>
                <w:u w:val="none"/>
              </w:rPr>
            </w:pPr>
          </w:p>
        </w:tc>
        <w:tc>
          <w:tcPr>
            <w:tcW w:w="1183" w:type="dxa"/>
            <w:tcBorders>
              <w:top w:val="single" w:color="000000" w:sz="4" w:space="0"/>
              <w:left w:val="nil"/>
              <w:bottom w:val="single" w:color="000000" w:sz="4" w:space="0"/>
              <w:right w:val="single" w:color="000000" w:sz="4" w:space="0"/>
            </w:tcBorders>
            <w:shd w:val="clear" w:color="auto" w:fill="auto"/>
            <w:vAlign w:val="center"/>
          </w:tcPr>
          <w:p w14:paraId="20D1A88A">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19,118,446.08 </w:t>
            </w:r>
          </w:p>
        </w:tc>
        <w:tc>
          <w:tcPr>
            <w:tcW w:w="850" w:type="dxa"/>
            <w:tcBorders>
              <w:top w:val="single" w:color="000000" w:sz="4" w:space="0"/>
              <w:left w:val="single" w:color="000000" w:sz="4" w:space="0"/>
              <w:bottom w:val="single" w:color="000000" w:sz="4" w:space="0"/>
              <w:right w:val="nil"/>
            </w:tcBorders>
            <w:shd w:val="clear" w:color="auto" w:fill="auto"/>
            <w:noWrap/>
            <w:vAlign w:val="center"/>
          </w:tcPr>
          <w:p w14:paraId="61DEE62F">
            <w:pPr>
              <w:rPr>
                <w:rFonts w:hint="default" w:ascii="Times New Roman" w:hAnsi="Times New Roman" w:eastAsia="宋体" w:cs="Times New Roman"/>
                <w:b w:val="0"/>
                <w:bCs w:val="0"/>
                <w:i w:val="0"/>
                <w:iCs w:val="0"/>
                <w:color w:val="000000"/>
                <w:sz w:val="16"/>
                <w:szCs w:val="16"/>
                <w:u w:val="none"/>
              </w:rPr>
            </w:pPr>
          </w:p>
        </w:tc>
        <w:tc>
          <w:tcPr>
            <w:tcW w:w="1283" w:type="dxa"/>
            <w:tcBorders>
              <w:top w:val="single" w:color="000000" w:sz="4" w:space="0"/>
              <w:left w:val="nil"/>
              <w:bottom w:val="single" w:color="000000" w:sz="4" w:space="0"/>
              <w:right w:val="single" w:color="000000" w:sz="4" w:space="0"/>
            </w:tcBorders>
            <w:shd w:val="clear" w:color="auto" w:fill="auto"/>
            <w:noWrap/>
            <w:vAlign w:val="center"/>
          </w:tcPr>
          <w:p w14:paraId="75607D49">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 xml:space="preserve">19,118,446.08 </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88E">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8FD0">
            <w:pPr>
              <w:rPr>
                <w:rFonts w:hint="default" w:ascii="Times New Roman" w:hAnsi="Times New Roman" w:eastAsia="宋体" w:cs="Times New Roman"/>
                <w:b w:val="0"/>
                <w:bCs w:val="0"/>
                <w:i w:val="0"/>
                <w:iCs w:val="0"/>
                <w:color w:val="000000"/>
                <w:sz w:val="16"/>
                <w:szCs w:val="16"/>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B5DD">
            <w:pPr>
              <w:jc w:val="right"/>
              <w:rPr>
                <w:rFonts w:hint="default" w:ascii="Times New Roman" w:hAnsi="Times New Roman" w:eastAsia="宋体" w:cs="Times New Roman"/>
                <w:b w:val="0"/>
                <w:bCs w:val="0"/>
                <w:i w:val="0"/>
                <w:iCs w:val="0"/>
                <w:color w:val="000000"/>
                <w:sz w:val="16"/>
                <w:szCs w:val="16"/>
                <w:u w:val="none"/>
              </w:rPr>
            </w:pPr>
          </w:p>
        </w:tc>
      </w:tr>
      <w:tr w14:paraId="3C5F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128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2BE2">
            <w:pPr>
              <w:keepNext w:val="0"/>
              <w:keepLines w:val="0"/>
              <w:widowControl/>
              <w:suppressLineNumbers w:val="0"/>
              <w:jc w:val="center"/>
              <w:textAlignment w:val="center"/>
              <w:rPr>
                <w:rFonts w:hint="default" w:ascii="Times New Roman" w:hAnsi="Times New Roman" w:eastAsia="微软雅黑" w:cs="Times New Roman"/>
                <w:b w:val="0"/>
                <w:bCs w:val="0"/>
                <w:i w:val="0"/>
                <w:iCs w:val="0"/>
                <w:color w:val="808080"/>
                <w:sz w:val="16"/>
                <w:szCs w:val="16"/>
                <w:u w:val="none"/>
              </w:rPr>
            </w:pPr>
            <w:r>
              <w:rPr>
                <w:rFonts w:hint="default" w:ascii="Times New Roman" w:hAnsi="Times New Roman" w:eastAsia="微软雅黑" w:cs="Times New Roman"/>
                <w:b w:val="0"/>
                <w:bCs w:val="0"/>
                <w:i w:val="0"/>
                <w:iCs w:val="0"/>
                <w:color w:val="808080"/>
                <w:kern w:val="0"/>
                <w:sz w:val="16"/>
                <w:szCs w:val="16"/>
                <w:u w:val="none"/>
                <w:lang w:val="en-US" w:eastAsia="zh-CN" w:bidi="ar"/>
              </w:rPr>
              <w:t>绩效目标</w:t>
            </w:r>
          </w:p>
        </w:tc>
      </w:tr>
      <w:tr w14:paraId="3294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0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FA04">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年初绩效目标</w:t>
            </w:r>
          </w:p>
        </w:tc>
        <w:tc>
          <w:tcPr>
            <w:tcW w:w="41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EA6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全年（调整）绩效目标</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955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全年目标实际完成情况</w:t>
            </w:r>
          </w:p>
        </w:tc>
      </w:tr>
      <w:tr w14:paraId="2227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40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5EC29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坚持党建引领、守正创新，不断提升新闻舆论传播力引导力影响力公信力，大力推进媒体深度融合，以宣传浓墨重彩，营造浓厚氛围。一是深入学习、宣传、</w:t>
            </w:r>
            <w:r>
              <w:rPr>
                <w:rFonts w:hint="eastAsia" w:ascii="Times New Roman" w:hAnsi="Times New Roman" w:cs="Times New Roman"/>
                <w:b w:val="0"/>
                <w:bCs w:val="0"/>
                <w:i w:val="0"/>
                <w:iCs w:val="0"/>
                <w:color w:val="000000"/>
                <w:kern w:val="0"/>
                <w:sz w:val="16"/>
                <w:szCs w:val="16"/>
                <w:u w:val="none"/>
                <w:lang w:val="en-US" w:eastAsia="zh-CN" w:bidi="ar"/>
              </w:rPr>
              <w:t>学习</w:t>
            </w:r>
            <w:r>
              <w:rPr>
                <w:rFonts w:hint="default" w:ascii="Times New Roman" w:hAnsi="Times New Roman" w:eastAsia="宋体" w:cs="Times New Roman"/>
                <w:b w:val="0"/>
                <w:bCs w:val="0"/>
                <w:i w:val="0"/>
                <w:iCs w:val="0"/>
                <w:color w:val="000000"/>
                <w:kern w:val="0"/>
                <w:sz w:val="16"/>
                <w:szCs w:val="16"/>
                <w:u w:val="none"/>
                <w:lang w:val="en-US" w:eastAsia="zh-CN" w:bidi="ar"/>
              </w:rPr>
              <w:t>贯彻习近平新时代中国特色社会主义思想。二是巩固壮大新时代主流思想舆论。创新宣传方式，狠抓新闻质量，继续大力开展习近平新时代中国特色社会主义思想等主题宣传报道，继续围绕县委、县政府中心工作开展形势政策宣传，继续生产更多老百姓喜闻乐见的爆款融媒产品。加大对中央、市级媒体的供稿力度，力争交出A档高分文化报表。三是持续深化改革。按照县委、县政府部署要求，做好采编中心、手机台、客户端、新闻网在“渝快政”数字架构工作，有序推进文化传媒公司组建。根据媒体发展需要，研究出台科学的全媒体记者考核机制，优化科室设置，更好统筹整合媒体资源、新闻资源、人力资源。四是全面加强党的建设。坚持全面从严治党，强化建章立制、常态管理，狠抓作风效能提升，努力打造“政治过硬、能力过硬、作风过硬”的融媒铁军。</w:t>
            </w:r>
          </w:p>
        </w:tc>
        <w:tc>
          <w:tcPr>
            <w:tcW w:w="41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5EEBF6">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2024年县融媒体中心在县委的坚强领导下，在县委宣传部的科学指导下，坚持围绕中心、服务大局，坚持守正创新、系统集成，以不断强化党对新闻舆论工作的领导为统揽，进一步全面深化改革，持续传递正能量、发出好声音、营造好氛围，切实为全县经济社会高质量发展提供了坚强的思想保证和舆论支持。全年出版《丰都日报》145期，刊发《丰都新闻》《新闻周刊》《新闻博览》532期，手机报242期、专刊8期。栏目专题全媒体总计71期、新媒体作品（抖音、视频号等）2300篇（条），广播电视播出8760小时。</w:t>
            </w:r>
          </w:p>
        </w:tc>
        <w:tc>
          <w:tcPr>
            <w:tcW w:w="314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782C6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top"/>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2024年县融媒体中心在县委的坚强领导下，在县委宣传部的科学指导下，坚持围绕中心、服务大局，坚持守正创新、系统集成，以不断强化党对新闻舆论工作的领导为统揽，进一步全面深化改革，持续传递正能量、发出好声音、营造好氛围，切实为全县经济社会高质量发展提供了坚强的思想保证和舆论支持。全年出版《丰都日报》145期，刊发《丰都新闻》《新闻周刊》《新闻博览》532期，手机报242期、专刊8期。栏目专题全媒体总计71期、新媒体作品（抖音、视频号等）2300篇（条），广播电视播出8760小时。</w:t>
            </w:r>
          </w:p>
        </w:tc>
      </w:tr>
      <w:tr w14:paraId="6C3B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28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B55E">
            <w:pPr>
              <w:keepNext w:val="0"/>
              <w:keepLines w:val="0"/>
              <w:widowControl/>
              <w:suppressLineNumbers w:val="0"/>
              <w:jc w:val="center"/>
              <w:textAlignment w:val="center"/>
              <w:rPr>
                <w:rFonts w:hint="default" w:ascii="Times New Roman" w:hAnsi="Times New Roman" w:eastAsia="微软雅黑" w:cs="Times New Roman"/>
                <w:b w:val="0"/>
                <w:bCs w:val="0"/>
                <w:i w:val="0"/>
                <w:iCs w:val="0"/>
                <w:color w:val="808080"/>
                <w:sz w:val="16"/>
                <w:szCs w:val="16"/>
                <w:u w:val="none"/>
              </w:rPr>
            </w:pPr>
            <w:r>
              <w:rPr>
                <w:rFonts w:hint="default" w:ascii="Times New Roman" w:hAnsi="Times New Roman" w:eastAsia="微软雅黑" w:cs="Times New Roman"/>
                <w:b w:val="0"/>
                <w:bCs w:val="0"/>
                <w:i w:val="0"/>
                <w:iCs w:val="0"/>
                <w:color w:val="808080"/>
                <w:kern w:val="0"/>
                <w:sz w:val="16"/>
                <w:szCs w:val="16"/>
                <w:u w:val="none"/>
                <w:lang w:val="en-US" w:eastAsia="zh-CN" w:bidi="ar"/>
              </w:rPr>
              <w:t>绩效指标</w:t>
            </w:r>
          </w:p>
        </w:tc>
      </w:tr>
      <w:tr w14:paraId="39AE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B13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指标名称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2B23">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计量单位</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6369">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指标性质</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C04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指标值</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95DE">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全年完成值</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C881">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443F">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得分系数（%）</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8425">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指标权重</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847A">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指标得分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53D0">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是否核心指标</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59BC">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说明</w:t>
            </w:r>
          </w:p>
        </w:tc>
      </w:tr>
      <w:tr w14:paraId="5A9F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72C6">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出版丰都日报期数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4BA3">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期/年</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41F3">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9048">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140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215F">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145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EA57">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3.57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937D">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BAAE">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30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1F4D">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1834">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是</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10B6">
            <w:pPr>
              <w:jc w:val="left"/>
              <w:rPr>
                <w:rFonts w:hint="default" w:ascii="Times New Roman" w:hAnsi="Times New Roman" w:eastAsia="宋体" w:cs="Times New Roman"/>
                <w:b w:val="0"/>
                <w:bCs w:val="0"/>
                <w:i w:val="0"/>
                <w:iCs w:val="0"/>
                <w:color w:val="000000"/>
                <w:sz w:val="16"/>
                <w:szCs w:val="16"/>
                <w:u w:val="none"/>
              </w:rPr>
            </w:pPr>
          </w:p>
        </w:tc>
      </w:tr>
      <w:tr w14:paraId="7B9E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9EA8">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全年更新栏目专题宣传个数</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1AD6">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1BD0">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BA19">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D17F">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9AF4">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C3C6">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7217">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4084">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63C3">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是</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07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该数值为本年度新开设栏目数据。</w:t>
            </w:r>
          </w:p>
        </w:tc>
      </w:tr>
      <w:tr w14:paraId="089C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8D4A">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电视新闻、手机台、手机报等媒体更新时间</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9F7A">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期/年</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518E">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定性</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E7D8">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每工作日一次</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FCB6">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2EAC">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1841">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FE3D">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BA56">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F91A">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是</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54AB">
            <w:pPr>
              <w:jc w:val="left"/>
              <w:rPr>
                <w:rFonts w:hint="default" w:ascii="Times New Roman" w:hAnsi="Times New Roman" w:eastAsia="宋体" w:cs="Times New Roman"/>
                <w:b w:val="0"/>
                <w:bCs w:val="0"/>
                <w:i w:val="0"/>
                <w:iCs w:val="0"/>
                <w:color w:val="000000"/>
                <w:sz w:val="16"/>
                <w:szCs w:val="16"/>
                <w:u w:val="none"/>
              </w:rPr>
            </w:pPr>
          </w:p>
        </w:tc>
      </w:tr>
      <w:tr w14:paraId="68D2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588">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围绕县委、县政府中心工作开展形势政策宣传</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ED94">
            <w:pPr>
              <w:jc w:val="left"/>
              <w:rPr>
                <w:rFonts w:hint="default" w:ascii="Times New Roman" w:hAnsi="Times New Roman" w:eastAsia="宋体" w:cs="Times New Roman"/>
                <w:b w:val="0"/>
                <w:bCs w:val="0"/>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21DE">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定性</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040D">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良好</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6FEB">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D374">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9DE1">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DB6B">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5CA0">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F611">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是</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AD61">
            <w:pPr>
              <w:jc w:val="left"/>
              <w:rPr>
                <w:rFonts w:hint="default" w:ascii="Times New Roman" w:hAnsi="Times New Roman" w:eastAsia="宋体" w:cs="Times New Roman"/>
                <w:b w:val="0"/>
                <w:bCs w:val="0"/>
                <w:i w:val="0"/>
                <w:iCs w:val="0"/>
                <w:color w:val="000000"/>
                <w:sz w:val="16"/>
                <w:szCs w:val="16"/>
                <w:u w:val="none"/>
              </w:rPr>
            </w:pPr>
          </w:p>
        </w:tc>
      </w:tr>
      <w:tr w14:paraId="2C7F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F89E">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市民满意度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14FA">
            <w:pPr>
              <w:jc w:val="left"/>
              <w:rPr>
                <w:rFonts w:hint="default" w:ascii="Times New Roman" w:hAnsi="Times New Roman" w:eastAsia="宋体" w:cs="Times New Roman"/>
                <w:b w:val="0"/>
                <w:bCs w:val="0"/>
                <w:i w:val="0"/>
                <w:iCs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32C1">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定性</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5D97">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95%以上</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6C54">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476A">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6437">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EDCD">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1E86">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7985">
            <w:pPr>
              <w:keepNext w:val="0"/>
              <w:keepLines w:val="0"/>
              <w:widowControl/>
              <w:suppressLineNumbers w:val="0"/>
              <w:ind w:firstLineChars="10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是</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9C5E">
            <w:pPr>
              <w:jc w:val="left"/>
              <w:rPr>
                <w:rFonts w:hint="default" w:ascii="Times New Roman" w:hAnsi="Times New Roman" w:eastAsia="宋体" w:cs="Times New Roman"/>
                <w:b w:val="0"/>
                <w:bCs w:val="0"/>
                <w:i w:val="0"/>
                <w:iCs w:val="0"/>
                <w:color w:val="000000"/>
                <w:sz w:val="16"/>
                <w:szCs w:val="16"/>
                <w:u w:val="none"/>
              </w:rPr>
            </w:pPr>
          </w:p>
        </w:tc>
      </w:tr>
    </w:tbl>
    <w:p w14:paraId="41660BF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val="0"/>
          <w:bCs w:val="0"/>
          <w:kern w:val="0"/>
          <w:sz w:val="32"/>
          <w:szCs w:val="32"/>
          <w:shd w:val="clear" w:fill="FFFFFF"/>
          <w:lang w:eastAsia="zh-CN"/>
        </w:rPr>
        <w:sectPr>
          <w:pgSz w:w="11915" w:h="16840"/>
          <w:pgMar w:top="646" w:right="329" w:bottom="646" w:left="329"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AF5C9BD">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楷体" w:cs="Times New Roman"/>
          <w:b w:val="0"/>
          <w:bCs w:val="0"/>
          <w:kern w:val="0"/>
          <w:sz w:val="32"/>
          <w:szCs w:val="32"/>
          <w:shd w:val="clear" w:fill="FFFFFF"/>
        </w:rPr>
      </w:pPr>
      <w:r>
        <w:rPr>
          <w:rFonts w:hint="default" w:ascii="Times New Roman" w:hAnsi="Times New Roman" w:eastAsia="楷体" w:cs="Times New Roman"/>
          <w:b w:val="0"/>
          <w:bCs w:val="0"/>
          <w:kern w:val="0"/>
          <w:sz w:val="32"/>
          <w:szCs w:val="32"/>
          <w:shd w:val="clear" w:fill="FFFFFF"/>
        </w:rPr>
        <w:t>（二）部门绩效评价情况</w:t>
      </w:r>
    </w:p>
    <w:p w14:paraId="6562788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rPr>
        <w:t>我</w:t>
      </w:r>
      <w:r>
        <w:rPr>
          <w:rFonts w:hint="default" w:ascii="Times New Roman" w:hAnsi="Times New Roman" w:eastAsia="方正仿宋_GBK" w:cs="Times New Roman"/>
          <w:b w:val="0"/>
          <w:bCs w:val="0"/>
          <w:color w:val="auto"/>
          <w:sz w:val="32"/>
          <w:szCs w:val="32"/>
          <w:shd w:val="clear" w:color="auto" w:fill="FFFFFF"/>
          <w:lang w:val="en-US" w:eastAsia="zh-CN"/>
        </w:rPr>
        <w:t>部门</w:t>
      </w:r>
      <w:r>
        <w:rPr>
          <w:rFonts w:hint="default" w:ascii="Times New Roman" w:hAnsi="Times New Roman" w:eastAsia="方正仿宋_GBK" w:cs="Times New Roman"/>
          <w:b w:val="0"/>
          <w:bCs w:val="0"/>
          <w:color w:val="auto"/>
          <w:sz w:val="32"/>
          <w:szCs w:val="32"/>
          <w:shd w:val="clear" w:color="auto" w:fill="FFFFFF"/>
        </w:rPr>
        <w:t>对</w:t>
      </w:r>
      <w:r>
        <w:rPr>
          <w:rFonts w:hint="default" w:ascii="Times New Roman" w:hAnsi="Times New Roman" w:eastAsia="方正仿宋_GBK" w:cs="Times New Roman"/>
          <w:b w:val="0"/>
          <w:bCs w:val="0"/>
          <w:color w:val="auto"/>
          <w:sz w:val="32"/>
          <w:szCs w:val="32"/>
          <w:shd w:val="clear" w:color="auto" w:fill="FFFFFF"/>
          <w:lang w:val="en-US" w:eastAsia="zh-CN"/>
        </w:rPr>
        <w:t>丰都日报等12个项目分别</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481.94</w:t>
      </w:r>
      <w:r>
        <w:rPr>
          <w:rFonts w:hint="default" w:ascii="Times New Roman" w:hAnsi="Times New Roman" w:eastAsia="方正仿宋_GBK" w:cs="Times New Roman"/>
          <w:b w:val="0"/>
          <w:bCs w:val="0"/>
          <w:color w:val="auto"/>
          <w:sz w:val="32"/>
          <w:szCs w:val="32"/>
          <w:shd w:val="clear" w:color="auto" w:fill="FFFFFF"/>
        </w:rPr>
        <w:t>万元，</w:t>
      </w:r>
      <w:r>
        <w:rPr>
          <w:rFonts w:hint="default" w:ascii="Times New Roman" w:hAnsi="Times New Roman" w:eastAsia="方正仿宋_GBK" w:cs="Times New Roman"/>
          <w:b w:val="0"/>
          <w:bCs w:val="0"/>
          <w:color w:val="auto"/>
          <w:sz w:val="32"/>
          <w:szCs w:val="32"/>
          <w:shd w:val="clear" w:color="auto" w:fill="FFFFFF"/>
          <w:lang w:val="en-US" w:eastAsia="zh-CN"/>
        </w:rPr>
        <w:t>从</w:t>
      </w:r>
      <w:r>
        <w:rPr>
          <w:rFonts w:hint="default" w:ascii="Times New Roman" w:hAnsi="Times New Roman" w:eastAsia="方正仿宋_GBK" w:cs="Times New Roman"/>
          <w:b w:val="0"/>
          <w:bCs w:val="0"/>
          <w:color w:val="auto"/>
          <w:sz w:val="32"/>
          <w:szCs w:val="32"/>
        </w:rPr>
        <w:t>评价情况来看，项目立项较为规范，绩效目标明确，预算编制合理，管理科学规范，资金到位及时，总体完成情况较好，有力保障了</w:t>
      </w:r>
      <w:r>
        <w:rPr>
          <w:rFonts w:hint="default" w:ascii="Times New Roman" w:hAnsi="Times New Roman" w:eastAsia="方正仿宋_GBK" w:cs="Times New Roman"/>
          <w:b w:val="0"/>
          <w:bCs w:val="0"/>
          <w:color w:val="auto"/>
          <w:sz w:val="32"/>
          <w:szCs w:val="32"/>
          <w:lang w:val="en-US" w:eastAsia="zh-CN"/>
        </w:rPr>
        <w:t>各媒体平台</w:t>
      </w:r>
      <w:r>
        <w:rPr>
          <w:rFonts w:hint="default" w:ascii="Times New Roman" w:hAnsi="Times New Roman" w:eastAsia="方正仿宋_GBK" w:cs="Times New Roman"/>
          <w:b w:val="0"/>
          <w:bCs w:val="0"/>
          <w:color w:val="auto"/>
          <w:sz w:val="32"/>
          <w:szCs w:val="32"/>
        </w:rPr>
        <w:t>工作的开展，</w:t>
      </w:r>
      <w:r>
        <w:rPr>
          <w:rFonts w:hint="default" w:ascii="Times New Roman" w:hAnsi="Times New Roman" w:eastAsia="方正仿宋_GBK" w:cs="Times New Roman"/>
          <w:b w:val="0"/>
          <w:bCs w:val="0"/>
          <w:color w:val="auto"/>
          <w:kern w:val="2"/>
          <w:sz w:val="32"/>
          <w:szCs w:val="32"/>
        </w:rPr>
        <w:t>项目基本达到了预期绩效目标</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shd w:val="clear" w:color="auto" w:fill="FFFFFF"/>
          <w:lang w:val="en-US" w:eastAsia="zh-CN"/>
        </w:rPr>
        <w:t>其中，丰都日报运行费项目</w:t>
      </w:r>
      <w:r>
        <w:rPr>
          <w:rFonts w:hint="default" w:ascii="Times New Roman" w:hAnsi="Times New Roman" w:eastAsia="方正仿宋_GBK" w:cs="Times New Roman"/>
          <w:b w:val="0"/>
          <w:bCs w:val="0"/>
          <w:color w:val="auto"/>
          <w:sz w:val="32"/>
          <w:szCs w:val="32"/>
          <w:shd w:val="clear" w:color="auto" w:fill="FFFFFF"/>
        </w:rPr>
        <w:t>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val="en-US" w:eastAsia="zh-CN"/>
        </w:rPr>
        <w:t>优；丰都手机台运行维护费项目评分得分100分，</w:t>
      </w:r>
      <w:r>
        <w:rPr>
          <w:rFonts w:hint="default" w:ascii="Times New Roman" w:hAnsi="Times New Roman" w:eastAsia="方正仿宋_GBK" w:cs="Times New Roman"/>
          <w:b w:val="0"/>
          <w:bCs w:val="0"/>
          <w:color w:val="auto"/>
          <w:sz w:val="32"/>
          <w:szCs w:val="32"/>
          <w:shd w:val="clear" w:color="auto" w:fill="FFFFFF"/>
        </w:rPr>
        <w:t>评价等次为</w:t>
      </w:r>
      <w:r>
        <w:rPr>
          <w:rFonts w:hint="default" w:ascii="Times New Roman" w:hAnsi="Times New Roman" w:eastAsia="方正仿宋_GBK" w:cs="Times New Roman"/>
          <w:b w:val="0"/>
          <w:bCs w:val="0"/>
          <w:color w:val="auto"/>
          <w:sz w:val="32"/>
          <w:szCs w:val="32"/>
          <w:shd w:val="clear" w:color="auto" w:fill="FFFFFF"/>
          <w:lang w:val="en-US" w:eastAsia="zh-CN"/>
        </w:rPr>
        <w:t>优</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lang w:val="en-US" w:eastAsia="zh-CN"/>
        </w:rPr>
        <w:t>重庆丰都手机报运行维护费项目评分得分100分，</w:t>
      </w:r>
      <w:r>
        <w:rPr>
          <w:rFonts w:hint="default" w:ascii="Times New Roman" w:hAnsi="Times New Roman" w:eastAsia="方正仿宋_GBK" w:cs="Times New Roman"/>
          <w:b w:val="0"/>
          <w:bCs w:val="0"/>
          <w:color w:val="auto"/>
          <w:sz w:val="32"/>
          <w:szCs w:val="32"/>
          <w:shd w:val="clear" w:color="auto" w:fill="FFFFFF"/>
        </w:rPr>
        <w:t>评价等次为</w:t>
      </w:r>
      <w:r>
        <w:rPr>
          <w:rFonts w:hint="default" w:ascii="Times New Roman" w:hAnsi="Times New Roman" w:eastAsia="方正仿宋_GBK" w:cs="Times New Roman"/>
          <w:b w:val="0"/>
          <w:bCs w:val="0"/>
          <w:color w:val="auto"/>
          <w:sz w:val="32"/>
          <w:szCs w:val="32"/>
          <w:shd w:val="clear" w:color="auto" w:fill="FFFFFF"/>
          <w:lang w:val="en-US" w:eastAsia="zh-CN"/>
        </w:rPr>
        <w:t>优；看丰都APP运行维护费项目评分得分88分，</w:t>
      </w:r>
      <w:r>
        <w:rPr>
          <w:rFonts w:hint="default" w:ascii="Times New Roman" w:hAnsi="Times New Roman" w:eastAsia="方正仿宋_GBK" w:cs="Times New Roman"/>
          <w:b w:val="0"/>
          <w:bCs w:val="0"/>
          <w:color w:val="auto"/>
          <w:sz w:val="32"/>
          <w:szCs w:val="32"/>
          <w:shd w:val="clear" w:color="auto" w:fill="FFFFFF"/>
        </w:rPr>
        <w:t>评价等次为</w:t>
      </w:r>
      <w:r>
        <w:rPr>
          <w:rFonts w:hint="default" w:ascii="Times New Roman" w:hAnsi="Times New Roman" w:eastAsia="方正仿宋_GBK" w:cs="Times New Roman"/>
          <w:b w:val="0"/>
          <w:bCs w:val="0"/>
          <w:color w:val="auto"/>
          <w:sz w:val="32"/>
          <w:szCs w:val="32"/>
          <w:shd w:val="clear" w:color="auto" w:fill="FFFFFF"/>
          <w:lang w:val="en-US" w:eastAsia="zh-CN"/>
        </w:rPr>
        <w:t>良；高清节目片源费项目评分得分81.4分，</w:t>
      </w:r>
      <w:r>
        <w:rPr>
          <w:rFonts w:hint="default" w:ascii="Times New Roman" w:hAnsi="Times New Roman" w:eastAsia="方正仿宋_GBK" w:cs="Times New Roman"/>
          <w:b w:val="0"/>
          <w:bCs w:val="0"/>
          <w:color w:val="auto"/>
          <w:sz w:val="32"/>
          <w:szCs w:val="32"/>
          <w:shd w:val="clear" w:color="auto" w:fill="FFFFFF"/>
        </w:rPr>
        <w:t>评价等次为</w:t>
      </w:r>
      <w:r>
        <w:rPr>
          <w:rFonts w:hint="default" w:ascii="Times New Roman" w:hAnsi="Times New Roman" w:eastAsia="方正仿宋_GBK" w:cs="Times New Roman"/>
          <w:b w:val="0"/>
          <w:bCs w:val="0"/>
          <w:color w:val="auto"/>
          <w:sz w:val="32"/>
          <w:szCs w:val="32"/>
          <w:shd w:val="clear" w:color="auto" w:fill="FFFFFF"/>
          <w:lang w:val="en-US" w:eastAsia="zh-CN"/>
        </w:rPr>
        <w:t>良；新华社转载稿费项目评分得分100分，</w:t>
      </w:r>
      <w:r>
        <w:rPr>
          <w:rFonts w:hint="default" w:ascii="Times New Roman" w:hAnsi="Times New Roman" w:eastAsia="方正仿宋_GBK" w:cs="Times New Roman"/>
          <w:b w:val="0"/>
          <w:bCs w:val="0"/>
          <w:color w:val="auto"/>
          <w:sz w:val="32"/>
          <w:szCs w:val="32"/>
          <w:shd w:val="clear" w:color="auto" w:fill="FFFFFF"/>
        </w:rPr>
        <w:t>评价等次为</w:t>
      </w:r>
      <w:r>
        <w:rPr>
          <w:rFonts w:hint="default" w:ascii="Times New Roman" w:hAnsi="Times New Roman" w:eastAsia="方正仿宋_GBK" w:cs="Times New Roman"/>
          <w:b w:val="0"/>
          <w:bCs w:val="0"/>
          <w:color w:val="auto"/>
          <w:sz w:val="32"/>
          <w:szCs w:val="32"/>
          <w:shd w:val="clear" w:color="auto" w:fill="FFFFFF"/>
          <w:lang w:val="en-US" w:eastAsia="zh-CN"/>
        </w:rPr>
        <w:t>优；丰都新闻网运行维护费项目评分得分88分，</w:t>
      </w:r>
      <w:r>
        <w:rPr>
          <w:rFonts w:hint="default" w:ascii="Times New Roman" w:hAnsi="Times New Roman" w:eastAsia="方正仿宋_GBK" w:cs="Times New Roman"/>
          <w:b w:val="0"/>
          <w:bCs w:val="0"/>
          <w:color w:val="auto"/>
          <w:sz w:val="32"/>
          <w:szCs w:val="32"/>
          <w:shd w:val="clear" w:color="auto" w:fill="FFFFFF"/>
        </w:rPr>
        <w:t>评价等次为</w:t>
      </w:r>
      <w:r>
        <w:rPr>
          <w:rFonts w:hint="default" w:ascii="Times New Roman" w:hAnsi="Times New Roman" w:eastAsia="方正仿宋_GBK" w:cs="Times New Roman"/>
          <w:b w:val="0"/>
          <w:bCs w:val="0"/>
          <w:color w:val="auto"/>
          <w:sz w:val="32"/>
          <w:szCs w:val="32"/>
          <w:shd w:val="clear" w:color="auto" w:fill="FFFFFF"/>
          <w:lang w:val="en-US" w:eastAsia="zh-CN"/>
        </w:rPr>
        <w:t>良；教科文科临聘人员费用项目评分得分93.88分，</w:t>
      </w:r>
      <w:r>
        <w:rPr>
          <w:rFonts w:hint="default" w:ascii="Times New Roman" w:hAnsi="Times New Roman" w:eastAsia="方正仿宋_GBK" w:cs="Times New Roman"/>
          <w:b w:val="0"/>
          <w:bCs w:val="0"/>
          <w:color w:val="auto"/>
          <w:sz w:val="32"/>
          <w:szCs w:val="32"/>
          <w:shd w:val="clear" w:color="auto" w:fill="FFFFFF"/>
        </w:rPr>
        <w:t>评价等次为</w:t>
      </w:r>
      <w:r>
        <w:rPr>
          <w:rFonts w:hint="default" w:ascii="Times New Roman" w:hAnsi="Times New Roman" w:eastAsia="方正仿宋_GBK" w:cs="Times New Roman"/>
          <w:b w:val="0"/>
          <w:bCs w:val="0"/>
          <w:color w:val="auto"/>
          <w:sz w:val="32"/>
          <w:szCs w:val="32"/>
          <w:shd w:val="clear" w:color="auto" w:fill="FFFFFF"/>
          <w:lang w:val="en-US" w:eastAsia="zh-CN"/>
        </w:rPr>
        <w:t>良；融媒体中心驻村驻乡干部补助项目评分得分100分，</w:t>
      </w:r>
      <w:r>
        <w:rPr>
          <w:rFonts w:hint="default" w:ascii="Times New Roman" w:hAnsi="Times New Roman" w:eastAsia="方正仿宋_GBK" w:cs="Times New Roman"/>
          <w:b w:val="0"/>
          <w:bCs w:val="0"/>
          <w:color w:val="auto"/>
          <w:sz w:val="32"/>
          <w:szCs w:val="32"/>
          <w:shd w:val="clear" w:color="auto" w:fill="FFFFFF"/>
        </w:rPr>
        <w:t>评价等次为</w:t>
      </w:r>
      <w:r>
        <w:rPr>
          <w:rFonts w:hint="default" w:ascii="Times New Roman" w:hAnsi="Times New Roman" w:eastAsia="方正仿宋_GBK" w:cs="Times New Roman"/>
          <w:b w:val="0"/>
          <w:bCs w:val="0"/>
          <w:color w:val="auto"/>
          <w:sz w:val="32"/>
          <w:szCs w:val="32"/>
          <w:shd w:val="clear" w:color="auto" w:fill="FFFFFF"/>
          <w:lang w:val="en-US" w:eastAsia="zh-CN"/>
        </w:rPr>
        <w:t>优；边坡隐患治理专项费用项目评分得分100分，</w:t>
      </w:r>
      <w:r>
        <w:rPr>
          <w:rFonts w:hint="default" w:ascii="Times New Roman" w:hAnsi="Times New Roman" w:eastAsia="方正仿宋_GBK" w:cs="Times New Roman"/>
          <w:b w:val="0"/>
          <w:bCs w:val="0"/>
          <w:color w:val="auto"/>
          <w:sz w:val="32"/>
          <w:szCs w:val="32"/>
          <w:shd w:val="clear" w:color="auto" w:fill="FFFFFF"/>
        </w:rPr>
        <w:t>评价等次为</w:t>
      </w:r>
      <w:r>
        <w:rPr>
          <w:rFonts w:hint="default" w:ascii="Times New Roman" w:hAnsi="Times New Roman" w:eastAsia="方正仿宋_GBK" w:cs="Times New Roman"/>
          <w:b w:val="0"/>
          <w:bCs w:val="0"/>
          <w:color w:val="auto"/>
          <w:sz w:val="32"/>
          <w:szCs w:val="32"/>
          <w:shd w:val="clear" w:color="auto" w:fill="FFFFFF"/>
          <w:lang w:val="en-US" w:eastAsia="zh-CN"/>
        </w:rPr>
        <w:t>优；创新人才安家补助项目总计两个，评分得分分别为93.13分和100分，</w:t>
      </w:r>
      <w:r>
        <w:rPr>
          <w:rFonts w:hint="default" w:ascii="Times New Roman" w:hAnsi="Times New Roman" w:eastAsia="方正仿宋_GBK" w:cs="Times New Roman"/>
          <w:b w:val="0"/>
          <w:bCs w:val="0"/>
          <w:color w:val="auto"/>
          <w:sz w:val="32"/>
          <w:szCs w:val="32"/>
          <w:shd w:val="clear" w:color="auto" w:fill="FFFFFF"/>
        </w:rPr>
        <w:t>评价等次</w:t>
      </w:r>
      <w:r>
        <w:rPr>
          <w:rFonts w:hint="default" w:ascii="Times New Roman" w:hAnsi="Times New Roman" w:eastAsia="方正仿宋_GBK" w:cs="Times New Roman"/>
          <w:b w:val="0"/>
          <w:bCs w:val="0"/>
          <w:color w:val="auto"/>
          <w:sz w:val="32"/>
          <w:szCs w:val="32"/>
          <w:shd w:val="clear" w:color="auto" w:fill="FFFFFF"/>
          <w:lang w:val="en-US" w:eastAsia="zh-CN"/>
        </w:rPr>
        <w:t>均</w:t>
      </w:r>
      <w:r>
        <w:rPr>
          <w:rFonts w:hint="default" w:ascii="Times New Roman" w:hAnsi="Times New Roman" w:eastAsia="方正仿宋_GBK" w:cs="Times New Roman"/>
          <w:b w:val="0"/>
          <w:bCs w:val="0"/>
          <w:color w:val="auto"/>
          <w:sz w:val="32"/>
          <w:szCs w:val="32"/>
          <w:shd w:val="clear" w:color="auto" w:fill="FFFFFF"/>
        </w:rPr>
        <w:t>为</w:t>
      </w:r>
      <w:r>
        <w:rPr>
          <w:rFonts w:hint="default" w:ascii="Times New Roman" w:hAnsi="Times New Roman" w:eastAsia="方正仿宋_GBK" w:cs="Times New Roman"/>
          <w:b w:val="0"/>
          <w:bCs w:val="0"/>
          <w:color w:val="auto"/>
          <w:sz w:val="32"/>
          <w:szCs w:val="32"/>
          <w:shd w:val="clear" w:color="auto" w:fill="FFFFFF"/>
          <w:lang w:val="en-US" w:eastAsia="zh-CN"/>
        </w:rPr>
        <w:t>优。</w:t>
      </w:r>
      <w:r>
        <w:rPr>
          <w:rFonts w:hint="default" w:ascii="Times New Roman" w:hAnsi="Times New Roman" w:eastAsia="方正仿宋_GBK" w:cs="Times New Roman"/>
          <w:b w:val="0"/>
          <w:bCs w:val="0"/>
          <w:color w:val="auto"/>
          <w:sz w:val="32"/>
          <w:szCs w:val="32"/>
          <w:shd w:val="clear" w:color="auto" w:fill="FFFFFF"/>
        </w:rPr>
        <w:t>绩效评价发现了</w:t>
      </w:r>
      <w:r>
        <w:rPr>
          <w:rFonts w:hint="default" w:ascii="Times New Roman" w:hAnsi="Times New Roman" w:eastAsia="方正仿宋_GBK" w:cs="Times New Roman"/>
          <w:b w:val="0"/>
          <w:bCs w:val="0"/>
          <w:color w:val="auto"/>
          <w:sz w:val="32"/>
          <w:szCs w:val="32"/>
          <w:shd w:val="clear" w:color="auto" w:fill="FFFFFF"/>
          <w:lang w:val="en-US" w:eastAsia="zh-CN"/>
        </w:rPr>
        <w:t>一个</w:t>
      </w:r>
      <w:r>
        <w:rPr>
          <w:rFonts w:hint="default" w:ascii="Times New Roman" w:hAnsi="Times New Roman" w:eastAsia="方正仿宋_GBK" w:cs="Times New Roman"/>
          <w:b w:val="0"/>
          <w:bCs w:val="0"/>
          <w:color w:val="auto"/>
          <w:sz w:val="32"/>
          <w:szCs w:val="32"/>
          <w:shd w:val="clear" w:color="auto" w:fill="FFFFFF"/>
        </w:rPr>
        <w:t>主要问题，</w:t>
      </w:r>
      <w:r>
        <w:rPr>
          <w:rFonts w:hint="default" w:ascii="Times New Roman" w:hAnsi="Times New Roman" w:eastAsia="方正仿宋_GBK" w:cs="Times New Roman"/>
          <w:b w:val="0"/>
          <w:bCs w:val="0"/>
          <w:color w:val="auto"/>
          <w:spacing w:val="6"/>
          <w:kern w:val="2"/>
          <w:sz w:val="32"/>
          <w:lang w:val="en-US" w:eastAsia="zh-CN" w:bidi="ar-SA"/>
        </w:rPr>
        <w:t>由于财政支付统筹的原因，</w:t>
      </w:r>
      <w:r>
        <w:rPr>
          <w:rFonts w:hint="default" w:ascii="Times New Roman" w:hAnsi="Times New Roman" w:eastAsia="方正仿宋_GBK" w:cs="Times New Roman"/>
          <w:b w:val="0"/>
          <w:bCs w:val="0"/>
          <w:color w:val="auto"/>
          <w:sz w:val="32"/>
          <w:szCs w:val="32"/>
          <w:shd w:val="clear" w:color="auto" w:fill="FFFFFF"/>
          <w:lang w:val="en-US" w:eastAsia="zh-CN"/>
        </w:rPr>
        <w:t>2024年项目资金支付进度滞后，除人员经费外，其余资金均未能按时支付，影响项目支付进度。希望财政能跟上支付进度，保证项目顺利开展实施。</w:t>
      </w:r>
    </w:p>
    <w:p w14:paraId="1F0A3512">
      <w:pPr>
        <w:pStyle w:val="16"/>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楷体" w:cs="Times New Roman"/>
          <w:b w:val="0"/>
          <w:bCs w:val="0"/>
          <w:kern w:val="0"/>
          <w:sz w:val="32"/>
          <w:szCs w:val="32"/>
          <w:shd w:val="clear" w:fill="FFFFFF"/>
          <w:lang w:val="en-US" w:eastAsia="zh-CN" w:bidi="ar"/>
        </w:rPr>
        <w:t>（三）财政绩效评价情况</w:t>
      </w:r>
    </w:p>
    <w:p w14:paraId="2496EA3C">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64" w:firstLineChars="200"/>
        <w:jc w:val="both"/>
        <w:textAlignment w:val="auto"/>
        <w:rPr>
          <w:rFonts w:hint="default" w:ascii="Times New Roman" w:hAnsi="Times New Roman" w:eastAsia="方正仿宋_GBK" w:cs="Times New Roman"/>
          <w:b w:val="0"/>
          <w:bCs w:val="0"/>
          <w:color w:val="auto"/>
          <w:spacing w:val="6"/>
          <w:kern w:val="2"/>
          <w:sz w:val="32"/>
          <w:szCs w:val="24"/>
          <w:lang w:val="en-US" w:eastAsia="zh-CN" w:bidi="ar-SA"/>
        </w:rPr>
      </w:pPr>
      <w:r>
        <w:rPr>
          <w:rFonts w:hint="default" w:ascii="Times New Roman" w:hAnsi="Times New Roman" w:eastAsia="方正仿宋_GBK" w:cs="Times New Roman"/>
          <w:b w:val="0"/>
          <w:bCs w:val="0"/>
          <w:color w:val="auto"/>
          <w:spacing w:val="6"/>
          <w:kern w:val="2"/>
          <w:sz w:val="32"/>
          <w:szCs w:val="24"/>
          <w:lang w:val="en-US" w:eastAsia="zh-CN" w:bidi="ar-SA"/>
        </w:rPr>
        <w:t>市财政局未委托第三方对我部门开展绩效评价。</w:t>
      </w:r>
    </w:p>
    <w:p w14:paraId="479186DB">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b w:val="0"/>
          <w:bCs w:val="0"/>
          <w:kern w:val="0"/>
          <w:sz w:val="32"/>
          <w:szCs w:val="32"/>
        </w:rPr>
      </w:pPr>
      <w:r>
        <w:rPr>
          <w:rStyle w:val="13"/>
          <w:rFonts w:hint="default" w:ascii="Times New Roman" w:hAnsi="Times New Roman" w:eastAsia="方正仿宋_GBK" w:cs="Times New Roman"/>
          <w:b w:val="0"/>
          <w:bCs w:val="0"/>
          <w:sz w:val="32"/>
          <w:szCs w:val="32"/>
          <w:shd w:val="clear" w:fill="FFFFFF"/>
        </w:rPr>
        <w:t xml:space="preserve"> </w:t>
      </w:r>
      <w:r>
        <w:rPr>
          <w:rStyle w:val="13"/>
          <w:rFonts w:hint="default" w:ascii="Times New Roman" w:hAnsi="Times New Roman" w:eastAsia="方正仿宋_GBK" w:cs="Times New Roman"/>
          <w:b w:val="0"/>
          <w:bCs w:val="0"/>
          <w:sz w:val="32"/>
          <w:szCs w:val="32"/>
          <w:shd w:val="clear" w:fill="FFFFFF"/>
          <w:lang w:val="en-US" w:eastAsia="zh-CN"/>
        </w:rPr>
        <w:t xml:space="preserve">  </w:t>
      </w:r>
      <w:r>
        <w:rPr>
          <w:rStyle w:val="10"/>
          <w:rFonts w:hint="default" w:ascii="Times New Roman" w:hAnsi="Times New Roman" w:eastAsia="黑体" w:cs="Times New Roman"/>
          <w:b w:val="0"/>
          <w:bCs w:val="0"/>
          <w:sz w:val="32"/>
          <w:szCs w:val="32"/>
          <w:shd w:val="clear" w:color="auto" w:fill="FFFFFF"/>
          <w:lang w:val="en-US" w:eastAsia="zh-CN" w:bidi="ar-SA"/>
        </w:rPr>
        <w:t xml:space="preserve"> 六、专业名词解释</w:t>
      </w:r>
    </w:p>
    <w:p w14:paraId="33B957C0">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（一）财政拨款收入：</w:t>
      </w:r>
      <w:r>
        <w:rPr>
          <w:rFonts w:hint="default" w:ascii="Times New Roman" w:hAnsi="Times New Roman" w:eastAsia="方正仿宋_GBK" w:cs="Times New Roman"/>
          <w:b w:val="0"/>
          <w:bCs w:val="0"/>
          <w:kern w:val="0"/>
          <w:sz w:val="32"/>
          <w:szCs w:val="32"/>
          <w:shd w:val="clear" w:fill="FFFFFF"/>
        </w:rPr>
        <w:t>指本年度从本级财政部门取得的财政拨款，包括一般公共预算财政拨款和政府性基金预算财政拨款。</w:t>
      </w:r>
    </w:p>
    <w:p w14:paraId="3368AB50">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（二）事业收入：</w:t>
      </w:r>
      <w:r>
        <w:rPr>
          <w:rFonts w:hint="default" w:ascii="Times New Roman" w:hAnsi="Times New Roman" w:eastAsia="方正仿宋_GBK" w:cs="Times New Roman"/>
          <w:b w:val="0"/>
          <w:bCs w:val="0"/>
          <w:kern w:val="0"/>
          <w:sz w:val="32"/>
          <w:szCs w:val="32"/>
          <w:shd w:val="clear" w:fill="FFFFFF"/>
        </w:rPr>
        <w:t>指事业</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开展专业业务活动及其辅助活动取得的现金流入；事业</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收到的财政专户实际核拨的教育收费等资金在此反映。</w:t>
      </w:r>
    </w:p>
    <w:p w14:paraId="19DED2F1">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（三）经营收入：</w:t>
      </w:r>
      <w:r>
        <w:rPr>
          <w:rFonts w:hint="default" w:ascii="Times New Roman" w:hAnsi="Times New Roman" w:eastAsia="方正仿宋_GBK" w:cs="Times New Roman"/>
          <w:b w:val="0"/>
          <w:bCs w:val="0"/>
          <w:kern w:val="0"/>
          <w:sz w:val="32"/>
          <w:szCs w:val="32"/>
          <w:shd w:val="clear" w:fill="FFFFFF"/>
        </w:rPr>
        <w:t>指事业</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在专业业务活动及其辅助活动之外开展非独立核算经营活动取得的现金流入。</w:t>
      </w:r>
    </w:p>
    <w:p w14:paraId="63607061">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（四）其他收入：</w:t>
      </w:r>
      <w:r>
        <w:rPr>
          <w:rFonts w:hint="default" w:ascii="Times New Roman" w:hAnsi="Times New Roman" w:eastAsia="方正仿宋_GBK" w:cs="Times New Roman"/>
          <w:b w:val="0"/>
          <w:bCs w:val="0"/>
          <w:kern w:val="0"/>
          <w:sz w:val="32"/>
          <w:szCs w:val="32"/>
          <w:shd w:val="clear" w:fill="FFFFFF"/>
        </w:rPr>
        <w:t>指</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从本级财政部门以外的同级</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取得的经费、从非本级财政部门取得的经费，以及行政</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收到的财政专户管理资金反映在本项内。</w:t>
      </w:r>
    </w:p>
    <w:p w14:paraId="27506316">
      <w:pPr>
        <w:pStyle w:val="12"/>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（五）使用非财政拨款结余（含专用结余）：</w:t>
      </w:r>
      <w:r>
        <w:rPr>
          <w:rFonts w:hint="default" w:ascii="Times New Roman" w:hAnsi="Times New Roman" w:eastAsia="方正仿宋_GBK" w:cs="Times New Roman"/>
          <w:b w:val="0"/>
          <w:bCs w:val="0"/>
          <w:kern w:val="0"/>
          <w:sz w:val="32"/>
          <w:szCs w:val="32"/>
          <w:shd w:val="clear" w:fill="FFFFFF"/>
        </w:rPr>
        <w:t>指</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在当年的“财政拨款收入”、“事业收入”、“经营收入”、“其他收入”等不足以安排当年支出的情况下，使用以前年度积累的非财政拨款结余弥补本年度收支缺口的资金。</w:t>
      </w:r>
    </w:p>
    <w:p w14:paraId="36E7E84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（六）年初结转和结余：</w:t>
      </w:r>
      <w:r>
        <w:rPr>
          <w:rFonts w:hint="default" w:ascii="Times New Roman" w:hAnsi="Times New Roman" w:eastAsia="方正仿宋_GBK" w:cs="Times New Roman"/>
          <w:b w:val="0"/>
          <w:bCs w:val="0"/>
          <w:kern w:val="0"/>
          <w:sz w:val="32"/>
          <w:szCs w:val="32"/>
          <w:shd w:val="clear" w:fill="FFFFFF"/>
        </w:rPr>
        <w:t>指</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上年结转本年使用的基本支出结转、项目支出结转和结余、经营结余。</w:t>
      </w:r>
    </w:p>
    <w:p w14:paraId="6EF8BFC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（七）结余分配：</w:t>
      </w:r>
      <w:r>
        <w:rPr>
          <w:rFonts w:hint="default" w:ascii="Times New Roman" w:hAnsi="Times New Roman" w:eastAsia="方正仿宋_GBK" w:cs="Times New Roman"/>
          <w:b w:val="0"/>
          <w:bCs w:val="0"/>
          <w:kern w:val="0"/>
          <w:sz w:val="32"/>
          <w:szCs w:val="32"/>
          <w:shd w:val="clear" w:fill="FFFFFF"/>
        </w:rPr>
        <w:t>指</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按照国家有关规定，</w:t>
      </w:r>
      <w:r>
        <w:rPr>
          <w:rFonts w:hint="eastAsia" w:ascii="Times New Roman" w:hAnsi="Times New Roman" w:eastAsia="方正仿宋_GBK" w:cs="Times New Roman"/>
          <w:b w:val="0"/>
          <w:bCs w:val="0"/>
          <w:kern w:val="0"/>
          <w:sz w:val="32"/>
          <w:szCs w:val="32"/>
          <w:shd w:val="clear" w:fill="FFFFFF"/>
          <w:lang w:val="en-US" w:eastAsia="zh-CN"/>
        </w:rPr>
        <w:t>缴</w:t>
      </w:r>
      <w:r>
        <w:rPr>
          <w:rFonts w:hint="default" w:ascii="Times New Roman" w:hAnsi="Times New Roman" w:eastAsia="方正仿宋_GBK" w:cs="Times New Roman"/>
          <w:b w:val="0"/>
          <w:bCs w:val="0"/>
          <w:kern w:val="0"/>
          <w:sz w:val="32"/>
          <w:szCs w:val="32"/>
          <w:shd w:val="clear" w:fill="FFFFFF"/>
        </w:rPr>
        <w:t>纳所得税、提取专用基金、转入非财政拨款结余等当年结余的分配情况。</w:t>
      </w:r>
    </w:p>
    <w:p w14:paraId="0D93429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（八）年末结转和结余：</w:t>
      </w:r>
      <w:r>
        <w:rPr>
          <w:rFonts w:hint="default" w:ascii="Times New Roman" w:hAnsi="Times New Roman" w:eastAsia="方正仿宋_GBK" w:cs="Times New Roman"/>
          <w:b w:val="0"/>
          <w:bCs w:val="0"/>
          <w:kern w:val="0"/>
          <w:sz w:val="32"/>
          <w:szCs w:val="32"/>
          <w:shd w:val="clear" w:fill="FFFFFF"/>
        </w:rPr>
        <w:t>指</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结转下年的基本支出结转、项目支出结转和结余、经营结余。</w:t>
      </w:r>
    </w:p>
    <w:p w14:paraId="5478B12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（九）基本支出：</w:t>
      </w:r>
      <w:r>
        <w:rPr>
          <w:rFonts w:hint="default" w:ascii="Times New Roman" w:hAnsi="Times New Roman" w:eastAsia="方正仿宋_GBK" w:cs="Times New Roman"/>
          <w:b w:val="0"/>
          <w:bCs w:val="0"/>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319F41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（十）项目支出：</w:t>
      </w:r>
      <w:r>
        <w:rPr>
          <w:rFonts w:hint="default" w:ascii="Times New Roman" w:hAnsi="Times New Roman" w:eastAsia="方正仿宋_GBK" w:cs="Times New Roman"/>
          <w:b w:val="0"/>
          <w:bCs w:val="0"/>
          <w:kern w:val="0"/>
          <w:sz w:val="32"/>
          <w:szCs w:val="32"/>
          <w:shd w:val="clear" w:fill="FFFFFF"/>
        </w:rPr>
        <w:t>指在基本支出之外为完成特定行政任务和事业发展目标所发生的支出。</w:t>
      </w:r>
    </w:p>
    <w:p w14:paraId="3D53190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（十一）经营支出：</w:t>
      </w:r>
      <w:r>
        <w:rPr>
          <w:rFonts w:hint="default" w:ascii="Times New Roman" w:hAnsi="Times New Roman" w:eastAsia="方正仿宋_GBK" w:cs="Times New Roman"/>
          <w:b w:val="0"/>
          <w:bCs w:val="0"/>
          <w:kern w:val="0"/>
          <w:sz w:val="32"/>
          <w:szCs w:val="32"/>
          <w:shd w:val="clear" w:fill="FFFFFF"/>
        </w:rPr>
        <w:t>指事业</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在专业业务活动及其辅助活动之外开展非独立核算经营活动发生的支出。</w:t>
      </w:r>
    </w:p>
    <w:p w14:paraId="2E87347C">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（十二）“三公”经费：</w:t>
      </w:r>
      <w:r>
        <w:rPr>
          <w:rFonts w:hint="default" w:ascii="Times New Roman" w:hAnsi="Times New Roman" w:eastAsia="方正仿宋_GBK" w:cs="Times New Roman"/>
          <w:b w:val="0"/>
          <w:bCs w:val="0"/>
          <w:kern w:val="0"/>
          <w:sz w:val="32"/>
          <w:szCs w:val="32"/>
          <w:shd w:val="clear" w:fill="FFFFFF"/>
        </w:rPr>
        <w:t>指用一般公共预算财政拨款安排的因公出国（境）费、公务用车购置及运行维护费、公务接待费。其中，因公出国（境）费反映</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公务出国（境）的国际旅费、国外城市间交通费、住宿费、伙食费、培训费、公杂费等支出；公务用车购置费反映</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公务用车购置支出（含车辆购置税）；公务用车运行维护费反映</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按规定保留的公务用车燃料费、维修费、过路过桥费、保险费、安全奖励费用等支出；公务接待费反映</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按规定开支的各类公务接待（含外宾接待）支出。</w:t>
      </w:r>
    </w:p>
    <w:p w14:paraId="0237AEC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（十三）机关运行经费：</w:t>
      </w:r>
      <w:r>
        <w:rPr>
          <w:rFonts w:hint="default" w:ascii="Times New Roman" w:hAnsi="Times New Roman" w:eastAsia="方正仿宋_GBK" w:cs="Times New Roman"/>
          <w:b w:val="0"/>
          <w:bCs w:val="0"/>
          <w:kern w:val="0"/>
          <w:sz w:val="32"/>
          <w:szCs w:val="32"/>
          <w:shd w:val="clear" w:fill="FFFFFF"/>
        </w:rPr>
        <w:t>为保障行政</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（含参照公务员法管理的事业</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0981825">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b w:val="0"/>
          <w:bCs w:val="0"/>
          <w:kern w:val="0"/>
          <w:sz w:val="32"/>
          <w:szCs w:val="32"/>
          <w:shd w:val="clear" w:fill="FFFFFF"/>
        </w:rPr>
        <w:t>反映</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开支的在职职工和编制外长期聘用人员的各类劳动报酬，以及为上述人员缴纳的各项社会保险费等。</w:t>
      </w:r>
    </w:p>
    <w:p w14:paraId="3D98D65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b w:val="0"/>
          <w:bCs w:val="0"/>
          <w:kern w:val="0"/>
          <w:sz w:val="32"/>
          <w:szCs w:val="32"/>
          <w:shd w:val="clear" w:fill="FFFFFF"/>
        </w:rPr>
        <w:t>反映</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购买商品和服务的支出（不包括用于购置固定资产的支出、战略性和应急储备支出）。</w:t>
      </w:r>
    </w:p>
    <w:p w14:paraId="615E2D4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b w:val="0"/>
          <w:bCs w:val="0"/>
          <w:kern w:val="0"/>
          <w:sz w:val="32"/>
          <w:szCs w:val="32"/>
          <w:shd w:val="clear" w:fill="FFFFFF"/>
        </w:rPr>
        <w:t>反映用于对个人和家庭的补助支出。</w:t>
      </w:r>
    </w:p>
    <w:p w14:paraId="000EAF13">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楷体" w:cs="Times New Roman"/>
          <w:b w:val="0"/>
          <w:bCs w:val="0"/>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b w:val="0"/>
          <w:bCs w:val="0"/>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A3EC2D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rPr>
      </w:pPr>
      <w:r>
        <w:rPr>
          <w:rStyle w:val="10"/>
          <w:rFonts w:hint="default" w:ascii="Times New Roman" w:hAnsi="Times New Roman" w:eastAsia="黑体" w:cs="Times New Roman"/>
          <w:b w:val="0"/>
          <w:bCs w:val="0"/>
          <w:sz w:val="32"/>
          <w:szCs w:val="32"/>
          <w:shd w:val="clear" w:color="auto" w:fill="FFFFFF"/>
          <w:lang w:val="en-US" w:eastAsia="zh-CN" w:bidi="ar-SA"/>
        </w:rPr>
        <w:t>七、决算公开联系方式及信息反馈渠道</w:t>
      </w:r>
    </w:p>
    <w:p w14:paraId="4B26014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本</w:t>
      </w:r>
      <w:r>
        <w:rPr>
          <w:rFonts w:hint="default" w:ascii="Times New Roman" w:hAnsi="Times New Roman" w:eastAsia="方正仿宋_GBK" w:cs="Times New Roman"/>
          <w:b w:val="0"/>
          <w:bCs w:val="0"/>
          <w:kern w:val="0"/>
          <w:sz w:val="32"/>
          <w:szCs w:val="32"/>
          <w:shd w:val="clear" w:fill="FFFFFF"/>
          <w:lang w:eastAsia="zh-CN"/>
        </w:rPr>
        <w:t>部门</w:t>
      </w:r>
      <w:r>
        <w:rPr>
          <w:rFonts w:hint="default" w:ascii="Times New Roman" w:hAnsi="Times New Roman" w:eastAsia="方正仿宋_GBK" w:cs="Times New Roman"/>
          <w:b w:val="0"/>
          <w:bCs w:val="0"/>
          <w:kern w:val="0"/>
          <w:sz w:val="32"/>
          <w:szCs w:val="32"/>
          <w:shd w:val="clear" w:fill="FFFFFF"/>
        </w:rPr>
        <w:t>决算公开信息反馈</w:t>
      </w:r>
      <w:r>
        <w:rPr>
          <w:rFonts w:hint="eastAsia" w:ascii="Times New Roman" w:hAnsi="Times New Roman" w:eastAsia="方正仿宋_GBK" w:cs="Times New Roman"/>
          <w:b w:val="0"/>
          <w:bCs w:val="0"/>
          <w:kern w:val="0"/>
          <w:sz w:val="32"/>
          <w:szCs w:val="32"/>
          <w:shd w:val="clear" w:fill="FFFFFF"/>
          <w:lang w:val="en-US" w:eastAsia="zh-CN"/>
        </w:rPr>
        <w:t>联系人和</w:t>
      </w:r>
      <w:r>
        <w:rPr>
          <w:rFonts w:hint="default" w:ascii="Times New Roman" w:hAnsi="Times New Roman" w:eastAsia="方正仿宋_GBK" w:cs="Times New Roman"/>
          <w:b w:val="0"/>
          <w:bCs w:val="0"/>
          <w:kern w:val="0"/>
          <w:sz w:val="32"/>
          <w:szCs w:val="32"/>
          <w:shd w:val="clear" w:fill="FFFFFF"/>
        </w:rPr>
        <w:t>联系方式：</w:t>
      </w:r>
    </w:p>
    <w:p w14:paraId="68668214">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color w:val="auto"/>
          <w:kern w:val="0"/>
          <w:sz w:val="32"/>
          <w:szCs w:val="32"/>
          <w:shd w:val="clear" w:fill="FFFFFF"/>
          <w:lang w:val="en-US" w:eastAsia="zh-CN"/>
        </w:rPr>
      </w:pPr>
      <w:r>
        <w:rPr>
          <w:rFonts w:hint="default" w:ascii="Times New Roman" w:hAnsi="Times New Roman" w:eastAsia="方正仿宋_GBK" w:cs="Times New Roman"/>
          <w:b w:val="0"/>
          <w:bCs w:val="0"/>
          <w:color w:val="auto"/>
          <w:kern w:val="0"/>
          <w:sz w:val="32"/>
          <w:szCs w:val="32"/>
          <w:shd w:val="clear" w:fill="FFFFFF"/>
          <w:lang w:val="en-US" w:eastAsia="zh-CN"/>
        </w:rPr>
        <w:t>杨茜</w:t>
      </w:r>
      <w:r>
        <w:rPr>
          <w:rFonts w:hint="eastAsia" w:ascii="Times New Roman" w:hAnsi="Times New Roman" w:eastAsia="方正仿宋_GBK" w:cs="Times New Roman"/>
          <w:b w:val="0"/>
          <w:bCs w:val="0"/>
          <w:color w:val="auto"/>
          <w:kern w:val="0"/>
          <w:sz w:val="32"/>
          <w:szCs w:val="32"/>
          <w:shd w:val="clear" w:fill="FFFFFF"/>
          <w:lang w:val="en-US" w:eastAsia="zh-CN"/>
        </w:rPr>
        <w:t xml:space="preserve">  </w:t>
      </w:r>
      <w:r>
        <w:rPr>
          <w:rFonts w:hint="default" w:ascii="Times New Roman" w:hAnsi="Times New Roman" w:eastAsia="方正仿宋_GBK" w:cs="Times New Roman"/>
          <w:b w:val="0"/>
          <w:bCs w:val="0"/>
          <w:color w:val="auto"/>
          <w:kern w:val="0"/>
          <w:sz w:val="32"/>
          <w:szCs w:val="32"/>
          <w:shd w:val="clear" w:fill="FFFFFF"/>
          <w:lang w:val="en-US" w:eastAsia="zh-CN"/>
        </w:rPr>
        <w:t>023-70738926</w:t>
      </w:r>
    </w:p>
    <w:p w14:paraId="768E5CB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b w:val="0"/>
          <w:bCs w:val="0"/>
          <w:color w:val="FF0000"/>
          <w:kern w:val="0"/>
          <w:sz w:val="32"/>
          <w:szCs w:val="32"/>
          <w:shd w:val="clear" w:fill="FFFFFF"/>
          <w:lang w:val="en-US" w:eastAsia="zh-CN"/>
        </w:rPr>
      </w:pPr>
    </w:p>
    <w:p w14:paraId="2CD6407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0"/>
          <w:rFonts w:hint="default" w:ascii="Times New Roman" w:hAnsi="Times New Roman" w:eastAsia="方正仿宋_GBK" w:cs="Times New Roman"/>
          <w:b w:val="0"/>
          <w:bCs w:val="0"/>
          <w:sz w:val="32"/>
          <w:szCs w:val="32"/>
          <w:shd w:val="clear" w:color="auto" w:fill="FFFF00"/>
        </w:rPr>
        <w:sectPr>
          <w:pgSz w:w="11915" w:h="16840"/>
          <w:pgMar w:top="2098" w:right="1531" w:bottom="1984"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BC0189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4230FA9">
            <w:pPr>
              <w:spacing w:line="40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收入支出决算总表</w:t>
            </w:r>
          </w:p>
        </w:tc>
      </w:tr>
      <w:tr w14:paraId="58261B4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F4FA5E1">
            <w:pPr>
              <w:spacing w:line="200" w:lineRule="exact"/>
              <w:rPr>
                <w:rFonts w:hint="default" w:ascii="Times New Roman" w:hAnsi="Times New Roman" w:cs="Times New Roman"/>
                <w:b w:val="0"/>
                <w:bCs w:val="0"/>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57AE6C7">
            <w:pPr>
              <w:spacing w:line="200" w:lineRule="exact"/>
              <w:jc w:val="right"/>
              <w:rPr>
                <w:rFonts w:hint="default" w:ascii="Times New Roman" w:hAnsi="Times New Roman" w:cs="Times New Roman"/>
                <w:b w:val="0"/>
                <w:bCs w:val="0"/>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2D7D936">
            <w:pPr>
              <w:spacing w:line="200" w:lineRule="exact"/>
              <w:rPr>
                <w:rFonts w:hint="default" w:ascii="Times New Roman" w:hAnsi="Times New Roman" w:cs="Times New Roman"/>
                <w:b w:val="0"/>
                <w:bCs w:val="0"/>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994B39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公开01表</w:t>
            </w:r>
          </w:p>
        </w:tc>
      </w:tr>
      <w:tr w14:paraId="6826C67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2DFE3A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 w:val="0"/>
                <w:bCs w:val="0"/>
                <w:color w:val="000000"/>
                <w:sz w:val="22"/>
                <w:szCs w:val="22"/>
                <w:lang w:eastAsia="zh-CN"/>
              </w:rPr>
            </w:pPr>
            <w:r>
              <w:rPr>
                <w:rFonts w:hint="default" w:ascii="Times New Roman" w:hAnsi="Times New Roman" w:cs="Times New Roman"/>
                <w:b w:val="0"/>
                <w:bCs w:val="0"/>
                <w:sz w:val="20"/>
                <w:szCs w:val="20"/>
                <w:lang w:val="en-US" w:eastAsia="zh-CN"/>
              </w:rPr>
              <w:t>部门</w:t>
            </w:r>
            <w:r>
              <w:rPr>
                <w:rFonts w:hint="default" w:ascii="Times New Roman" w:hAnsi="Times New Roman" w:cs="Times New Roman"/>
                <w:b w:val="0"/>
                <w:bCs w:val="0"/>
                <w:sz w:val="20"/>
                <w:szCs w:val="20"/>
              </w:rPr>
              <w:t>：</w:t>
            </w:r>
            <w:r>
              <w:rPr>
                <w:rFonts w:hint="default" w:ascii="Times New Roman" w:hAnsi="Times New Roman" w:cs="Times New Roman"/>
                <w:b w:val="0"/>
                <w:bCs w:val="0"/>
                <w:sz w:val="20"/>
                <w:u w:color="auto"/>
              </w:rPr>
              <w:t>丰都县融媒体中心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2A16345">
            <w:pPr>
              <w:spacing w:line="200" w:lineRule="exact"/>
              <w:rPr>
                <w:rFonts w:hint="default" w:ascii="Times New Roman" w:hAnsi="Times New Roman" w:cs="Times New Roman"/>
                <w:b w:val="0"/>
                <w:bCs w:val="0"/>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B8B12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sz w:val="20"/>
                <w:szCs w:val="20"/>
              </w:rPr>
              <w:t>万元</w:t>
            </w:r>
          </w:p>
        </w:tc>
      </w:tr>
      <w:tr w14:paraId="1D5B56C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977A">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B71E60">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支出</w:t>
            </w:r>
          </w:p>
        </w:tc>
      </w:tr>
      <w:tr w14:paraId="200342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8847">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32BC0">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97F6C">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17D96">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r>
      <w:tr w14:paraId="790EE7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5C17">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B47EE">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1,907.66</w:t>
            </w: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57B1C">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29FA">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3E971F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C6FD">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94C60">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FEDA">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CD6EA">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213C12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F6E0">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CC68A">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B555A">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FCD07">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354A99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7709">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3AE8">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634EE">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62172">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28DEBF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FD40">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370A0">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D00C">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3D142">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67A4CF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2542">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51DE">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06411">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2C82">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72434A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9EC0">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七、附属</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CA46C">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6A0C4">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68F6B">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1,577.92</w:t>
            </w:r>
            <w:r>
              <w:rPr>
                <w:rFonts w:hint="default" w:ascii="Times New Roman" w:hAnsi="Times New Roman" w:cs="Times New Roman"/>
                <w:b w:val="0"/>
                <w:bCs w:val="0"/>
                <w:color w:val="000000"/>
                <w:sz w:val="20"/>
                <w:u w:color="auto"/>
              </w:rPr>
              <w:t xml:space="preserve"> </w:t>
            </w:r>
          </w:p>
        </w:tc>
      </w:tr>
      <w:tr w14:paraId="2CED58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72A6">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38792BE">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DB9C7">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8471">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r>
      <w:tr w14:paraId="32D0D4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69AD">
            <w:pPr>
              <w:spacing w:line="240" w:lineRule="exact"/>
              <w:rPr>
                <w:rFonts w:hint="default" w:ascii="Times New Roman" w:hAnsi="Times New Roman" w:cs="Times New Roman"/>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50EB3">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0D7B5">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F749">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r>
      <w:tr w14:paraId="4238E1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C588">
            <w:pPr>
              <w:spacing w:line="240" w:lineRule="exact"/>
              <w:rPr>
                <w:rFonts w:hint="default" w:ascii="Times New Roman" w:hAnsi="Times New Roman" w:cs="Times New Roman"/>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DCF845">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4AD9E">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F018A">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381AE5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A9F8">
            <w:pPr>
              <w:spacing w:line="240" w:lineRule="exact"/>
              <w:rPr>
                <w:rFonts w:hint="default" w:ascii="Times New Roman" w:hAnsi="Times New Roman" w:cs="Times New Roman"/>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DA537">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99ADA">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9246C">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0062C9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B13D">
            <w:pPr>
              <w:spacing w:line="240" w:lineRule="exact"/>
              <w:rPr>
                <w:rFonts w:hint="default" w:ascii="Times New Roman" w:hAnsi="Times New Roman" w:cs="Times New Roman"/>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CC4CAD">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94DC6">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A94D7">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4AAD81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6F98">
            <w:pPr>
              <w:spacing w:line="240" w:lineRule="exact"/>
              <w:rPr>
                <w:rFonts w:hint="default" w:ascii="Times New Roman" w:hAnsi="Times New Roman" w:cs="Times New Roman"/>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AEFC">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5830">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83A4">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008F9A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62C8">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F633">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89FA3">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BCA18">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1149A7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BAD8">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DE560">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3480D">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8001">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7A3BD8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338A">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C1E2E">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736D">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06893">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47413C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ED39">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57F54">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FFB6A">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758F5">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589DE3E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4158">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1F91C">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45D83">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DCB9E">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0089C5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47D2">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6055">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77A78">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1B063">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r>
      <w:tr w14:paraId="505109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B216">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A45E">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A5C0E">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A23BE">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2138BF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507A">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7D7E7">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C5FBD">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6C9CC">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01F01E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817B">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A7E9F">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E16CB">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D2BB">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45923C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C901">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BA560">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9851D">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F8CB">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5B3D5A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3593">
            <w:pPr>
              <w:spacing w:line="240" w:lineRule="exact"/>
              <w:jc w:val="center"/>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BF18B">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4533">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F1FC">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2FD9AE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72B8">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2A46">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A7591">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61973">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1A0F16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E3A6">
            <w:pPr>
              <w:spacing w:line="240" w:lineRule="exact"/>
              <w:rPr>
                <w:rFonts w:hint="default" w:ascii="Times New Roman" w:hAnsi="Times New Roman" w:cs="Times New Roman"/>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C029F">
            <w:pPr>
              <w:wordWrap w:val="0"/>
              <w:spacing w:line="200" w:lineRule="exact"/>
              <w:jc w:val="right"/>
              <w:textAlignment w:val="center"/>
              <w:rPr>
                <w:rFonts w:hint="default" w:ascii="Times New Roman" w:hAnsi="Times New Roman" w:cs="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E1606">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F525D">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108321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373C">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7000">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1,907.66</w:t>
            </w: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E9F2">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A897">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1,909.00</w:t>
            </w:r>
            <w:r>
              <w:rPr>
                <w:rFonts w:hint="default" w:ascii="Times New Roman" w:hAnsi="Times New Roman" w:cs="Times New Roman"/>
                <w:b w:val="0"/>
                <w:bCs w:val="0"/>
                <w:color w:val="000000"/>
                <w:sz w:val="20"/>
                <w:u w:color="auto"/>
              </w:rPr>
              <w:t xml:space="preserve"> </w:t>
            </w:r>
          </w:p>
        </w:tc>
      </w:tr>
      <w:tr w14:paraId="5B3FB7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6C10">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FFBD">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2097">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74FA">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25056D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95E4">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0343D">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1.34</w:t>
            </w: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A2814">
            <w:pPr>
              <w:spacing w:line="24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015F6E4">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14:paraId="6B1A29B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CB7B">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21F4">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1,909.00</w:t>
            </w:r>
            <w:r>
              <w:rPr>
                <w:rFonts w:hint="default" w:ascii="Times New Roman" w:hAnsi="Times New Roman" w:cs="Times New Roman"/>
                <w:b w:val="0"/>
                <w:bCs w:val="0"/>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BA84777">
            <w:pPr>
              <w:spacing w:line="240" w:lineRule="exact"/>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77AB6">
            <w:pPr>
              <w:wordWrap w:val="0"/>
              <w:spacing w:line="200" w:lineRule="exact"/>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1,909.00</w:t>
            </w:r>
            <w:r>
              <w:rPr>
                <w:rFonts w:hint="default" w:ascii="Times New Roman" w:hAnsi="Times New Roman" w:cs="Times New Roman"/>
                <w:b w:val="0"/>
                <w:bCs w:val="0"/>
                <w:color w:val="000000"/>
                <w:sz w:val="20"/>
                <w:u w:color="auto"/>
              </w:rPr>
              <w:t xml:space="preserve"> </w:t>
            </w:r>
          </w:p>
        </w:tc>
      </w:tr>
    </w:tbl>
    <w:p w14:paraId="5813A8B2">
      <w:pPr>
        <w:rPr>
          <w:rFonts w:hint="default" w:ascii="Times New Roman" w:hAnsi="Times New Roman" w:cs="Times New Roman"/>
          <w:b w:val="0"/>
          <w:bCs w:val="0"/>
          <w:sz w:val="21"/>
          <w:szCs w:val="21"/>
        </w:rPr>
      </w:pPr>
    </w:p>
    <w:p w14:paraId="0B672626">
      <w:pPr>
        <w:spacing w:line="24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w:t>
      </w:r>
      <w:r>
        <w:rPr>
          <w:rFonts w:hint="default" w:ascii="Times New Roman" w:hAnsi="Times New Roman" w:cs="Times New Roman"/>
          <w:b w:val="0"/>
          <w:bCs w:val="0"/>
          <w:sz w:val="20"/>
          <w:szCs w:val="20"/>
          <w:lang w:eastAsia="zh-CN"/>
        </w:rPr>
        <w:t>部门</w:t>
      </w:r>
      <w:r>
        <w:rPr>
          <w:rFonts w:hint="default" w:ascii="Times New Roman" w:hAnsi="Times New Roman" w:cs="Times New Roman"/>
          <w:b w:val="0"/>
          <w:bCs w:val="0"/>
          <w:sz w:val="20"/>
          <w:szCs w:val="20"/>
        </w:rPr>
        <w:t>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33C33D0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A315C34">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收入决算表</w:t>
            </w:r>
          </w:p>
        </w:tc>
      </w:tr>
      <w:tr w14:paraId="25AB80FC">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0862DF4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lang w:val="en-US" w:eastAsia="zh-CN"/>
              </w:rPr>
              <w:t>部门</w:t>
            </w:r>
            <w:r>
              <w:rPr>
                <w:rFonts w:hint="default" w:ascii="Times New Roman" w:hAnsi="Times New Roman" w:cs="Times New Roman"/>
                <w:b w:val="0"/>
                <w:bCs w:val="0"/>
                <w:sz w:val="20"/>
                <w:szCs w:val="20"/>
              </w:rPr>
              <w:t>：</w:t>
            </w:r>
            <w:r>
              <w:rPr>
                <w:rFonts w:hint="default" w:ascii="Times New Roman" w:hAnsi="Times New Roman" w:cs="Times New Roman"/>
                <w:b w:val="0"/>
                <w:bCs w:val="0"/>
                <w:sz w:val="20"/>
                <w:u w:color="auto"/>
              </w:rPr>
              <w:t>丰都县融媒体中心</w:t>
            </w:r>
          </w:p>
        </w:tc>
        <w:tc>
          <w:tcPr>
            <w:tcW w:w="461" w:type="pct"/>
            <w:tcBorders>
              <w:top w:val="nil"/>
              <w:left w:val="nil"/>
              <w:bottom w:val="nil"/>
              <w:right w:val="nil"/>
            </w:tcBorders>
            <w:shd w:val="clear" w:color="auto" w:fill="auto"/>
            <w:noWrap/>
            <w:tcMar>
              <w:top w:w="15" w:type="dxa"/>
              <w:left w:w="15" w:type="dxa"/>
              <w:right w:w="15" w:type="dxa"/>
            </w:tcMar>
            <w:vAlign w:val="bottom"/>
          </w:tcPr>
          <w:p w14:paraId="7472C43F">
            <w:pPr>
              <w:rPr>
                <w:rFonts w:hint="default" w:ascii="Times New Roman" w:hAnsi="Times New Roman" w:cs="Times New Roman"/>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6615246">
            <w:pPr>
              <w:rPr>
                <w:rFonts w:hint="default" w:ascii="Times New Roman" w:hAnsi="Times New Roman" w:cs="Times New Roman"/>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3F76172">
            <w:pPr>
              <w:rPr>
                <w:rFonts w:hint="default" w:ascii="Times New Roman" w:hAnsi="Times New Roman" w:cs="Times New Roman"/>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2DCAEE68">
            <w:pPr>
              <w:rPr>
                <w:rFonts w:hint="default" w:ascii="Times New Roman" w:hAnsi="Times New Roman" w:cs="Times New Roman"/>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3E77AD0">
            <w:pPr>
              <w:rPr>
                <w:rFonts w:hint="default" w:ascii="Times New Roman" w:hAnsi="Times New Roman" w:cs="Times New Roman"/>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13D9BCE">
            <w:pPr>
              <w:rPr>
                <w:rFonts w:hint="default" w:ascii="Times New Roman" w:hAnsi="Times New Roman" w:cs="Times New Roman"/>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2DEE8A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公开02表</w:t>
            </w:r>
          </w:p>
        </w:tc>
      </w:tr>
      <w:tr w14:paraId="2633AB36">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79651054">
            <w:pPr>
              <w:rPr>
                <w:rFonts w:hint="default" w:ascii="Times New Roman" w:hAnsi="Times New Roman" w:cs="Times New Roman"/>
                <w:b w:val="0"/>
                <w:bCs w:val="0"/>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515D63A4">
            <w:pPr>
              <w:rPr>
                <w:rFonts w:hint="default" w:ascii="Times New Roman" w:hAnsi="Times New Roman" w:cs="Times New Roman"/>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EE3CB6B">
            <w:pPr>
              <w:rPr>
                <w:rFonts w:hint="default" w:ascii="Times New Roman" w:hAnsi="Times New Roman" w:cs="Times New Roman"/>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278E2884">
            <w:pPr>
              <w:rPr>
                <w:rFonts w:hint="default" w:ascii="Times New Roman" w:hAnsi="Times New Roman" w:cs="Times New Roman"/>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2857CE86">
            <w:pPr>
              <w:rPr>
                <w:rFonts w:hint="default" w:ascii="Times New Roman" w:hAnsi="Times New Roman" w:cs="Times New Roman"/>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F2D8C33">
            <w:pPr>
              <w:rPr>
                <w:rFonts w:hint="default" w:ascii="Times New Roman" w:hAnsi="Times New Roman" w:cs="Times New Roman"/>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F0F84D7">
            <w:pPr>
              <w:rPr>
                <w:rFonts w:hint="default" w:ascii="Times New Roman" w:hAnsi="Times New Roman" w:cs="Times New Roman"/>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6DF215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sz w:val="20"/>
                <w:szCs w:val="20"/>
              </w:rPr>
              <w:t>万元</w:t>
            </w:r>
          </w:p>
        </w:tc>
      </w:tr>
      <w:tr w14:paraId="48779BEC">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81577A6">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9EB7">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A525">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7B38">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3CE70D">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C04A3">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EC58E">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附属</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C208">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其他收入</w:t>
            </w:r>
          </w:p>
        </w:tc>
      </w:tr>
      <w:tr w14:paraId="3E737276">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8F75">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5CA6809">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3F422">
            <w:pPr>
              <w:jc w:val="center"/>
              <w:rPr>
                <w:rFonts w:hint="default" w:ascii="Times New Roman" w:hAnsi="Times New Roman" w:cs="Times New Roman"/>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DA9A">
            <w:pPr>
              <w:jc w:val="center"/>
              <w:rPr>
                <w:rFonts w:hint="default" w:ascii="Times New Roman" w:hAnsi="Times New Roman" w:cs="Times New Roman"/>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E047">
            <w:pPr>
              <w:jc w:val="center"/>
              <w:rPr>
                <w:rFonts w:hint="default" w:ascii="Times New Roman" w:hAnsi="Times New Roman" w:cs="Times New Roman"/>
                <w:b w:val="0"/>
                <w:bCs w:val="0"/>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5107">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4B9A">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185D2">
            <w:pPr>
              <w:jc w:val="center"/>
              <w:rPr>
                <w:rFonts w:hint="default" w:ascii="Times New Roman" w:hAnsi="Times New Roman" w:cs="Times New Roman"/>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A32E">
            <w:pPr>
              <w:jc w:val="center"/>
              <w:rPr>
                <w:rFonts w:hint="default" w:ascii="Times New Roman" w:hAnsi="Times New Roman" w:cs="Times New Roman"/>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5A68">
            <w:pPr>
              <w:jc w:val="center"/>
              <w:rPr>
                <w:rFonts w:hint="default" w:ascii="Times New Roman" w:hAnsi="Times New Roman" w:cs="Times New Roman"/>
                <w:b w:val="0"/>
                <w:bCs w:val="0"/>
                <w:color w:val="000000"/>
                <w:sz w:val="20"/>
                <w:szCs w:val="20"/>
              </w:rPr>
            </w:pPr>
          </w:p>
        </w:tc>
      </w:tr>
      <w:tr w14:paraId="65682E65">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5F1A">
            <w:pPr>
              <w:jc w:val="center"/>
              <w:rPr>
                <w:rFonts w:hint="default" w:ascii="Times New Roman" w:hAnsi="Times New Roman" w:cs="Times New Roman"/>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BB7AE6">
            <w:pPr>
              <w:jc w:val="center"/>
              <w:rPr>
                <w:rFonts w:hint="default" w:ascii="Times New Roman" w:hAnsi="Times New Roman" w:cs="Times New Roman"/>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F28E">
            <w:pPr>
              <w:jc w:val="center"/>
              <w:rPr>
                <w:rFonts w:hint="default" w:ascii="Times New Roman" w:hAnsi="Times New Roman" w:cs="Times New Roman"/>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1157">
            <w:pPr>
              <w:jc w:val="center"/>
              <w:rPr>
                <w:rFonts w:hint="default" w:ascii="Times New Roman" w:hAnsi="Times New Roman" w:cs="Times New Roman"/>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8C1C">
            <w:pPr>
              <w:jc w:val="center"/>
              <w:rPr>
                <w:rFonts w:hint="default" w:ascii="Times New Roman" w:hAnsi="Times New Roman" w:cs="Times New Roman"/>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4D377">
            <w:pPr>
              <w:jc w:val="center"/>
              <w:rPr>
                <w:rFonts w:hint="default" w:ascii="Times New Roman" w:hAnsi="Times New Roman" w:cs="Times New Roman"/>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59877">
            <w:pPr>
              <w:jc w:val="center"/>
              <w:rPr>
                <w:rFonts w:hint="default" w:ascii="Times New Roman" w:hAnsi="Times New Roman" w:cs="Times New Roman"/>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9864">
            <w:pPr>
              <w:jc w:val="center"/>
              <w:rPr>
                <w:rFonts w:hint="default" w:ascii="Times New Roman" w:hAnsi="Times New Roman" w:cs="Times New Roman"/>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0E94">
            <w:pPr>
              <w:jc w:val="center"/>
              <w:rPr>
                <w:rFonts w:hint="default" w:ascii="Times New Roman" w:hAnsi="Times New Roman" w:cs="Times New Roman"/>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5FB1F">
            <w:pPr>
              <w:jc w:val="center"/>
              <w:rPr>
                <w:rFonts w:hint="default" w:ascii="Times New Roman" w:hAnsi="Times New Roman" w:cs="Times New Roman"/>
                <w:b w:val="0"/>
                <w:bCs w:val="0"/>
                <w:color w:val="000000"/>
                <w:sz w:val="20"/>
                <w:szCs w:val="20"/>
              </w:rPr>
            </w:pPr>
          </w:p>
        </w:tc>
      </w:tr>
      <w:tr w14:paraId="740A243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906C">
            <w:pPr>
              <w:jc w:val="center"/>
              <w:rPr>
                <w:rFonts w:hint="default" w:ascii="Times New Roman" w:hAnsi="Times New Roman" w:cs="Times New Roman"/>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1A3F61">
            <w:pPr>
              <w:jc w:val="center"/>
              <w:rPr>
                <w:rFonts w:hint="default" w:ascii="Times New Roman" w:hAnsi="Times New Roman" w:cs="Times New Roman"/>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47BC">
            <w:pPr>
              <w:jc w:val="center"/>
              <w:rPr>
                <w:rFonts w:hint="default" w:ascii="Times New Roman" w:hAnsi="Times New Roman" w:cs="Times New Roman"/>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26700">
            <w:pPr>
              <w:jc w:val="center"/>
              <w:rPr>
                <w:rFonts w:hint="default" w:ascii="Times New Roman" w:hAnsi="Times New Roman" w:cs="Times New Roman"/>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6509">
            <w:pPr>
              <w:jc w:val="center"/>
              <w:rPr>
                <w:rFonts w:hint="default" w:ascii="Times New Roman" w:hAnsi="Times New Roman" w:cs="Times New Roman"/>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56E4">
            <w:pPr>
              <w:jc w:val="center"/>
              <w:rPr>
                <w:rFonts w:hint="default" w:ascii="Times New Roman" w:hAnsi="Times New Roman" w:cs="Times New Roman"/>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650C9">
            <w:pPr>
              <w:jc w:val="center"/>
              <w:rPr>
                <w:rFonts w:hint="default" w:ascii="Times New Roman" w:hAnsi="Times New Roman" w:cs="Times New Roman"/>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BE95E">
            <w:pPr>
              <w:jc w:val="center"/>
              <w:rPr>
                <w:rFonts w:hint="default" w:ascii="Times New Roman" w:hAnsi="Times New Roman" w:cs="Times New Roman"/>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26683">
            <w:pPr>
              <w:jc w:val="center"/>
              <w:rPr>
                <w:rFonts w:hint="default" w:ascii="Times New Roman" w:hAnsi="Times New Roman" w:cs="Times New Roman"/>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00BFF">
            <w:pPr>
              <w:jc w:val="center"/>
              <w:rPr>
                <w:rFonts w:hint="default" w:ascii="Times New Roman" w:hAnsi="Times New Roman" w:cs="Times New Roman"/>
                <w:b w:val="0"/>
                <w:bCs w:val="0"/>
                <w:color w:val="000000"/>
                <w:sz w:val="20"/>
                <w:szCs w:val="20"/>
              </w:rPr>
            </w:pPr>
          </w:p>
        </w:tc>
      </w:tr>
      <w:tr w14:paraId="0FE51D6A">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745C">
            <w:pPr>
              <w:jc w:val="center"/>
              <w:rPr>
                <w:rFonts w:hint="default" w:ascii="Times New Roman" w:hAnsi="Times New Roman" w:cs="Times New Roman"/>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DE5FBEF">
            <w:pPr>
              <w:jc w:val="center"/>
              <w:rPr>
                <w:rFonts w:hint="default" w:ascii="Times New Roman" w:hAnsi="Times New Roman" w:cs="Times New Roman"/>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B2C1">
            <w:pPr>
              <w:jc w:val="center"/>
              <w:rPr>
                <w:rFonts w:hint="default" w:ascii="Times New Roman" w:hAnsi="Times New Roman" w:cs="Times New Roman"/>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6C6E">
            <w:pPr>
              <w:jc w:val="center"/>
              <w:rPr>
                <w:rFonts w:hint="default" w:ascii="Times New Roman" w:hAnsi="Times New Roman" w:cs="Times New Roman"/>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752A">
            <w:pPr>
              <w:jc w:val="center"/>
              <w:rPr>
                <w:rFonts w:hint="default" w:ascii="Times New Roman" w:hAnsi="Times New Roman" w:cs="Times New Roman"/>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72E0">
            <w:pPr>
              <w:jc w:val="center"/>
              <w:rPr>
                <w:rFonts w:hint="default" w:ascii="Times New Roman" w:hAnsi="Times New Roman" w:cs="Times New Roman"/>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2E7C">
            <w:pPr>
              <w:jc w:val="center"/>
              <w:rPr>
                <w:rFonts w:hint="default" w:ascii="Times New Roman" w:hAnsi="Times New Roman" w:cs="Times New Roman"/>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CAE2">
            <w:pPr>
              <w:jc w:val="center"/>
              <w:rPr>
                <w:rFonts w:hint="default" w:ascii="Times New Roman" w:hAnsi="Times New Roman" w:cs="Times New Roman"/>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AD72">
            <w:pPr>
              <w:jc w:val="center"/>
              <w:rPr>
                <w:rFonts w:hint="default" w:ascii="Times New Roman" w:hAnsi="Times New Roman" w:cs="Times New Roman"/>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6BD28">
            <w:pPr>
              <w:jc w:val="center"/>
              <w:rPr>
                <w:rFonts w:hint="default" w:ascii="Times New Roman" w:hAnsi="Times New Roman" w:cs="Times New Roman"/>
                <w:b w:val="0"/>
                <w:bCs w:val="0"/>
                <w:color w:val="000000"/>
                <w:sz w:val="20"/>
                <w:szCs w:val="20"/>
              </w:rPr>
            </w:pPr>
          </w:p>
        </w:tc>
      </w:tr>
      <w:tr w14:paraId="7B85B378">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F85B">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6EB9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1,907.66</w:t>
            </w:r>
            <w:r>
              <w:rPr>
                <w:rFonts w:hint="default" w:ascii="Times New Roman" w:hAnsi="Times New Roman" w:cs="Times New Roman"/>
                <w:b w:val="0"/>
                <w:bCs w:val="0"/>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83B2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1,907.66</w:t>
            </w:r>
            <w:r>
              <w:rPr>
                <w:rFonts w:hint="default" w:ascii="Times New Roman" w:hAnsi="Times New Roman" w:cs="Times New Roman"/>
                <w:b w:val="0"/>
                <w:bCs w:val="0"/>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57E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EE57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E1B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FC16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D62F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5B2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677B13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A054">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3B911">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AAF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1,576.58</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A5F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1,576.58</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5E1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E05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2D7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93F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007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5F4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75FBEF4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E16A">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A0EC">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新闻出版电影</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2F3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1,576.58</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7C7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1,576.58</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B2B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E3E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0F6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F6C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D8E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547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58250E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7F17">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2070604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B750">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新闻通讯</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992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1,576.58</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B86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1,576.58</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7D7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C7F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191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47E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4E7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FD1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4C093E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D5A7">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3542">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62D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5F3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01F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AAE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972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46C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1D0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492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62DA432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3AE5">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2968">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3EE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3B8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013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6AD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AA0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62C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DC5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B62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4A00418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4682">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07FAA">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674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91.90</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6FE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91.90</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0E0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735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338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23F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308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92F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791A765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EB3D">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C3862">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7FF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45.97</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4B3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45.97</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72C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0A5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54B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8F7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411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E50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539DD10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8BB2">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2F4E">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F6E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92.04</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52B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92.04</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848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876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780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F7E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3FC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A51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6615FC2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4687">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D2098">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2E5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77E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90F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457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F3C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F37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F0A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B3E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79D16E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3A85">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8B018">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120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17D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13D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07F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091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CB7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5B1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60A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A7E1D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F1B8">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72CB">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C63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32.42</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1BC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32.42</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683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BC9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D71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4C9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EBB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163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6BC1348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7D70">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C401">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05E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22.98</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15E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22.98</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394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4FC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604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A5A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BA9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827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4EE0488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D8A3">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E99EE">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D28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001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478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078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66E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73D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C7E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A51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6B8688C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4D73">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C01E">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CA0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163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D11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5C4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9D1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A97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21A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80A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5768F7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3E8E">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E5B3B">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787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4FB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6E1B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398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005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BEC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ECC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7BD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bl>
    <w:p w14:paraId="7E9482E0">
      <w:pPr>
        <w:ind w:left="600" w:hanging="600" w:hangingChars="30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备注：1.本表反映部门本年度取得的各项收入情况。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w:t>
      </w:r>
      <w:r>
        <w:rPr>
          <w:rFonts w:hint="default" w:ascii="Times New Roman" w:hAnsi="Times New Roman" w:cs="Times New Roman"/>
          <w:b w:val="0"/>
          <w:bCs w:val="0"/>
          <w:sz w:val="20"/>
          <w:szCs w:val="20"/>
          <w:lang w:eastAsia="zh-CN"/>
        </w:rPr>
        <w:t>部门</w:t>
      </w:r>
      <w:r>
        <w:rPr>
          <w:rFonts w:hint="default" w:ascii="Times New Roman" w:hAnsi="Times New Roman" w:cs="Times New Roman"/>
          <w:b w:val="0"/>
          <w:bCs w:val="0"/>
          <w:sz w:val="20"/>
          <w:szCs w:val="20"/>
        </w:rPr>
        <w:t>转换时可能存在尾数误差。</w:t>
      </w:r>
      <w:r>
        <w:rPr>
          <w:rFonts w:hint="default" w:ascii="Times New Roman" w:hAnsi="Times New Roman" w:cs="Times New Roman"/>
          <w:b w:val="0"/>
          <w:bCs w:val="0"/>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82C1AC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8B5A0B">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支出决算表</w:t>
            </w:r>
          </w:p>
        </w:tc>
      </w:tr>
      <w:tr w14:paraId="5EBB07CE">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35DA43A3">
            <w:pPr>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lang w:val="en-US"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color="auto"/>
              </w:rPr>
              <w:t xml:space="preserve">丰都县融媒体中心 </w:t>
            </w:r>
          </w:p>
        </w:tc>
        <w:tc>
          <w:tcPr>
            <w:tcW w:w="567" w:type="pct"/>
            <w:tcBorders>
              <w:top w:val="nil"/>
              <w:left w:val="nil"/>
              <w:bottom w:val="nil"/>
              <w:right w:val="nil"/>
            </w:tcBorders>
            <w:shd w:val="clear" w:color="auto" w:fill="auto"/>
            <w:noWrap/>
            <w:tcMar>
              <w:top w:w="15" w:type="dxa"/>
              <w:left w:w="15" w:type="dxa"/>
              <w:right w:w="15" w:type="dxa"/>
            </w:tcMar>
            <w:vAlign w:val="bottom"/>
          </w:tcPr>
          <w:p w14:paraId="2F02B201">
            <w:pPr>
              <w:rPr>
                <w:rFonts w:hint="default" w:ascii="Times New Roman" w:hAnsi="Times New Roman" w:cs="Times New Roman"/>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2AAD80A0">
            <w:pPr>
              <w:rPr>
                <w:rFonts w:hint="default" w:ascii="Times New Roman" w:hAnsi="Times New Roman" w:cs="Times New Roman"/>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A293C46">
            <w:pPr>
              <w:rPr>
                <w:rFonts w:hint="default" w:ascii="Times New Roman" w:hAnsi="Times New Roman" w:cs="Times New Roman"/>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350FE956">
            <w:pPr>
              <w:rPr>
                <w:rFonts w:hint="default" w:ascii="Times New Roman" w:hAnsi="Times New Roman" w:cs="Times New Roman"/>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1D5099D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公开03表</w:t>
            </w:r>
          </w:p>
        </w:tc>
      </w:tr>
      <w:tr w14:paraId="32F3C91D">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746AAABD">
            <w:pPr>
              <w:rPr>
                <w:rFonts w:hint="default" w:ascii="Times New Roman" w:hAnsi="Times New Roman" w:cs="Times New Roman"/>
                <w:b w:val="0"/>
                <w:bCs w:val="0"/>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08776763">
            <w:pPr>
              <w:rPr>
                <w:rFonts w:hint="default" w:ascii="Times New Roman" w:hAnsi="Times New Roman" w:cs="Times New Roman"/>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6354E7ED">
            <w:pPr>
              <w:rPr>
                <w:rFonts w:hint="default" w:ascii="Times New Roman" w:hAnsi="Times New Roman" w:cs="Times New Roman"/>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01FC432">
            <w:pPr>
              <w:rPr>
                <w:rFonts w:hint="default" w:ascii="Times New Roman" w:hAnsi="Times New Roman" w:cs="Times New Roman"/>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5621481">
            <w:pPr>
              <w:rPr>
                <w:rFonts w:hint="default" w:ascii="Times New Roman" w:hAnsi="Times New Roman" w:cs="Times New Roman"/>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6F96BD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sz w:val="20"/>
                <w:szCs w:val="20"/>
              </w:rPr>
              <w:t>万元</w:t>
            </w:r>
          </w:p>
        </w:tc>
      </w:tr>
      <w:tr w14:paraId="1AF4774C">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0F024">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E90F">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7676">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A937">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1468">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6880">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423E0">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对附属</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补助支出</w:t>
            </w:r>
          </w:p>
        </w:tc>
      </w:tr>
      <w:tr w14:paraId="60241815">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46FA">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66B57C2">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41E0">
            <w:pPr>
              <w:jc w:val="center"/>
              <w:rPr>
                <w:rFonts w:hint="default" w:ascii="Times New Roman" w:hAnsi="Times New Roman" w:cs="Times New Roman"/>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75FCB">
            <w:pPr>
              <w:jc w:val="center"/>
              <w:rPr>
                <w:rFonts w:hint="default" w:ascii="Times New Roman" w:hAnsi="Times New Roman" w:cs="Times New Roman"/>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C1DA">
            <w:pPr>
              <w:jc w:val="center"/>
              <w:rPr>
                <w:rFonts w:hint="default" w:ascii="Times New Roman" w:hAnsi="Times New Roman" w:cs="Times New Roman"/>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A452">
            <w:pPr>
              <w:jc w:val="center"/>
              <w:rPr>
                <w:rFonts w:hint="default" w:ascii="Times New Roman" w:hAnsi="Times New Roman" w:cs="Times New Roman"/>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76C5">
            <w:pPr>
              <w:jc w:val="center"/>
              <w:rPr>
                <w:rFonts w:hint="default" w:ascii="Times New Roman" w:hAnsi="Times New Roman" w:cs="Times New Roman"/>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4A89">
            <w:pPr>
              <w:jc w:val="center"/>
              <w:rPr>
                <w:rFonts w:hint="default" w:ascii="Times New Roman" w:hAnsi="Times New Roman" w:cs="Times New Roman"/>
                <w:b w:val="0"/>
                <w:bCs w:val="0"/>
                <w:color w:val="000000"/>
                <w:sz w:val="20"/>
                <w:szCs w:val="20"/>
              </w:rPr>
            </w:pPr>
          </w:p>
        </w:tc>
      </w:tr>
      <w:tr w14:paraId="72B60B05">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27C4">
            <w:pPr>
              <w:jc w:val="center"/>
              <w:rPr>
                <w:rFonts w:hint="default" w:ascii="Times New Roman" w:hAnsi="Times New Roman" w:cs="Times New Roman"/>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FAA380">
            <w:pPr>
              <w:jc w:val="center"/>
              <w:rPr>
                <w:rFonts w:hint="default" w:ascii="Times New Roman" w:hAnsi="Times New Roman" w:cs="Times New Roman"/>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5CC4A">
            <w:pPr>
              <w:jc w:val="center"/>
              <w:rPr>
                <w:rFonts w:hint="default" w:ascii="Times New Roman" w:hAnsi="Times New Roman" w:cs="Times New Roman"/>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69D2E">
            <w:pPr>
              <w:jc w:val="center"/>
              <w:rPr>
                <w:rFonts w:hint="default" w:ascii="Times New Roman" w:hAnsi="Times New Roman" w:cs="Times New Roman"/>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5642">
            <w:pPr>
              <w:jc w:val="center"/>
              <w:rPr>
                <w:rFonts w:hint="default" w:ascii="Times New Roman" w:hAnsi="Times New Roman" w:cs="Times New Roman"/>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4E53">
            <w:pPr>
              <w:jc w:val="center"/>
              <w:rPr>
                <w:rFonts w:hint="default" w:ascii="Times New Roman" w:hAnsi="Times New Roman" w:cs="Times New Roman"/>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6DC4">
            <w:pPr>
              <w:jc w:val="center"/>
              <w:rPr>
                <w:rFonts w:hint="default" w:ascii="Times New Roman" w:hAnsi="Times New Roman" w:cs="Times New Roman"/>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979F">
            <w:pPr>
              <w:jc w:val="center"/>
              <w:rPr>
                <w:rFonts w:hint="default" w:ascii="Times New Roman" w:hAnsi="Times New Roman" w:cs="Times New Roman"/>
                <w:b w:val="0"/>
                <w:bCs w:val="0"/>
                <w:color w:val="000000"/>
                <w:sz w:val="20"/>
                <w:szCs w:val="20"/>
              </w:rPr>
            </w:pPr>
          </w:p>
        </w:tc>
      </w:tr>
      <w:tr w14:paraId="00BC1FB6">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E60D">
            <w:pPr>
              <w:jc w:val="center"/>
              <w:rPr>
                <w:rFonts w:hint="default" w:ascii="Times New Roman" w:hAnsi="Times New Roman" w:cs="Times New Roman"/>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C8604">
            <w:pPr>
              <w:jc w:val="center"/>
              <w:rPr>
                <w:rFonts w:hint="default" w:ascii="Times New Roman" w:hAnsi="Times New Roman" w:cs="Times New Roman"/>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56311">
            <w:pPr>
              <w:jc w:val="center"/>
              <w:rPr>
                <w:rFonts w:hint="default" w:ascii="Times New Roman" w:hAnsi="Times New Roman" w:cs="Times New Roman"/>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B76EC">
            <w:pPr>
              <w:jc w:val="center"/>
              <w:rPr>
                <w:rFonts w:hint="default" w:ascii="Times New Roman" w:hAnsi="Times New Roman" w:cs="Times New Roman"/>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86BC">
            <w:pPr>
              <w:jc w:val="center"/>
              <w:rPr>
                <w:rFonts w:hint="default" w:ascii="Times New Roman" w:hAnsi="Times New Roman" w:cs="Times New Roman"/>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3DD6">
            <w:pPr>
              <w:jc w:val="center"/>
              <w:rPr>
                <w:rFonts w:hint="default" w:ascii="Times New Roman" w:hAnsi="Times New Roman" w:cs="Times New Roman"/>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2FF7">
            <w:pPr>
              <w:jc w:val="center"/>
              <w:rPr>
                <w:rFonts w:hint="default" w:ascii="Times New Roman" w:hAnsi="Times New Roman" w:cs="Times New Roman"/>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B032">
            <w:pPr>
              <w:jc w:val="center"/>
              <w:rPr>
                <w:rFonts w:hint="default" w:ascii="Times New Roman" w:hAnsi="Times New Roman" w:cs="Times New Roman"/>
                <w:b w:val="0"/>
                <w:bCs w:val="0"/>
                <w:color w:val="000000"/>
                <w:sz w:val="20"/>
                <w:szCs w:val="20"/>
              </w:rPr>
            </w:pPr>
          </w:p>
        </w:tc>
      </w:tr>
      <w:tr w14:paraId="45CD012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863F">
            <w:pPr>
              <w:jc w:val="center"/>
              <w:rPr>
                <w:rFonts w:hint="default" w:ascii="Times New Roman" w:hAnsi="Times New Roman" w:cs="Times New Roman"/>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B8DDC9">
            <w:pPr>
              <w:jc w:val="center"/>
              <w:rPr>
                <w:rFonts w:hint="default" w:ascii="Times New Roman" w:hAnsi="Times New Roman" w:cs="Times New Roman"/>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EF64">
            <w:pPr>
              <w:jc w:val="center"/>
              <w:rPr>
                <w:rFonts w:hint="default" w:ascii="Times New Roman" w:hAnsi="Times New Roman" w:cs="Times New Roman"/>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40E2">
            <w:pPr>
              <w:jc w:val="center"/>
              <w:rPr>
                <w:rFonts w:hint="default" w:ascii="Times New Roman" w:hAnsi="Times New Roman" w:cs="Times New Roman"/>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399CD">
            <w:pPr>
              <w:jc w:val="center"/>
              <w:rPr>
                <w:rFonts w:hint="default" w:ascii="Times New Roman" w:hAnsi="Times New Roman" w:cs="Times New Roman"/>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5FC8C">
            <w:pPr>
              <w:jc w:val="center"/>
              <w:rPr>
                <w:rFonts w:hint="default" w:ascii="Times New Roman" w:hAnsi="Times New Roman" w:cs="Times New Roman"/>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893D">
            <w:pPr>
              <w:jc w:val="center"/>
              <w:rPr>
                <w:rFonts w:hint="default" w:ascii="Times New Roman" w:hAnsi="Times New Roman" w:cs="Times New Roman"/>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C4B92">
            <w:pPr>
              <w:jc w:val="center"/>
              <w:rPr>
                <w:rFonts w:hint="default" w:ascii="Times New Roman" w:hAnsi="Times New Roman" w:cs="Times New Roman"/>
                <w:b w:val="0"/>
                <w:bCs w:val="0"/>
                <w:color w:val="000000"/>
                <w:sz w:val="20"/>
                <w:szCs w:val="20"/>
              </w:rPr>
            </w:pPr>
          </w:p>
        </w:tc>
      </w:tr>
      <w:tr w14:paraId="2F2D4D12">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E921">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2794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1,909.00</w:t>
            </w:r>
            <w:r>
              <w:rPr>
                <w:rFonts w:hint="default" w:ascii="Times New Roman" w:hAnsi="Times New Roman" w:cs="Times New Roman"/>
                <w:b w:val="0"/>
                <w:bCs w:val="0"/>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F643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1,613.90</w:t>
            </w:r>
            <w:r>
              <w:rPr>
                <w:rFonts w:hint="default" w:ascii="Times New Roman" w:hAnsi="Times New Roman" w:cs="Times New Roman"/>
                <w:b w:val="0"/>
                <w:bCs w:val="0"/>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09DC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295.10</w:t>
            </w:r>
            <w:r>
              <w:rPr>
                <w:rFonts w:hint="default" w:ascii="Times New Roman" w:hAnsi="Times New Roman" w:cs="Times New Roman"/>
                <w:b w:val="0"/>
                <w:bCs w:val="0"/>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C6A9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1B3D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0E0F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4CF90A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0C39">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DB90B">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4DD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1,577.92</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4E1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1,282.82</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099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295.10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26B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040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95B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34317F2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566D">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516D4">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新闻出版电影</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2D1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1,577.92</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EC7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1,282.82</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31F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295.10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ADB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487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52D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E874E3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D5A8">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2070604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78BD3">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新闻通讯</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F8C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1,577.92</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A1E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1,282.82</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238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295.10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3FD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B82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02B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EAF069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3988">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77B01">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7B1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DD2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FF7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633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592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653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6E27E17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CB3C">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5639">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734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D9E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AB1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D8D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2BE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872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78E9C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1EA0">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94CAE">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C2D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91.90</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C44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91.90</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132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2AA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D9B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DB8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781A6B0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5ACA">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CC646">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C5F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45.97</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B8B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45.97</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DD4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893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C04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9D2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1A765FB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D635">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E7F45">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DD6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92.04</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D45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92.04</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7FE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95E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50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8B2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7FD0206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37E1">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88B4F">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0B5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768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C98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BAD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FD0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0DE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1991811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1FC0">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30FDC">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29D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E50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2AC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C01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973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27B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CF42A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9AA3">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B706">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740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32.42</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27B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32.42</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141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7A5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32D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623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61C130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937F">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B3801">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09B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22.98</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41A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22.98</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D30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618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BA7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15D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335F5D2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DE9B">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3659A">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FC4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A8F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D79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7D4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DD1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710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7DAFB5D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925A">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BAF46">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A1B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196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729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5C2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EFA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1B4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64D9FF9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5D69">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DBB0">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14C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8B5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DD7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FBF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E18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5D1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bl>
    <w:p w14:paraId="11803D80">
      <w:pPr>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备注：1.本表反映部门本年度各项支出情况。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w:t>
      </w:r>
      <w:r>
        <w:rPr>
          <w:rFonts w:hint="default" w:ascii="Times New Roman" w:hAnsi="Times New Roman" w:cs="Times New Roman"/>
          <w:b w:val="0"/>
          <w:bCs w:val="0"/>
          <w:sz w:val="20"/>
          <w:szCs w:val="20"/>
          <w:lang w:eastAsia="zh-CN"/>
        </w:rPr>
        <w:t>部门</w:t>
      </w:r>
      <w:r>
        <w:rPr>
          <w:rFonts w:hint="default" w:ascii="Times New Roman" w:hAnsi="Times New Roman" w:cs="Times New Roman"/>
          <w:b w:val="0"/>
          <w:bCs w:val="0"/>
          <w:sz w:val="20"/>
          <w:szCs w:val="20"/>
        </w:rPr>
        <w:t>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14:paraId="3C4AFD87">
      <w:pPr>
        <w:rPr>
          <w:rFonts w:hint="default" w:ascii="Times New Roman" w:hAnsi="Times New Roman" w:cs="Times New Roman"/>
          <w:b w:val="0"/>
          <w:bCs w:val="0"/>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2BBD3D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246077F">
            <w:pPr>
              <w:spacing w:line="40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财政拨款收入支出决算总表</w:t>
            </w:r>
          </w:p>
        </w:tc>
      </w:tr>
      <w:tr w14:paraId="7728854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138F84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lang w:val="en-US"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color="auto"/>
              </w:rPr>
              <w:t>丰都县融媒体中心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499C1591">
            <w:pPr>
              <w:spacing w:line="200" w:lineRule="exact"/>
              <w:rPr>
                <w:rFonts w:hint="default" w:ascii="Times New Roman" w:hAnsi="Times New Roman"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A2EAF2">
            <w:pPr>
              <w:spacing w:line="200" w:lineRule="exact"/>
              <w:rPr>
                <w:rFonts w:hint="default" w:ascii="Times New Roman" w:hAnsi="Times New Roman"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DDA7D6">
            <w:pPr>
              <w:spacing w:line="200" w:lineRule="exact"/>
              <w:rPr>
                <w:rFonts w:hint="default" w:ascii="Times New Roman" w:hAnsi="Times New Roman" w:cs="Times New Roman"/>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135EFE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公开04表</w:t>
            </w:r>
          </w:p>
        </w:tc>
      </w:tr>
      <w:tr w14:paraId="054D779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F638317">
            <w:pPr>
              <w:spacing w:line="200" w:lineRule="exact"/>
              <w:rPr>
                <w:rFonts w:hint="default" w:ascii="Times New Roman" w:hAnsi="Times New Roman"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A9CCA9">
            <w:pPr>
              <w:spacing w:line="200" w:lineRule="exact"/>
              <w:rPr>
                <w:rFonts w:hint="default" w:ascii="Times New Roman" w:hAnsi="Times New Roman"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112246">
            <w:pPr>
              <w:spacing w:line="200" w:lineRule="exact"/>
              <w:rPr>
                <w:rFonts w:hint="default" w:ascii="Times New Roman" w:hAnsi="Times New Roman" w:cs="Times New Roman"/>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FD27DB">
            <w:pPr>
              <w:spacing w:line="200" w:lineRule="exact"/>
              <w:rPr>
                <w:rFonts w:hint="default" w:ascii="Times New Roman" w:hAnsi="Times New Roman" w:cs="Times New Roman"/>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3D2A0E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sz w:val="20"/>
                <w:szCs w:val="20"/>
              </w:rPr>
              <w:t>万元</w:t>
            </w:r>
          </w:p>
        </w:tc>
      </w:tr>
      <w:tr w14:paraId="62BFD92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B8C3">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B997">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支     出</w:t>
            </w:r>
          </w:p>
        </w:tc>
      </w:tr>
      <w:tr w14:paraId="66EABA8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01F7">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BC0A">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E6635">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DB78">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r>
      <w:tr w14:paraId="5B75374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57EB">
            <w:pPr>
              <w:spacing w:line="200" w:lineRule="exact"/>
              <w:jc w:val="center"/>
              <w:rPr>
                <w:rFonts w:hint="default" w:ascii="Times New Roman" w:hAnsi="Times New Roman" w:cs="Times New Roman"/>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520FB">
            <w:pPr>
              <w:spacing w:line="200" w:lineRule="exact"/>
              <w:jc w:val="center"/>
              <w:rPr>
                <w:rFonts w:hint="default" w:ascii="Times New Roman" w:hAnsi="Times New Roman" w:cs="Times New Roman"/>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FC108">
            <w:pPr>
              <w:spacing w:line="200" w:lineRule="exact"/>
              <w:jc w:val="center"/>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99D3">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82E8F">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2491">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CA51">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国有资本经营预算财政拨款</w:t>
            </w:r>
          </w:p>
        </w:tc>
      </w:tr>
      <w:tr w14:paraId="227A93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BF61">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7D95">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1,907.66</w:t>
            </w:r>
            <w:r>
              <w:rPr>
                <w:rFonts w:hint="default" w:ascii="Times New Roman" w:hAnsi="Times New Roman"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B4DB">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DC45">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AD3C">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75A8">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91E8">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20C369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88C8">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9C6D">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5B52">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AA8D">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6D4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6656">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3F56">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354F1D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8F67">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4CE7">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CDD6">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7108">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A15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EC9F">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E6B8">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69C15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A75C">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B75AE7">
            <w:pPr>
              <w:spacing w:line="200" w:lineRule="exac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8ABB">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CDB6">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1A0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F0B1">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7D1F">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53D498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24DB">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54290">
            <w:pPr>
              <w:spacing w:line="200" w:lineRule="exac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C101">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122F">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119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462C">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9F1D">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98A98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67BE">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B986C3">
            <w:pPr>
              <w:spacing w:line="200" w:lineRule="exac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920A">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ED2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7E07">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634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DA75">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1CAB22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2DE8">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401E9">
            <w:pPr>
              <w:spacing w:line="200" w:lineRule="exac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F34B">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E56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1,577.92</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B89C">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1,577.92</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293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438C">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0C161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E9F6">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7FF18">
            <w:pPr>
              <w:spacing w:line="200" w:lineRule="exac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0A64">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F43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229.92</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DF2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229.92</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31D6">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51A4">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F4613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DC83">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9A017D">
            <w:pPr>
              <w:spacing w:line="200" w:lineRule="exac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CA23">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21B8">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55.40</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7AE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55.40</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91AF">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3672">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356B4D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EAE4">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8CB9">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8AB5">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5864">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5233">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2C6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7053">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6F5F5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A146">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7C12">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138F">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660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1C4A">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594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F8A2">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1220C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F882">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93B6">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DA22">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ECBA">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7183">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617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37F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72ABD8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317F">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E30B">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23F9">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E74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D6C2">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3021">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5055">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37EE5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F3A7">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E111">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2660">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24E6">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E9A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207D">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FD12">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7AD9DA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C910">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6097">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2A32">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546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8252">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80C7">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54C7">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71FB28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A95E">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430A">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966A">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50D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72D8">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DC6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13C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19119C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131E">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F660">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AA51">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93F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889D">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C85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CA36">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3CF48C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4768">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A165">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403E">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CA9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B423">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CA4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6FB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1D090D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611F">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EA39">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3277">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ED37">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45.76</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71C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45.76</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D6B3">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9F54">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427738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5108">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F936">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F686">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410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986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A974">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9FF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669FF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5657">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D204">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ECD6">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D047">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05B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43F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DE47">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46DC6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7853">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DE70">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6576">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AC0F">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2F36">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433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396C">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72D8B8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9D8B">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3F9C">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16A6">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A0B2">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B1A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8BDF">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4503">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389307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64CA4C">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53A2">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3A78">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0B2A">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6FB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72D5">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8784">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49F5FD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3878EB">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F11D">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FBF6">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C68F">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D584">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B77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1AFE">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72E3E7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E10D9">
            <w:pPr>
              <w:spacing w:line="200" w:lineRule="exact"/>
              <w:rPr>
                <w:rFonts w:hint="default" w:ascii="Times New Roman" w:hAnsi="Times New Roman" w:cs="Times New Roman"/>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2572">
            <w:pPr>
              <w:spacing w:line="200" w:lineRule="exact"/>
              <w:jc w:val="right"/>
              <w:rPr>
                <w:rFonts w:hint="default" w:ascii="Times New Roman" w:hAnsi="Times New Roman" w:cs="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559D">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BE3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5FB3">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D2F7">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8640">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D567E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0FC8">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1C1D">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1,907.66</w:t>
            </w:r>
            <w:r>
              <w:rPr>
                <w:rFonts w:hint="default" w:ascii="Times New Roman" w:hAnsi="Times New Roman"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F7FE">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2808">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1,909.00</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C972">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1,909.00</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EF6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177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104AA5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9FBC">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0373">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1.34</w:t>
            </w:r>
            <w:r>
              <w:rPr>
                <w:rFonts w:hint="default" w:ascii="Times New Roman" w:hAnsi="Times New Roman"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C6AF">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CFB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5DE8">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8D1B">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7CF5">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7DF730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1CB4">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A678">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1.34</w:t>
            </w:r>
            <w:r>
              <w:rPr>
                <w:rFonts w:hint="default" w:ascii="Times New Roman" w:hAnsi="Times New Roman"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E3512F">
            <w:pPr>
              <w:spacing w:line="200" w:lineRule="exact"/>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CEE83">
            <w:pPr>
              <w:spacing w:line="200" w:lineRule="exact"/>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448F92">
            <w:pPr>
              <w:spacing w:line="200" w:lineRule="exact"/>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71D166">
            <w:pPr>
              <w:spacing w:line="200" w:lineRule="exact"/>
              <w:rPr>
                <w:rFonts w:hint="default" w:ascii="Times New Roman" w:hAnsi="Times New Roman" w:cs="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7FA56">
            <w:pPr>
              <w:spacing w:line="200" w:lineRule="exact"/>
              <w:rPr>
                <w:rFonts w:hint="default" w:ascii="Times New Roman" w:hAnsi="Times New Roman" w:cs="Times New Roman"/>
                <w:b w:val="0"/>
                <w:bCs w:val="0"/>
                <w:color w:val="000000"/>
                <w:sz w:val="18"/>
                <w:szCs w:val="18"/>
              </w:rPr>
            </w:pPr>
          </w:p>
        </w:tc>
      </w:tr>
      <w:tr w14:paraId="657A1A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8DE3">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4FE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F487">
            <w:pPr>
              <w:spacing w:line="200" w:lineRule="exact"/>
              <w:jc w:val="center"/>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08DB">
            <w:pPr>
              <w:spacing w:line="200" w:lineRule="exact"/>
              <w:jc w:val="right"/>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A89E">
            <w:pPr>
              <w:spacing w:line="200" w:lineRule="exact"/>
              <w:jc w:val="right"/>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6637">
            <w:pPr>
              <w:spacing w:line="200" w:lineRule="exact"/>
              <w:jc w:val="right"/>
              <w:rPr>
                <w:rFonts w:hint="default" w:ascii="Times New Roman" w:hAnsi="Times New Roman" w:cs="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E3AB">
            <w:pPr>
              <w:spacing w:line="200" w:lineRule="exact"/>
              <w:jc w:val="right"/>
              <w:rPr>
                <w:rFonts w:hint="default" w:ascii="Times New Roman" w:hAnsi="Times New Roman" w:cs="Times New Roman"/>
                <w:b w:val="0"/>
                <w:bCs w:val="0"/>
                <w:color w:val="000000"/>
                <w:sz w:val="18"/>
                <w:szCs w:val="18"/>
              </w:rPr>
            </w:pPr>
          </w:p>
        </w:tc>
      </w:tr>
      <w:tr w14:paraId="7E01CA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1B60">
            <w:pPr>
              <w:spacing w:line="200"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E40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6A44">
            <w:pPr>
              <w:spacing w:line="200" w:lineRule="exact"/>
              <w:jc w:val="center"/>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D5E9">
            <w:pPr>
              <w:spacing w:line="200" w:lineRule="exact"/>
              <w:jc w:val="right"/>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C396">
            <w:pPr>
              <w:spacing w:line="200" w:lineRule="exact"/>
              <w:jc w:val="right"/>
              <w:rPr>
                <w:rFonts w:hint="default" w:ascii="Times New Roman" w:hAnsi="Times New Roman" w:cs="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BBBB">
            <w:pPr>
              <w:spacing w:line="200" w:lineRule="exact"/>
              <w:jc w:val="right"/>
              <w:rPr>
                <w:rFonts w:hint="default" w:ascii="Times New Roman" w:hAnsi="Times New Roman" w:cs="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A613">
            <w:pPr>
              <w:spacing w:line="200" w:lineRule="exact"/>
              <w:jc w:val="right"/>
              <w:rPr>
                <w:rFonts w:hint="default" w:ascii="Times New Roman" w:hAnsi="Times New Roman" w:cs="Times New Roman"/>
                <w:b w:val="0"/>
                <w:bCs w:val="0"/>
                <w:color w:val="000000"/>
                <w:sz w:val="18"/>
                <w:szCs w:val="18"/>
              </w:rPr>
            </w:pPr>
          </w:p>
        </w:tc>
      </w:tr>
      <w:tr w14:paraId="3CCD1A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1AAB">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AA89">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1,909.00</w:t>
            </w:r>
            <w:r>
              <w:rPr>
                <w:rFonts w:hint="default" w:ascii="Times New Roman" w:hAnsi="Times New Roman" w:cs="Times New Roman"/>
                <w:b w:val="0"/>
                <w:bCs w:val="0"/>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F937">
            <w:pPr>
              <w:spacing w:line="20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7E1F">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1,909.00</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29AD">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1,909.00</w:t>
            </w:r>
            <w:r>
              <w:rPr>
                <w:rFonts w:hint="default" w:ascii="Times New Roman" w:hAnsi="Times New Roman" w:cs="Times New Roman"/>
                <w:b w:val="0"/>
                <w:bCs w:val="0"/>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8385">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C78D">
            <w:pPr>
              <w:wordWrap w:val="0"/>
              <w:spacing w:line="200"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bl>
    <w:p w14:paraId="33896976">
      <w:pPr>
        <w:spacing w:line="24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w:t>
      </w:r>
      <w:r>
        <w:rPr>
          <w:rFonts w:hint="default" w:ascii="Times New Roman" w:hAnsi="Times New Roman" w:cs="Times New Roman"/>
          <w:b w:val="0"/>
          <w:bCs w:val="0"/>
          <w:sz w:val="20"/>
          <w:szCs w:val="20"/>
          <w:lang w:eastAsia="zh-CN"/>
        </w:rPr>
        <w:t>部门</w:t>
      </w:r>
      <w:r>
        <w:rPr>
          <w:rFonts w:hint="default" w:ascii="Times New Roman" w:hAnsi="Times New Roman" w:cs="Times New Roman"/>
          <w:b w:val="0"/>
          <w:bCs w:val="0"/>
          <w:sz w:val="20"/>
          <w:szCs w:val="20"/>
        </w:rPr>
        <w:t>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15F921E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ECE3A5B">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一般公共预算财政拨款支出决算表</w:t>
            </w:r>
          </w:p>
        </w:tc>
      </w:tr>
      <w:tr w14:paraId="472E678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5EC5EB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lang w:val="en-US"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color="auto"/>
              </w:rPr>
              <w:t>丰都县融媒体中心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9DCDC9A">
            <w:pPr>
              <w:rPr>
                <w:rFonts w:hint="default" w:ascii="Times New Roman" w:hAnsi="Times New Roman" w:cs="Times New Roman"/>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39B668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公开05表</w:t>
            </w:r>
          </w:p>
        </w:tc>
      </w:tr>
      <w:tr w14:paraId="4808A37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296B581">
            <w:pPr>
              <w:rPr>
                <w:rFonts w:hint="default" w:ascii="Times New Roman" w:hAnsi="Times New Roman" w:cs="Times New Roman"/>
                <w:b w:val="0"/>
                <w:bCs w:val="0"/>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8128CDF">
            <w:pPr>
              <w:rPr>
                <w:rFonts w:hint="default" w:ascii="Times New Roman" w:hAnsi="Times New Roman" w:cs="Times New Roman"/>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FB1805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sz w:val="20"/>
                <w:szCs w:val="20"/>
              </w:rPr>
              <w:t>万元</w:t>
            </w:r>
          </w:p>
        </w:tc>
      </w:tr>
      <w:tr w14:paraId="6D6EFDA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3A552">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0122D9">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14:paraId="7E032524">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0A14">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E5664">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7B025">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4B764">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04427">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14:paraId="0DE32D4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3040">
            <w:pPr>
              <w:jc w:val="center"/>
              <w:rPr>
                <w:rFonts w:hint="default" w:ascii="Times New Roman" w:hAnsi="Times New Roman" w:cs="Times New Roman"/>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7A510">
            <w:pPr>
              <w:jc w:val="center"/>
              <w:rPr>
                <w:rFonts w:hint="default" w:ascii="Times New Roman" w:hAnsi="Times New Roman" w:cs="Times New Roman"/>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5D5DE">
            <w:pPr>
              <w:jc w:val="center"/>
              <w:rPr>
                <w:rFonts w:hint="default" w:ascii="Times New Roman" w:hAnsi="Times New Roman" w:cs="Times New Roman"/>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736B1">
            <w:pPr>
              <w:jc w:val="center"/>
              <w:rPr>
                <w:rFonts w:hint="default" w:ascii="Times New Roman" w:hAnsi="Times New Roman" w:cs="Times New Roman"/>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D8380">
            <w:pPr>
              <w:jc w:val="center"/>
              <w:rPr>
                <w:rFonts w:hint="default" w:ascii="Times New Roman" w:hAnsi="Times New Roman" w:cs="Times New Roman"/>
                <w:b w:val="0"/>
                <w:bCs w:val="0"/>
                <w:color w:val="000000"/>
                <w:sz w:val="20"/>
                <w:szCs w:val="20"/>
              </w:rPr>
            </w:pPr>
          </w:p>
        </w:tc>
      </w:tr>
      <w:tr w14:paraId="52DB72C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1935">
            <w:pPr>
              <w:jc w:val="center"/>
              <w:rPr>
                <w:rFonts w:hint="default" w:ascii="Times New Roman" w:hAnsi="Times New Roman" w:cs="Times New Roman"/>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25982">
            <w:pPr>
              <w:jc w:val="center"/>
              <w:rPr>
                <w:rFonts w:hint="default" w:ascii="Times New Roman" w:hAnsi="Times New Roman" w:cs="Times New Roman"/>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C5410">
            <w:pPr>
              <w:jc w:val="center"/>
              <w:rPr>
                <w:rFonts w:hint="default" w:ascii="Times New Roman" w:hAnsi="Times New Roman" w:cs="Times New Roman"/>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22B0F">
            <w:pPr>
              <w:jc w:val="center"/>
              <w:rPr>
                <w:rFonts w:hint="default" w:ascii="Times New Roman" w:hAnsi="Times New Roman" w:cs="Times New Roman"/>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0D838">
            <w:pPr>
              <w:jc w:val="center"/>
              <w:rPr>
                <w:rFonts w:hint="default" w:ascii="Times New Roman" w:hAnsi="Times New Roman" w:cs="Times New Roman"/>
                <w:b w:val="0"/>
                <w:bCs w:val="0"/>
                <w:color w:val="000000"/>
                <w:sz w:val="20"/>
                <w:szCs w:val="20"/>
              </w:rPr>
            </w:pPr>
          </w:p>
        </w:tc>
      </w:tr>
      <w:tr w14:paraId="1307E5D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88CE">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D705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1,909.00</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A9C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1,613.90</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FC0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295.10</w:t>
            </w:r>
            <w:r>
              <w:rPr>
                <w:rFonts w:hint="default" w:ascii="Times New Roman" w:hAnsi="Times New Roman" w:cs="Times New Roman"/>
                <w:b w:val="0"/>
                <w:bCs w:val="0"/>
                <w:color w:val="000000"/>
                <w:sz w:val="20"/>
                <w:u w:color="auto"/>
              </w:rPr>
              <w:t xml:space="preserve"> </w:t>
            </w:r>
          </w:p>
        </w:tc>
      </w:tr>
      <w:tr w14:paraId="618424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F3B1">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1233">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6C0F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1,577.92</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F44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1,282.82</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D546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295.10</w:t>
            </w:r>
            <w:r>
              <w:rPr>
                <w:rFonts w:hint="default" w:ascii="Times New Roman" w:hAnsi="Times New Roman" w:cs="Times New Roman"/>
                <w:b w:val="0"/>
                <w:bCs w:val="0"/>
                <w:color w:val="000000"/>
                <w:sz w:val="20"/>
                <w:u w:color="auto"/>
              </w:rPr>
              <w:t xml:space="preserve"> </w:t>
            </w:r>
          </w:p>
        </w:tc>
      </w:tr>
      <w:tr w14:paraId="0980C0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FB05">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8D61">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新闻出版电影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27A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1,577.92</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57B1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1,282.82</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7DD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295.10</w:t>
            </w:r>
            <w:r>
              <w:rPr>
                <w:rFonts w:hint="default" w:ascii="Times New Roman" w:hAnsi="Times New Roman" w:cs="Times New Roman"/>
                <w:b w:val="0"/>
                <w:bCs w:val="0"/>
                <w:color w:val="000000"/>
                <w:sz w:val="20"/>
                <w:u w:color="auto"/>
              </w:rPr>
              <w:t xml:space="preserve"> </w:t>
            </w:r>
          </w:p>
        </w:tc>
      </w:tr>
      <w:tr w14:paraId="2ACFA5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4A54">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2070604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DE679">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新闻通讯</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B1E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1,577.92</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2B8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1,282.82</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C6C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295.10</w:t>
            </w:r>
            <w:r>
              <w:rPr>
                <w:rFonts w:hint="default" w:ascii="Times New Roman" w:hAnsi="Times New Roman" w:cs="Times New Roman"/>
                <w:b w:val="0"/>
                <w:bCs w:val="0"/>
                <w:color w:val="000000"/>
                <w:sz w:val="20"/>
                <w:u w:color="auto"/>
              </w:rPr>
              <w:t xml:space="preserve"> </w:t>
            </w:r>
          </w:p>
        </w:tc>
      </w:tr>
      <w:tr w14:paraId="6F69B5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F94C">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84729">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E721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88C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CABB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531BDE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8655">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5A0E4">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B81E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CF8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229.92</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16CC">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28DF9B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AFB9">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EFEED">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9DC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91.90</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7AB7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91.90</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1B72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2C4607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EFEF">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53177">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06D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45.97</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D9E9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45.97</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F90A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42B588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8834">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C57A7">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0259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92.04</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D4F0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92.04</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737D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21D3D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3662">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CC56B">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E746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ABF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7484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6FA69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0A0A">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F3F2E">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D1A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4255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55.40</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E94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5F2254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D2A1">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E3F14">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620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32.42</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DC1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32.42</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0F49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5598F5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50AD">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C07E2">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其他行政事业</w:t>
            </w: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06636">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22.98</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D67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22.98</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5FDBA">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299D0E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EAF9">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35EE4">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1695B">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3AB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3B1C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2B754C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9AFF">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791BA">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CE921">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71D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E00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0EEB63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375F">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69E">
            <w:pP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9B3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654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45.76</w:t>
            </w:r>
            <w:r>
              <w:rPr>
                <w:rFonts w:hint="default" w:ascii="Times New Roman" w:hAnsi="Times New Roman" w:cs="Times New Roman"/>
                <w:b w:val="0"/>
                <w:bCs w:val="0"/>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EF3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bl>
    <w:p w14:paraId="56F34656">
      <w:pPr>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备注：1.本表反映部门本年度一般公共预算财政拨款支出情况。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w:t>
      </w:r>
      <w:r>
        <w:rPr>
          <w:rFonts w:hint="default" w:ascii="Times New Roman" w:hAnsi="Times New Roman" w:cs="Times New Roman"/>
          <w:b w:val="0"/>
          <w:bCs w:val="0"/>
          <w:sz w:val="20"/>
          <w:szCs w:val="20"/>
          <w:lang w:eastAsia="zh-CN"/>
        </w:rPr>
        <w:t>部门</w:t>
      </w:r>
      <w:r>
        <w:rPr>
          <w:rFonts w:hint="default" w:ascii="Times New Roman" w:hAnsi="Times New Roman" w:cs="Times New Roman"/>
          <w:b w:val="0"/>
          <w:bCs w:val="0"/>
          <w:sz w:val="20"/>
          <w:szCs w:val="20"/>
        </w:rPr>
        <w:t>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14:paraId="4A266D31">
      <w:pPr>
        <w:ind w:firstLine="630" w:firstLineChars="3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B4BD09F">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4978CA8">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一般公共预算财政拨款基本支出决算表</w:t>
            </w:r>
          </w:p>
        </w:tc>
      </w:tr>
      <w:tr w14:paraId="4974302D">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3EE041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lang w:val="en-US"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color="auto"/>
              </w:rPr>
              <w:t>丰都县融媒体中心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4836A56F">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54165C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793B99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7A2F0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公开06表</w:t>
            </w:r>
          </w:p>
        </w:tc>
      </w:tr>
      <w:tr w14:paraId="2D1955D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BD3C292">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AE9DD57">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9A09D17">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CA4950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CF9228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sz w:val="20"/>
                <w:szCs w:val="20"/>
              </w:rPr>
              <w:t>万元</w:t>
            </w:r>
          </w:p>
        </w:tc>
      </w:tr>
      <w:tr w14:paraId="3CF0062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6F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E290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w:t>
            </w:r>
          </w:p>
        </w:tc>
      </w:tr>
      <w:tr w14:paraId="32C4D855">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BC0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9B8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w:t>
            </w:r>
            <w:r>
              <w:rPr>
                <w:rFonts w:hint="default" w:ascii="Times New Roman" w:hAnsi="Times New Roman" w:cs="Times New Roman"/>
                <w:b w:val="0"/>
                <w:bCs w:val="0"/>
                <w:color w:val="000000"/>
                <w:sz w:val="18"/>
                <w:szCs w:val="18"/>
                <w:lang w:val="en-US" w:eastAsia="zh-CN"/>
              </w:rPr>
              <w:t>经济</w:t>
            </w:r>
            <w:r>
              <w:rPr>
                <w:rFonts w:hint="default" w:ascii="Times New Roman" w:hAnsi="Times New Roman" w:cs="Times New Roman"/>
                <w:b w:val="0"/>
                <w:bCs w:val="0"/>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0845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709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323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w:t>
            </w:r>
            <w:r>
              <w:rPr>
                <w:rFonts w:hint="default" w:ascii="Times New Roman" w:hAnsi="Times New Roman" w:cs="Times New Roman"/>
                <w:b w:val="0"/>
                <w:bCs w:val="0"/>
                <w:color w:val="000000"/>
                <w:sz w:val="18"/>
                <w:szCs w:val="18"/>
                <w:lang w:val="en-US" w:eastAsia="zh-CN"/>
              </w:rPr>
              <w:t>经济</w:t>
            </w:r>
            <w:r>
              <w:rPr>
                <w:rFonts w:hint="default" w:ascii="Times New Roman" w:hAnsi="Times New Roman" w:cs="Times New Roman"/>
                <w:b w:val="0"/>
                <w:bCs w:val="0"/>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392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51B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4915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w:t>
            </w:r>
            <w:r>
              <w:rPr>
                <w:rFonts w:hint="default" w:ascii="Times New Roman" w:hAnsi="Times New Roman" w:cs="Times New Roman"/>
                <w:b w:val="0"/>
                <w:bCs w:val="0"/>
                <w:color w:val="000000"/>
                <w:sz w:val="18"/>
                <w:szCs w:val="18"/>
                <w:lang w:val="en-US" w:eastAsia="zh-CN"/>
              </w:rPr>
              <w:t>经济</w:t>
            </w:r>
            <w:r>
              <w:rPr>
                <w:rFonts w:hint="default" w:ascii="Times New Roman" w:hAnsi="Times New Roman" w:cs="Times New Roman"/>
                <w:b w:val="0"/>
                <w:bCs w:val="0"/>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7558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r>
      <w:tr w14:paraId="0EFE158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448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C9687">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AEEA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588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93E2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F1A0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9EC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818B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FA82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val="0"/>
                <w:bCs w:val="0"/>
                <w:color w:val="000000"/>
                <w:sz w:val="18"/>
                <w:szCs w:val="18"/>
              </w:rPr>
            </w:pPr>
          </w:p>
        </w:tc>
      </w:tr>
      <w:tr w14:paraId="60E7ED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3D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05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AC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1,355.70</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6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F9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F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136.34</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DA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49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D7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5.57</w:t>
            </w:r>
            <w:r>
              <w:rPr>
                <w:rFonts w:hint="default" w:ascii="Times New Roman" w:hAnsi="Times New Roman" w:cs="Times New Roman"/>
                <w:b w:val="0"/>
                <w:bCs w:val="0"/>
                <w:color w:val="000000"/>
                <w:sz w:val="18"/>
                <w:u w:color="auto"/>
              </w:rPr>
              <w:t xml:space="preserve"> </w:t>
            </w:r>
          </w:p>
        </w:tc>
      </w:tr>
      <w:tr w14:paraId="0B6408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2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4E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71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232.01</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F9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C0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F2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27.02</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D5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38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E1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D04E4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06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4D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1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6.56</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6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13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C6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60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49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81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1.06</w:t>
            </w:r>
            <w:r>
              <w:rPr>
                <w:rFonts w:hint="default" w:ascii="Times New Roman" w:hAnsi="Times New Roman" w:cs="Times New Roman"/>
                <w:b w:val="0"/>
                <w:bCs w:val="0"/>
                <w:color w:val="000000"/>
                <w:sz w:val="18"/>
                <w:u w:color="auto"/>
              </w:rPr>
              <w:t xml:space="preserve"> </w:t>
            </w:r>
          </w:p>
        </w:tc>
      </w:tr>
      <w:tr w14:paraId="677F47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91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DC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35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FE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6E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98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CD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B0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C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1530D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EA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E3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A7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02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18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ED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BD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2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5F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1F8362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89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0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A3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448.62</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5E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49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05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0.39</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2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A6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68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257265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E6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6F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机关事业</w:t>
            </w:r>
            <w:r>
              <w:rPr>
                <w:rFonts w:hint="default" w:ascii="Times New Roman" w:hAnsi="Times New Roman" w:cs="Times New Roman"/>
                <w:b w:val="0"/>
                <w:bCs w:val="0"/>
                <w:color w:val="000000"/>
                <w:sz w:val="18"/>
                <w:szCs w:val="18"/>
                <w:lang w:eastAsia="zh-CN"/>
              </w:rPr>
              <w:t>部门</w:t>
            </w:r>
            <w:r>
              <w:rPr>
                <w:rFonts w:hint="default" w:ascii="Times New Roman" w:hAnsi="Times New Roman" w:cs="Times New Roman"/>
                <w:b w:val="0"/>
                <w:bCs w:val="0"/>
                <w:color w:val="000000"/>
                <w:sz w:val="18"/>
                <w:szCs w:val="18"/>
              </w:rPr>
              <w:t>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4D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91.90</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91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7F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A3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17.40</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71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F7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A6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05025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F3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9D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87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45.97</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16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07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B1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1.98</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02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40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18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DB1B3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CE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3F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80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33.09</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8F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F7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47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DD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AE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A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7CF959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C6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E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73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39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3C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30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79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5B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F0090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E2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58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87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7.09</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79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4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AB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9.97</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E8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C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7A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3DDE7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0D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12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88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45.76</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18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A1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CD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F3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C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F8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955E3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84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B4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7A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12.42</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A2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27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5E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6.24</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8C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D1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37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4.51</w:t>
            </w:r>
            <w:r>
              <w:rPr>
                <w:rFonts w:hint="default" w:ascii="Times New Roman" w:hAnsi="Times New Roman" w:cs="Times New Roman"/>
                <w:b w:val="0"/>
                <w:bCs w:val="0"/>
                <w:color w:val="000000"/>
                <w:sz w:val="18"/>
                <w:u w:color="auto"/>
              </w:rPr>
              <w:t xml:space="preserve"> </w:t>
            </w:r>
          </w:p>
        </w:tc>
      </w:tr>
      <w:tr w14:paraId="34D2DB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C2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9C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E5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432.27</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B1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A7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DC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A3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0A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16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6922D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A0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DC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F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116.28</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45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19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B4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2.15</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C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F5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4B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507EEC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A0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F8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EB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2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06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E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1.99</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3A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4E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01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162C06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F6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3C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F3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A1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0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7A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0.92</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82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31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44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405C8A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C8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46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CE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B6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2C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35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6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EC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E6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40DB2D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E8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8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9B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37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9B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AB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09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C8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08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0C1E3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00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B5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FE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103.38</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CD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AD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27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9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CF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2C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46E4C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5C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C9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01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10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0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BD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2.06</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5C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7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58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40E0A0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9C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D2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BD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12.90</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87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B7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8A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2.41</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09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F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AD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7039E9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82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10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CE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42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A6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6C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34.99</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E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250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F5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6C767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2B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B7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E6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6F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80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87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0.12</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62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B2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73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2592D2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0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E1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39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7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A8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48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2.96</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30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22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E9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22EAA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B7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2B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87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A8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DF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01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2.39</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17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61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09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41E46C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1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EE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F6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4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47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D5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08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85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05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77E833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421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A15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30E3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1C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93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86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23.35</w:t>
            </w: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14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9C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CC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91CEA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F5B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652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1A28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4F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4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9E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34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E5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EE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5D20C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F48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5F0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FE684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A7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D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60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5A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31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06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464DEB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AE8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B0D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C5BA8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A2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10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8B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70D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0B2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1EC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b w:val="0"/>
                <w:bCs w:val="0"/>
                <w:color w:val="000000"/>
                <w:sz w:val="18"/>
                <w:szCs w:val="18"/>
              </w:rPr>
            </w:pPr>
          </w:p>
        </w:tc>
      </w:tr>
      <w:tr w14:paraId="5115A8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2ED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AF0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191D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37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4A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A9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995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DB3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F2C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b w:val="0"/>
                <w:bCs w:val="0"/>
                <w:color w:val="000000"/>
                <w:sz w:val="18"/>
                <w:szCs w:val="18"/>
              </w:rPr>
            </w:pPr>
          </w:p>
        </w:tc>
      </w:tr>
      <w:tr w14:paraId="3BE1DDD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665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81B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4618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CA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5C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8C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AF3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3AC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CC0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b w:val="0"/>
                <w:bCs w:val="0"/>
                <w:color w:val="000000"/>
                <w:sz w:val="18"/>
                <w:szCs w:val="18"/>
              </w:rPr>
            </w:pPr>
          </w:p>
        </w:tc>
      </w:tr>
      <w:tr w14:paraId="417BA15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47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9338A">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1,471.99</w:t>
            </w:r>
            <w:r>
              <w:rPr>
                <w:rFonts w:hint="default" w:ascii="Times New Roman" w:hAnsi="Times New Roman" w:cs="Times New Roman"/>
                <w:b w:val="0"/>
                <w:bCs w:val="0"/>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93F2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2E8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141.91</w:t>
            </w:r>
            <w:r>
              <w:rPr>
                <w:rFonts w:hint="default" w:ascii="Times New Roman" w:hAnsi="Times New Roman" w:cs="Times New Roman"/>
                <w:b w:val="0"/>
                <w:bCs w:val="0"/>
                <w:color w:val="000000"/>
                <w:sz w:val="18"/>
                <w:u w:color="auto"/>
              </w:rPr>
              <w:t xml:space="preserve"> </w:t>
            </w:r>
          </w:p>
        </w:tc>
      </w:tr>
    </w:tbl>
    <w:p w14:paraId="3111AD82">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备注：1.本表反映部门本年度一般公共预算财政拨款基本支出明细情况。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w:t>
      </w:r>
      <w:r>
        <w:rPr>
          <w:rFonts w:hint="default" w:ascii="Times New Roman" w:hAnsi="Times New Roman" w:cs="Times New Roman"/>
          <w:b w:val="0"/>
          <w:bCs w:val="0"/>
          <w:sz w:val="20"/>
          <w:szCs w:val="20"/>
          <w:lang w:eastAsia="zh-CN"/>
        </w:rPr>
        <w:t>部门</w:t>
      </w:r>
      <w:r>
        <w:rPr>
          <w:rFonts w:hint="default" w:ascii="Times New Roman" w:hAnsi="Times New Roman" w:cs="Times New Roman"/>
          <w:b w:val="0"/>
          <w:bCs w:val="0"/>
          <w:sz w:val="20"/>
          <w:szCs w:val="20"/>
        </w:rPr>
        <w:t>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200BE16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C14FFD">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政府性基金预算财政拨款收入支出决算表</w:t>
            </w:r>
          </w:p>
        </w:tc>
      </w:tr>
      <w:tr w14:paraId="09E53D4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C24864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lang w:val="en-US"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color="auto"/>
              </w:rPr>
              <w:t>丰都县融媒体中心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0A994E4">
            <w:pPr>
              <w:rPr>
                <w:rFonts w:hint="default" w:ascii="Times New Roman" w:hAnsi="Times New Roman"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A4BE74">
            <w:pPr>
              <w:rPr>
                <w:rFonts w:hint="default" w:ascii="Times New Roman" w:hAnsi="Times New Roman"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974D6E">
            <w:pPr>
              <w:rPr>
                <w:rFonts w:hint="default" w:ascii="Times New Roman" w:hAnsi="Times New Roman" w:cs="Times New Roman"/>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28F9827">
            <w:pPr>
              <w:rPr>
                <w:rFonts w:hint="default" w:ascii="Times New Roman" w:hAnsi="Times New Roman" w:cs="Times New Roman"/>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6C0636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公开07表</w:t>
            </w:r>
          </w:p>
        </w:tc>
      </w:tr>
      <w:tr w14:paraId="112A527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565A938">
            <w:pPr>
              <w:rPr>
                <w:rFonts w:hint="default" w:ascii="Times New Roman" w:hAnsi="Times New Roman"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F4F83F">
            <w:pPr>
              <w:rPr>
                <w:rFonts w:hint="default" w:ascii="Times New Roman" w:hAnsi="Times New Roman"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E793C5">
            <w:pPr>
              <w:rPr>
                <w:rFonts w:hint="default" w:ascii="Times New Roman" w:hAnsi="Times New Roman" w:cs="Times New Roman"/>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AE6C80">
            <w:pPr>
              <w:rPr>
                <w:rFonts w:hint="default" w:ascii="Times New Roman" w:hAnsi="Times New Roman" w:cs="Times New Roman"/>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CC16C0A">
            <w:pPr>
              <w:rPr>
                <w:rFonts w:hint="default" w:ascii="Times New Roman" w:hAnsi="Times New Roman" w:cs="Times New Roman"/>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4D7F1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sz w:val="20"/>
                <w:szCs w:val="20"/>
              </w:rPr>
              <w:t>万元</w:t>
            </w:r>
          </w:p>
        </w:tc>
      </w:tr>
      <w:tr w14:paraId="7E69F59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CF85">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66AA3D">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40AF">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31DA8D">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6317">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r>
      <w:tr w14:paraId="52F6055C">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983E">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A565">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F941BC">
            <w:pPr>
              <w:jc w:val="center"/>
              <w:rPr>
                <w:rFonts w:hint="default" w:ascii="Times New Roman" w:hAnsi="Times New Roman" w:cs="Times New Roman"/>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696A">
            <w:pPr>
              <w:jc w:val="center"/>
              <w:rPr>
                <w:rFonts w:hint="default" w:ascii="Times New Roman" w:hAnsi="Times New Roman" w:cs="Times New Roman"/>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B5084">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F8271">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192D6">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A903">
            <w:pPr>
              <w:jc w:val="center"/>
              <w:rPr>
                <w:rFonts w:hint="default" w:ascii="Times New Roman" w:hAnsi="Times New Roman" w:cs="Times New Roman"/>
                <w:b w:val="0"/>
                <w:bCs w:val="0"/>
                <w:color w:val="000000"/>
                <w:sz w:val="20"/>
                <w:szCs w:val="20"/>
              </w:rPr>
            </w:pPr>
          </w:p>
        </w:tc>
      </w:tr>
      <w:tr w14:paraId="05E1F98B">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1D8B">
            <w:pPr>
              <w:jc w:val="center"/>
              <w:rPr>
                <w:rFonts w:hint="default" w:ascii="Times New Roman" w:hAnsi="Times New Roman" w:cs="Times New Roman"/>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FCF0C">
            <w:pPr>
              <w:jc w:val="center"/>
              <w:rPr>
                <w:rFonts w:hint="default" w:ascii="Times New Roman" w:hAnsi="Times New Roman" w:cs="Times New Roman"/>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50F2BC">
            <w:pPr>
              <w:jc w:val="center"/>
              <w:rPr>
                <w:rFonts w:hint="default" w:ascii="Times New Roman" w:hAnsi="Times New Roman" w:cs="Times New Roman"/>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535C">
            <w:pPr>
              <w:jc w:val="center"/>
              <w:rPr>
                <w:rFonts w:hint="default" w:ascii="Times New Roman" w:hAnsi="Times New Roman" w:cs="Times New Roman"/>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B9DAE">
            <w:pPr>
              <w:jc w:val="center"/>
              <w:rPr>
                <w:rFonts w:hint="default" w:ascii="Times New Roman" w:hAnsi="Times New Roman" w:cs="Times New Roman"/>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47EDA">
            <w:pPr>
              <w:jc w:val="center"/>
              <w:rPr>
                <w:rFonts w:hint="default" w:ascii="Times New Roman" w:hAnsi="Times New Roman" w:cs="Times New Roman"/>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C8284">
            <w:pPr>
              <w:jc w:val="center"/>
              <w:rPr>
                <w:rFonts w:hint="default" w:ascii="Times New Roman" w:hAnsi="Times New Roman" w:cs="Times New Roman"/>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FEC6">
            <w:pPr>
              <w:jc w:val="center"/>
              <w:rPr>
                <w:rFonts w:hint="default" w:ascii="Times New Roman" w:hAnsi="Times New Roman" w:cs="Times New Roman"/>
                <w:b w:val="0"/>
                <w:bCs w:val="0"/>
                <w:color w:val="000000"/>
                <w:sz w:val="20"/>
                <w:szCs w:val="20"/>
              </w:rPr>
            </w:pPr>
          </w:p>
        </w:tc>
      </w:tr>
      <w:tr w14:paraId="07ED29E3">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0FF9">
            <w:pPr>
              <w:jc w:val="center"/>
              <w:rPr>
                <w:rFonts w:hint="default" w:ascii="Times New Roman" w:hAnsi="Times New Roman" w:cs="Times New Roman"/>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D3DA">
            <w:pPr>
              <w:jc w:val="center"/>
              <w:rPr>
                <w:rFonts w:hint="default" w:ascii="Times New Roman" w:hAnsi="Times New Roman" w:cs="Times New Roman"/>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A9B598">
            <w:pPr>
              <w:jc w:val="center"/>
              <w:rPr>
                <w:rFonts w:hint="default" w:ascii="Times New Roman" w:hAnsi="Times New Roman" w:cs="Times New Roman"/>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EEA3">
            <w:pPr>
              <w:jc w:val="center"/>
              <w:rPr>
                <w:rFonts w:hint="default" w:ascii="Times New Roman" w:hAnsi="Times New Roman" w:cs="Times New Roman"/>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EAC49">
            <w:pPr>
              <w:jc w:val="center"/>
              <w:rPr>
                <w:rFonts w:hint="default" w:ascii="Times New Roman" w:hAnsi="Times New Roman" w:cs="Times New Roman"/>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AFDC9">
            <w:pPr>
              <w:jc w:val="center"/>
              <w:rPr>
                <w:rFonts w:hint="default" w:ascii="Times New Roman" w:hAnsi="Times New Roman" w:cs="Times New Roman"/>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2A651">
            <w:pPr>
              <w:jc w:val="center"/>
              <w:rPr>
                <w:rFonts w:hint="default" w:ascii="Times New Roman" w:hAnsi="Times New Roman" w:cs="Times New Roman"/>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842C">
            <w:pPr>
              <w:jc w:val="center"/>
              <w:rPr>
                <w:rFonts w:hint="default" w:ascii="Times New Roman" w:hAnsi="Times New Roman" w:cs="Times New Roman"/>
                <w:b w:val="0"/>
                <w:bCs w:val="0"/>
                <w:color w:val="000000"/>
                <w:sz w:val="20"/>
                <w:szCs w:val="20"/>
              </w:rPr>
            </w:pPr>
          </w:p>
        </w:tc>
      </w:tr>
      <w:tr w14:paraId="7B3DB79C">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DA8A">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42B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AF03">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7990E">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5660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BF7A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5CC4">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2FA4469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6AA9">
            <w:pPr>
              <w:jc w:val="both"/>
              <w:textAlignment w:val="center"/>
              <w:rPr>
                <w:rFonts w:hint="default" w:ascii="Times New Roman" w:hAnsi="Times New Roman" w:cs="Times New Roman"/>
                <w:b w:val="0"/>
                <w:bCs w:val="0"/>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DF3BA">
            <w:pPr>
              <w:jc w:val="both"/>
              <w:textAlignment w:val="center"/>
              <w:rPr>
                <w:rFonts w:hint="default" w:ascii="Times New Roman" w:hAnsi="Times New Roman" w:cs="Times New Roman"/>
                <w:b w:val="0"/>
                <w:bCs w:val="0"/>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70609">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4A38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E83FF">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74F9D">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32468">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D637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bl>
    <w:p w14:paraId="303D455F">
      <w:pPr>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备注：本部门无政府性基金收支，故本表无数据。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14:paraId="0CD2A26E">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3AF4BEC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CFCB05">
            <w:pPr>
              <w:jc w:val="center"/>
              <w:textAlignment w:val="bottom"/>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国有资本经营预算财政拨款支出决算表</w:t>
            </w:r>
          </w:p>
        </w:tc>
      </w:tr>
      <w:tr w14:paraId="07812D5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FAA0CB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lang w:val="en-US"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color w:val="000000"/>
                <w:sz w:val="20"/>
                <w:u w:color="auto"/>
              </w:rPr>
              <w:t>丰都县融媒体中心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6ABAF96">
            <w:pPr>
              <w:rPr>
                <w:rFonts w:hint="default" w:ascii="Times New Roman" w:hAnsi="Times New Roman" w:cs="Times New Roman"/>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2C8F60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公开08表</w:t>
            </w:r>
          </w:p>
        </w:tc>
      </w:tr>
      <w:tr w14:paraId="5649EA4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454C58F">
            <w:pPr>
              <w:rPr>
                <w:rFonts w:hint="default" w:ascii="Times New Roman" w:hAnsi="Times New Roman" w:cs="Times New Roman"/>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5714333">
            <w:pPr>
              <w:rPr>
                <w:rFonts w:hint="default" w:ascii="Times New Roman" w:hAnsi="Times New Roman" w:cs="Times New Roman"/>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86F856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lang w:eastAsia="zh-CN"/>
              </w:rPr>
              <w:t>部门</w:t>
            </w:r>
            <w:r>
              <w:rPr>
                <w:rFonts w:hint="default" w:ascii="Times New Roman" w:hAnsi="Times New Roman" w:cs="Times New Roman"/>
                <w:b w:val="0"/>
                <w:bCs w:val="0"/>
                <w:color w:val="000000"/>
                <w:sz w:val="20"/>
                <w:szCs w:val="20"/>
              </w:rPr>
              <w:t>：</w:t>
            </w:r>
            <w:r>
              <w:rPr>
                <w:rFonts w:hint="default" w:ascii="Times New Roman" w:hAnsi="Times New Roman" w:cs="Times New Roman"/>
                <w:b w:val="0"/>
                <w:bCs w:val="0"/>
                <w:sz w:val="20"/>
                <w:szCs w:val="20"/>
              </w:rPr>
              <w:t>万元</w:t>
            </w:r>
          </w:p>
        </w:tc>
      </w:tr>
      <w:tr w14:paraId="19B06A4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5D953">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E8113A">
            <w:pPr>
              <w:jc w:val="center"/>
              <w:textAlignment w:val="bottom"/>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14:paraId="0B1DB7B8">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E5FCE">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BC984">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4A21">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9B99C">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A5C81">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14:paraId="4C3693E6">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DE2B9">
            <w:pPr>
              <w:jc w:val="center"/>
              <w:rPr>
                <w:rFonts w:hint="default" w:ascii="Times New Roman" w:hAnsi="Times New Roman" w:cs="Times New Roman"/>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AFCE7">
            <w:pPr>
              <w:jc w:val="center"/>
              <w:rPr>
                <w:rFonts w:hint="default" w:ascii="Times New Roman" w:hAnsi="Times New Roman" w:cs="Times New Roman"/>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6E2C">
            <w:pPr>
              <w:jc w:val="center"/>
              <w:rPr>
                <w:rFonts w:hint="default" w:ascii="Times New Roman" w:hAnsi="Times New Roman" w:cs="Times New Roman"/>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64703">
            <w:pPr>
              <w:jc w:val="center"/>
              <w:rPr>
                <w:rFonts w:hint="default" w:ascii="Times New Roman" w:hAnsi="Times New Roman" w:cs="Times New Roman"/>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A6BD5">
            <w:pPr>
              <w:jc w:val="center"/>
              <w:rPr>
                <w:rFonts w:hint="default" w:ascii="Times New Roman" w:hAnsi="Times New Roman" w:cs="Times New Roman"/>
                <w:b w:val="0"/>
                <w:bCs w:val="0"/>
                <w:color w:val="000000"/>
                <w:sz w:val="20"/>
                <w:szCs w:val="20"/>
              </w:rPr>
            </w:pPr>
          </w:p>
        </w:tc>
      </w:tr>
      <w:tr w14:paraId="02EEA3EA">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046E">
            <w:pPr>
              <w:jc w:val="center"/>
              <w:rPr>
                <w:rFonts w:hint="default" w:ascii="Times New Roman" w:hAnsi="Times New Roman" w:cs="Times New Roman"/>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A8908">
            <w:pPr>
              <w:jc w:val="center"/>
              <w:rPr>
                <w:rFonts w:hint="default" w:ascii="Times New Roman" w:hAnsi="Times New Roman" w:cs="Times New Roman"/>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B6E51">
            <w:pPr>
              <w:jc w:val="center"/>
              <w:rPr>
                <w:rFonts w:hint="default" w:ascii="Times New Roman" w:hAnsi="Times New Roman" w:cs="Times New Roman"/>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B119C">
            <w:pPr>
              <w:jc w:val="center"/>
              <w:rPr>
                <w:rFonts w:hint="default" w:ascii="Times New Roman" w:hAnsi="Times New Roman" w:cs="Times New Roman"/>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6DD53">
            <w:pPr>
              <w:jc w:val="center"/>
              <w:rPr>
                <w:rFonts w:hint="default" w:ascii="Times New Roman" w:hAnsi="Times New Roman" w:cs="Times New Roman"/>
                <w:b w:val="0"/>
                <w:bCs w:val="0"/>
                <w:color w:val="000000"/>
                <w:sz w:val="20"/>
                <w:szCs w:val="20"/>
              </w:rPr>
            </w:pPr>
          </w:p>
        </w:tc>
      </w:tr>
      <w:tr w14:paraId="2AF1FE7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9572">
            <w:pPr>
              <w:jc w:val="center"/>
              <w:rPr>
                <w:rFonts w:hint="default" w:ascii="Times New Roman" w:hAnsi="Times New Roman" w:cs="Times New Roman"/>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D88D7">
            <w:pPr>
              <w:jc w:val="center"/>
              <w:rPr>
                <w:rFonts w:hint="default" w:ascii="Times New Roman" w:hAnsi="Times New Roman" w:cs="Times New Roman"/>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9967">
            <w:pPr>
              <w:jc w:val="center"/>
              <w:rPr>
                <w:rFonts w:hint="default" w:ascii="Times New Roman" w:hAnsi="Times New Roman" w:cs="Times New Roman"/>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4C876">
            <w:pPr>
              <w:jc w:val="center"/>
              <w:rPr>
                <w:rFonts w:hint="default" w:ascii="Times New Roman" w:hAnsi="Times New Roman" w:cs="Times New Roman"/>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7FB82">
            <w:pPr>
              <w:jc w:val="center"/>
              <w:rPr>
                <w:rFonts w:hint="default" w:ascii="Times New Roman" w:hAnsi="Times New Roman" w:cs="Times New Roman"/>
                <w:b w:val="0"/>
                <w:bCs w:val="0"/>
                <w:color w:val="000000"/>
                <w:sz w:val="20"/>
                <w:szCs w:val="20"/>
              </w:rPr>
            </w:pPr>
          </w:p>
        </w:tc>
      </w:tr>
      <w:tr w14:paraId="223D54A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6ED3">
            <w:pPr>
              <w:jc w:val="center"/>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2F20">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12C3A">
            <w:pPr>
              <w:jc w:val="right"/>
              <w:rPr>
                <w:rFonts w:hint="default" w:ascii="Times New Roman" w:hAnsi="Times New Roman" w:cs="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B655">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0.00</w:t>
            </w:r>
            <w:r>
              <w:rPr>
                <w:rFonts w:hint="default" w:ascii="Times New Roman" w:hAnsi="Times New Roman" w:cs="Times New Roman"/>
                <w:b w:val="0"/>
                <w:bCs w:val="0"/>
                <w:color w:val="000000"/>
                <w:sz w:val="20"/>
                <w:u w:color="auto"/>
              </w:rPr>
              <w:t xml:space="preserve"> </w:t>
            </w:r>
          </w:p>
        </w:tc>
      </w:tr>
      <w:tr w14:paraId="77C3665E">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F113">
            <w:pPr>
              <w:textAlignment w:val="center"/>
              <w:rPr>
                <w:rFonts w:hint="default" w:ascii="Times New Roman" w:hAnsi="Times New Roman" w:cs="Times New Roman"/>
                <w:b w:val="0"/>
                <w:bCs w:val="0"/>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EDB5E">
            <w:pPr>
              <w:textAlignment w:val="center"/>
              <w:rPr>
                <w:rFonts w:hint="default" w:ascii="Times New Roman" w:hAnsi="Times New Roman" w:cs="Times New Roman"/>
                <w:b w:val="0"/>
                <w:bCs w:val="0"/>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A7482">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1BB54">
            <w:pPr>
              <w:jc w:val="right"/>
              <w:rPr>
                <w:rFonts w:hint="default" w:ascii="Times New Roman" w:hAnsi="Times New Roman" w:cs="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08437">
            <w:pPr>
              <w:wordWrap w:val="0"/>
              <w:jc w:val="righ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0.00 </w:t>
            </w:r>
          </w:p>
        </w:tc>
      </w:tr>
    </w:tbl>
    <w:p w14:paraId="5642016F">
      <w:pPr>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备注：本部门无国有资本经营收支，故本表无数据。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14:paraId="49D96FEB">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6"/>
        <w:gridCol w:w="2406"/>
        <w:gridCol w:w="2364"/>
        <w:gridCol w:w="3710"/>
        <w:gridCol w:w="2484"/>
      </w:tblGrid>
      <w:tr w14:paraId="1A1B635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38DB164">
            <w:pPr>
              <w:spacing w:line="400" w:lineRule="exact"/>
              <w:jc w:val="center"/>
              <w:textAlignment w:val="bottom"/>
              <w:rPr>
                <w:rFonts w:hint="default" w:ascii="Times New Roman" w:hAnsi="Times New Roman" w:cs="Times New Roman"/>
                <w:b w:val="0"/>
                <w:bCs w:val="0"/>
                <w:color w:val="000000"/>
                <w:kern w:val="2"/>
                <w:sz w:val="32"/>
                <w:szCs w:val="32"/>
              </w:rPr>
            </w:pPr>
            <w:r>
              <w:rPr>
                <w:rFonts w:hint="default" w:ascii="Times New Roman" w:hAnsi="Times New Roman" w:cs="Times New Roman"/>
                <w:b w:val="0"/>
                <w:bCs w:val="0"/>
                <w:color w:val="000000"/>
                <w:kern w:val="2"/>
                <w:sz w:val="32"/>
                <w:szCs w:val="32"/>
              </w:rPr>
              <w:t>机构运行信息表</w:t>
            </w:r>
          </w:p>
        </w:tc>
      </w:tr>
      <w:tr w14:paraId="5F64284E">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8F2787D">
            <w:pPr>
              <w:spacing w:line="280" w:lineRule="exact"/>
              <w:rPr>
                <w:rFonts w:hint="default" w:ascii="Times New Roman" w:hAnsi="Times New Roman" w:cs="Times New Roman"/>
                <w:b w:val="0"/>
                <w:bCs w:val="0"/>
                <w:color w:val="000000"/>
                <w:kern w:val="2"/>
                <w:sz w:val="20"/>
                <w:szCs w:val="20"/>
              </w:rPr>
            </w:pPr>
          </w:p>
        </w:tc>
        <w:tc>
          <w:tcPr>
            <w:tcW w:w="854" w:type="pct"/>
            <w:shd w:val="clear" w:color="auto" w:fill="auto"/>
            <w:noWrap/>
            <w:tcMar>
              <w:top w:w="15" w:type="dxa"/>
              <w:left w:w="15" w:type="dxa"/>
              <w:right w:w="15" w:type="dxa"/>
            </w:tcMar>
            <w:vAlign w:val="bottom"/>
          </w:tcPr>
          <w:p w14:paraId="42801A1A">
            <w:pPr>
              <w:spacing w:line="280" w:lineRule="exact"/>
              <w:jc w:val="center"/>
              <w:rPr>
                <w:rFonts w:hint="default" w:ascii="Times New Roman" w:hAnsi="Times New Roman" w:cs="Times New Roman"/>
                <w:b w:val="0"/>
                <w:bCs w:val="0"/>
                <w:color w:val="000000"/>
                <w:kern w:val="2"/>
                <w:sz w:val="20"/>
                <w:szCs w:val="20"/>
              </w:rPr>
            </w:pPr>
          </w:p>
        </w:tc>
        <w:tc>
          <w:tcPr>
            <w:tcW w:w="840" w:type="pct"/>
            <w:shd w:val="clear" w:color="auto" w:fill="auto"/>
            <w:noWrap/>
            <w:tcMar>
              <w:top w:w="15" w:type="dxa"/>
              <w:left w:w="15" w:type="dxa"/>
              <w:right w:w="15" w:type="dxa"/>
            </w:tcMar>
            <w:vAlign w:val="bottom"/>
          </w:tcPr>
          <w:p w14:paraId="52A20EFE">
            <w:pPr>
              <w:spacing w:line="280" w:lineRule="exact"/>
              <w:jc w:val="right"/>
              <w:rPr>
                <w:rFonts w:hint="default" w:ascii="Times New Roman" w:hAnsi="Times New Roman" w:cs="Times New Roman"/>
                <w:b w:val="0"/>
                <w:bCs w:val="0"/>
                <w:color w:val="000000"/>
                <w:kern w:val="2"/>
                <w:sz w:val="20"/>
                <w:szCs w:val="20"/>
              </w:rPr>
            </w:pPr>
          </w:p>
        </w:tc>
        <w:tc>
          <w:tcPr>
            <w:tcW w:w="1299" w:type="pct"/>
            <w:shd w:val="clear" w:color="auto" w:fill="auto"/>
            <w:noWrap/>
            <w:tcMar>
              <w:top w:w="15" w:type="dxa"/>
              <w:left w:w="15" w:type="dxa"/>
              <w:right w:w="15" w:type="dxa"/>
            </w:tcMar>
            <w:vAlign w:val="bottom"/>
          </w:tcPr>
          <w:p w14:paraId="5E05070D">
            <w:pPr>
              <w:spacing w:line="280" w:lineRule="exact"/>
              <w:rPr>
                <w:rFonts w:hint="default" w:ascii="Times New Roman" w:hAnsi="Times New Roman" w:cs="Times New Roman"/>
                <w:b w:val="0"/>
                <w:bCs w:val="0"/>
                <w:color w:val="000000"/>
                <w:kern w:val="2"/>
                <w:sz w:val="20"/>
                <w:szCs w:val="20"/>
              </w:rPr>
            </w:pPr>
          </w:p>
        </w:tc>
        <w:tc>
          <w:tcPr>
            <w:tcW w:w="879" w:type="pct"/>
            <w:shd w:val="clear" w:color="auto" w:fill="auto"/>
            <w:noWrap/>
            <w:tcMar>
              <w:top w:w="15" w:type="dxa"/>
              <w:left w:w="15" w:type="dxa"/>
              <w:right w:w="15" w:type="dxa"/>
            </w:tcMar>
            <w:vAlign w:val="bottom"/>
          </w:tcPr>
          <w:p w14:paraId="51E3AF11">
            <w:pPr>
              <w:spacing w:line="280" w:lineRule="exact"/>
              <w:jc w:val="right"/>
              <w:textAlignment w:val="bottom"/>
              <w:rPr>
                <w:rFonts w:hint="default" w:ascii="Times New Roman" w:hAnsi="Times New Roman" w:cs="Times New Roman"/>
                <w:b w:val="0"/>
                <w:bCs w:val="0"/>
                <w:color w:val="000000"/>
                <w:kern w:val="2"/>
                <w:sz w:val="20"/>
                <w:szCs w:val="20"/>
              </w:rPr>
            </w:pPr>
            <w:r>
              <w:rPr>
                <w:rFonts w:hint="default" w:ascii="Times New Roman" w:hAnsi="Times New Roman" w:cs="Times New Roman"/>
                <w:b w:val="0"/>
                <w:bCs w:val="0"/>
                <w:color w:val="000000"/>
                <w:kern w:val="2"/>
                <w:sz w:val="20"/>
                <w:szCs w:val="20"/>
              </w:rPr>
              <w:t>公开09表</w:t>
            </w:r>
          </w:p>
        </w:tc>
      </w:tr>
      <w:tr w14:paraId="20982D97">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7851F9F">
            <w:pPr>
              <w:spacing w:line="280" w:lineRule="exact"/>
              <w:rPr>
                <w:rFonts w:hint="default" w:ascii="Times New Roman" w:hAnsi="Times New Roman" w:cs="Times New Roman"/>
                <w:b w:val="0"/>
                <w:bCs w:val="0"/>
                <w:color w:val="000000"/>
                <w:kern w:val="2"/>
                <w:sz w:val="20"/>
                <w:szCs w:val="20"/>
              </w:rPr>
            </w:pPr>
            <w:r>
              <w:rPr>
                <w:rFonts w:hint="default" w:ascii="Times New Roman" w:hAnsi="Times New Roman" w:cs="Times New Roman"/>
                <w:b w:val="0"/>
                <w:bCs w:val="0"/>
                <w:sz w:val="20"/>
                <w:szCs w:val="20"/>
                <w:lang w:val="en-US" w:eastAsia="zh-CN"/>
              </w:rPr>
              <w:t>部门</w:t>
            </w:r>
            <w:r>
              <w:rPr>
                <w:rFonts w:hint="default" w:ascii="Times New Roman" w:hAnsi="Times New Roman" w:cs="Times New Roman"/>
                <w:b w:val="0"/>
                <w:bCs w:val="0"/>
                <w:color w:val="000000"/>
                <w:kern w:val="2"/>
                <w:sz w:val="20"/>
                <w:szCs w:val="20"/>
              </w:rPr>
              <w:t>：</w:t>
            </w:r>
            <w:r>
              <w:rPr>
                <w:rFonts w:hint="default" w:ascii="Times New Roman" w:hAnsi="Times New Roman" w:cs="Times New Roman"/>
                <w:b w:val="0"/>
                <w:bCs w:val="0"/>
                <w:color w:val="000000"/>
                <w:sz w:val="20"/>
                <w:u w:color="auto"/>
              </w:rPr>
              <w:t>丰都县融媒体中心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FF81C94">
            <w:pPr>
              <w:spacing w:line="280" w:lineRule="exact"/>
              <w:jc w:val="right"/>
              <w:rPr>
                <w:rFonts w:hint="default" w:ascii="Times New Roman" w:hAnsi="Times New Roman" w:cs="Times New Roman"/>
                <w:b w:val="0"/>
                <w:bCs w:val="0"/>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C8AF551">
            <w:pPr>
              <w:spacing w:line="280" w:lineRule="exact"/>
              <w:rPr>
                <w:rFonts w:hint="default" w:ascii="Times New Roman" w:hAnsi="Times New Roman" w:cs="Times New Roman"/>
                <w:b w:val="0"/>
                <w:bCs w:val="0"/>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79845D3">
            <w:pPr>
              <w:spacing w:line="280" w:lineRule="exact"/>
              <w:jc w:val="right"/>
              <w:textAlignment w:val="bottom"/>
              <w:rPr>
                <w:rFonts w:hint="default" w:ascii="Times New Roman" w:hAnsi="Times New Roman" w:cs="Times New Roman"/>
                <w:b w:val="0"/>
                <w:bCs w:val="0"/>
                <w:color w:val="000000"/>
                <w:kern w:val="2"/>
                <w:sz w:val="20"/>
                <w:szCs w:val="20"/>
              </w:rPr>
            </w:pPr>
            <w:r>
              <w:rPr>
                <w:rFonts w:hint="default" w:ascii="Times New Roman" w:hAnsi="Times New Roman" w:cs="Times New Roman"/>
                <w:b w:val="0"/>
                <w:bCs w:val="0"/>
                <w:color w:val="000000"/>
                <w:kern w:val="2"/>
                <w:sz w:val="20"/>
                <w:szCs w:val="20"/>
                <w:lang w:eastAsia="zh-CN"/>
              </w:rPr>
              <w:t>部门</w:t>
            </w:r>
            <w:r>
              <w:rPr>
                <w:rFonts w:hint="default" w:ascii="Times New Roman" w:hAnsi="Times New Roman" w:cs="Times New Roman"/>
                <w:b w:val="0"/>
                <w:bCs w:val="0"/>
                <w:color w:val="000000"/>
                <w:kern w:val="2"/>
                <w:sz w:val="20"/>
                <w:szCs w:val="20"/>
              </w:rPr>
              <w:t>：</w:t>
            </w:r>
            <w:r>
              <w:rPr>
                <w:rFonts w:hint="default" w:ascii="Times New Roman" w:hAnsi="Times New Roman" w:cs="Times New Roman"/>
                <w:b w:val="0"/>
                <w:bCs w:val="0"/>
                <w:kern w:val="2"/>
                <w:sz w:val="20"/>
                <w:szCs w:val="20"/>
              </w:rPr>
              <w:t>万元</w:t>
            </w:r>
          </w:p>
        </w:tc>
      </w:tr>
      <w:tr w14:paraId="25F1DBE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CFE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01FE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70D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AE9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791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决算数</w:t>
            </w:r>
          </w:p>
        </w:tc>
      </w:tr>
      <w:tr w14:paraId="2A1964B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B55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614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D6C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041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A55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4A2F5F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F90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0EB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8.39</w:t>
            </w:r>
            <w:r>
              <w:rPr>
                <w:rFonts w:hint="default" w:ascii="Times New Roman" w:hAnsi="Times New Roman" w:cs="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E95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8.39</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C97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000000"/>
                <w:kern w:val="2"/>
                <w:sz w:val="16"/>
                <w:szCs w:val="16"/>
                <w:lang w:eastAsia="zh-CN"/>
              </w:rPr>
            </w:pPr>
            <w:r>
              <w:rPr>
                <w:rFonts w:hint="default" w:ascii="Times New Roman" w:hAnsi="Times New Roman" w:cs="Times New Roman"/>
                <w:b w:val="0"/>
                <w:bCs w:val="0"/>
                <w:color w:val="000000"/>
                <w:kern w:val="2"/>
                <w:sz w:val="16"/>
                <w:szCs w:val="16"/>
              </w:rPr>
              <w:t xml:space="preserve">  （一）行政</w:t>
            </w:r>
            <w:r>
              <w:rPr>
                <w:rFonts w:hint="default" w:ascii="Times New Roman" w:hAnsi="Times New Roman" w:cs="Times New Roman"/>
                <w:b w:val="0"/>
                <w:bCs w:val="0"/>
                <w:color w:val="000000"/>
                <w:kern w:val="2"/>
                <w:sz w:val="16"/>
                <w:szCs w:val="16"/>
                <w:lang w:eastAsia="zh-CN"/>
              </w:rPr>
              <w:t>部门</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6C54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14C377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32B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38F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0AD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FBA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b w:val="0"/>
                <w:bCs w:val="0"/>
                <w:color w:val="000000"/>
                <w:kern w:val="2"/>
                <w:sz w:val="16"/>
                <w:szCs w:val="16"/>
                <w:lang w:eastAsia="zh-CN"/>
              </w:rPr>
            </w:pPr>
            <w:r>
              <w:rPr>
                <w:rFonts w:hint="default" w:ascii="Times New Roman" w:hAnsi="Times New Roman" w:cs="Times New Roman"/>
                <w:b w:val="0"/>
                <w:bCs w:val="0"/>
                <w:color w:val="000000"/>
                <w:kern w:val="2"/>
                <w:sz w:val="16"/>
                <w:szCs w:val="16"/>
              </w:rPr>
              <w:t xml:space="preserve">  （二）参照公务员法管理事业</w:t>
            </w:r>
            <w:r>
              <w:rPr>
                <w:rFonts w:hint="default" w:ascii="Times New Roman" w:hAnsi="Times New Roman" w:cs="Times New Roman"/>
                <w:b w:val="0"/>
                <w:bCs w:val="0"/>
                <w:color w:val="000000"/>
                <w:kern w:val="2"/>
                <w:sz w:val="16"/>
                <w:szCs w:val="16"/>
                <w:lang w:eastAsia="zh-CN"/>
              </w:rPr>
              <w:t>部门</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F4B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59E08F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426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F31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7.47</w:t>
            </w:r>
            <w:r>
              <w:rPr>
                <w:rFonts w:hint="default" w:ascii="Times New Roman" w:hAnsi="Times New Roman" w:cs="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8C6D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7.47</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3B9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E2C5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w:t>
            </w:r>
          </w:p>
        </w:tc>
      </w:tr>
      <w:tr w14:paraId="4A7D48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B72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0B3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4.51</w:t>
            </w:r>
            <w:r>
              <w:rPr>
                <w:rFonts w:hint="default" w:ascii="Times New Roman" w:hAnsi="Times New Roman" w:cs="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79B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4.51</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622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35CF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w:t>
            </w:r>
            <w:r>
              <w:rPr>
                <w:rFonts w:hint="default" w:ascii="Times New Roman" w:hAnsi="Times New Roman" w:cs="Times New Roman"/>
                <w:b w:val="0"/>
                <w:bCs w:val="0"/>
                <w:color w:val="000000"/>
                <w:sz w:val="18"/>
                <w:u w:color="auto"/>
              </w:rPr>
              <w:t xml:space="preserve"> </w:t>
            </w:r>
          </w:p>
        </w:tc>
      </w:tr>
      <w:tr w14:paraId="1C1A3BC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398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4BD7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2.96</w:t>
            </w:r>
            <w:r>
              <w:rPr>
                <w:rFonts w:hint="default" w:ascii="Times New Roman" w:hAnsi="Times New Roman" w:cs="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E5F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2.96</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CD8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288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50D79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02D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1AA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0.92</w:t>
            </w:r>
            <w:r>
              <w:rPr>
                <w:rFonts w:hint="default" w:ascii="Times New Roman" w:hAnsi="Times New Roman" w:cs="Times New Roman"/>
                <w:b w:val="0"/>
                <w:bCs w:val="0"/>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A08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0.92</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1DE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20C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DB166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3BE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280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0BE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0.92</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6D5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55C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6D0652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330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145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983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2C6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49F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w:t>
            </w:r>
            <w:r>
              <w:rPr>
                <w:rFonts w:hint="default" w:ascii="Times New Roman" w:hAnsi="Times New Roman" w:cs="Times New Roman"/>
                <w:b w:val="0"/>
                <w:bCs w:val="0"/>
                <w:color w:val="000000"/>
                <w:sz w:val="18"/>
                <w:u w:color="auto"/>
              </w:rPr>
              <w:t xml:space="preserve"> </w:t>
            </w:r>
          </w:p>
        </w:tc>
      </w:tr>
      <w:tr w14:paraId="2D07DC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A75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CB1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B184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DAA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769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C046E4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162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9E3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8F32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B44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26A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5FB1E8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C5C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38A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1A9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490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4CD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0FDF56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8A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EB7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B93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033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F1A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3320F6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F0E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0EB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34E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1</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A04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CE7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w:t>
            </w:r>
            <w:r>
              <w:rPr>
                <w:rFonts w:hint="default" w:ascii="Times New Roman" w:hAnsi="Times New Roman" w:cs="Times New Roman"/>
                <w:b w:val="0"/>
                <w:bCs w:val="0"/>
                <w:color w:val="000000"/>
                <w:sz w:val="18"/>
                <w:u w:color="auto"/>
              </w:rPr>
              <w:t xml:space="preserve"> </w:t>
            </w:r>
          </w:p>
        </w:tc>
      </w:tr>
      <w:tr w14:paraId="66C60F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36B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4D1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BA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2</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70E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6377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w:t>
            </w:r>
          </w:p>
        </w:tc>
      </w:tr>
      <w:tr w14:paraId="5B6E1E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D30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AA3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E52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10</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4D9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583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1.42</w:t>
            </w:r>
            <w:r>
              <w:rPr>
                <w:rFonts w:hint="default" w:ascii="Times New Roman" w:hAnsi="Times New Roman" w:cs="Times New Roman"/>
                <w:b w:val="0"/>
                <w:bCs w:val="0"/>
                <w:color w:val="000000"/>
                <w:sz w:val="18"/>
                <w:u w:color="auto"/>
              </w:rPr>
              <w:t xml:space="preserve"> </w:t>
            </w:r>
          </w:p>
        </w:tc>
      </w:tr>
      <w:tr w14:paraId="06A1F6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B7B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198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F4D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73B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CB1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1.42</w:t>
            </w:r>
            <w:r>
              <w:rPr>
                <w:rFonts w:hint="default" w:ascii="Times New Roman" w:hAnsi="Times New Roman" w:cs="Times New Roman"/>
                <w:b w:val="0"/>
                <w:bCs w:val="0"/>
                <w:color w:val="000000"/>
                <w:sz w:val="18"/>
                <w:u w:color="auto"/>
              </w:rPr>
              <w:t xml:space="preserve"> </w:t>
            </w:r>
          </w:p>
        </w:tc>
      </w:tr>
      <w:tr w14:paraId="5E24E4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308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C22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5C4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55</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15A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C62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3AC2CC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72D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201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A00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D02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16E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14:paraId="2BEFE3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DB2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738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AEE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B7D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A8E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0.93</w:t>
            </w:r>
            <w:r>
              <w:rPr>
                <w:rFonts w:hint="default" w:ascii="Times New Roman" w:hAnsi="Times New Roman" w:cs="Times New Roman"/>
                <w:b w:val="0"/>
                <w:bCs w:val="0"/>
                <w:color w:val="000000"/>
                <w:sz w:val="18"/>
                <w:u w:color="auto"/>
              </w:rPr>
              <w:t xml:space="preserve"> </w:t>
            </w:r>
          </w:p>
        </w:tc>
      </w:tr>
      <w:tr w14:paraId="7DA62C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938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833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296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030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59F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0.93</w:t>
            </w:r>
            <w:r>
              <w:rPr>
                <w:rFonts w:hint="default" w:ascii="Times New Roman" w:hAnsi="Times New Roman" w:cs="Times New Roman"/>
                <w:b w:val="0"/>
                <w:bCs w:val="0"/>
                <w:color w:val="000000"/>
                <w:sz w:val="18"/>
                <w:u w:color="auto"/>
              </w:rPr>
              <w:t xml:space="preserve"> </w:t>
            </w:r>
          </w:p>
        </w:tc>
      </w:tr>
      <w:tr w14:paraId="4BABCAA7">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51C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949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6B62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2.15</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D233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AFA3F">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b w:val="0"/>
                <w:bCs w:val="0"/>
                <w:color w:val="000000"/>
                <w:kern w:val="2"/>
                <w:sz w:val="16"/>
                <w:szCs w:val="16"/>
              </w:rPr>
            </w:pPr>
          </w:p>
        </w:tc>
      </w:tr>
      <w:tr w14:paraId="131E2CF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118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kern w:val="2"/>
                <w:sz w:val="16"/>
                <w:szCs w:val="16"/>
              </w:rPr>
            </w:pPr>
            <w:r>
              <w:rPr>
                <w:rFonts w:hint="default" w:ascii="Times New Roman" w:hAnsi="Times New Roman" w:cs="Times New Roman"/>
                <w:b w:val="0"/>
                <w:bCs w:val="0"/>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972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6FA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kern w:val="2"/>
                <w:sz w:val="18"/>
                <w:szCs w:val="18"/>
              </w:rPr>
            </w:pPr>
            <w:r>
              <w:rPr>
                <w:rFonts w:hint="default" w:ascii="Times New Roman" w:hAnsi="Times New Roman" w:cs="Times New Roman"/>
                <w:b w:val="0"/>
                <w:bCs w:val="0"/>
                <w:color w:val="000000"/>
                <w:kern w:val="2"/>
                <w:sz w:val="18"/>
                <w:szCs w:val="18"/>
              </w:rPr>
              <w:t>1.99</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31BDA">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15A8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b w:val="0"/>
                <w:bCs w:val="0"/>
                <w:color w:val="000000"/>
                <w:kern w:val="2"/>
                <w:sz w:val="16"/>
                <w:szCs w:val="16"/>
              </w:rPr>
            </w:pPr>
          </w:p>
        </w:tc>
      </w:tr>
      <w:tr w14:paraId="1C35B4B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643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615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ACB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9.97</w:t>
            </w:r>
            <w:r>
              <w:rPr>
                <w:rFonts w:hint="default" w:ascii="Times New Roman" w:hAnsi="Times New Roman" w:cs="Times New Roman"/>
                <w:b w:val="0"/>
                <w:bCs w:val="0"/>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3D0B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b w:val="0"/>
                <w:bCs w:val="0"/>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DD1D7">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b w:val="0"/>
                <w:bCs w:val="0"/>
                <w:color w:val="000000"/>
                <w:sz w:val="16"/>
                <w:szCs w:val="16"/>
              </w:rPr>
            </w:pPr>
          </w:p>
        </w:tc>
      </w:tr>
    </w:tbl>
    <w:p w14:paraId="0C68CD20">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b w:val="0"/>
          <w:bCs w:val="0"/>
          <w:sz w:val="18"/>
          <w:szCs w:val="18"/>
        </w:rPr>
        <w:br w:type="textWrapping"/>
      </w:r>
      <w:r>
        <w:rPr>
          <w:rFonts w:hint="default" w:ascii="Times New Roman" w:hAnsi="Times New Roman" w:cs="Times New Roman"/>
          <w:b w:val="0"/>
          <w:bCs w:val="0"/>
          <w:sz w:val="18"/>
          <w:szCs w:val="18"/>
        </w:rPr>
        <w:t xml:space="preserve">      2.本套报表金额</w:t>
      </w:r>
      <w:r>
        <w:rPr>
          <w:rFonts w:hint="default" w:ascii="Times New Roman" w:hAnsi="Times New Roman" w:cs="Times New Roman"/>
          <w:b w:val="0"/>
          <w:bCs w:val="0"/>
          <w:sz w:val="18"/>
          <w:szCs w:val="18"/>
          <w:lang w:eastAsia="zh-CN"/>
        </w:rPr>
        <w:t>部门</w:t>
      </w:r>
      <w:r>
        <w:rPr>
          <w:rFonts w:hint="default" w:ascii="Times New Roman" w:hAnsi="Times New Roman" w:cs="Times New Roman"/>
          <w:b w:val="0"/>
          <w:bCs w:val="0"/>
          <w:sz w:val="18"/>
          <w:szCs w:val="18"/>
        </w:rPr>
        <w:t>转换时可能存在尾数误差。</w:t>
      </w:r>
      <w:r>
        <w:rPr>
          <w:rFonts w:hint="default" w:ascii="Times New Roman" w:hAnsi="Times New Roman" w:cs="Times New Roman"/>
          <w:b w:val="0"/>
          <w:bCs w:val="0"/>
          <w:sz w:val="18"/>
          <w:szCs w:val="18"/>
        </w:rPr>
        <w:br w:type="textWrapping"/>
      </w:r>
      <w:r>
        <w:rPr>
          <w:rFonts w:hint="default" w:ascii="Times New Roman" w:hAnsi="Times New Roman" w:cs="Times New Roman"/>
          <w:b w:val="0"/>
          <w:bCs w:val="0"/>
          <w:sz w:val="18"/>
          <w:szCs w:val="18"/>
        </w:rPr>
        <w:br w:type="textWrapping"/>
      </w:r>
    </w:p>
    <w:sectPr>
      <w:headerReference r:id="rId4" w:type="default"/>
      <w:footerReference r:id="rId5" w:type="default"/>
      <w:pgSz w:w="16783" w:h="11850"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41FC">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54D2C44">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- 21 -</w:t>
                          </w:r>
                          <w:r>
                            <w:rPr>
                              <w:rFonts w:hint="eastAsia" w:ascii="方正仿宋_GBK" w:hAnsi="方正仿宋_GBK" w:eastAsia="方正仿宋_GBK" w:cs="方正仿宋_GBK"/>
                              <w:sz w:val="28"/>
                              <w:szCs w:val="2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ORt8l5gEAAMcD&#10;AAAOAAAAAAAAAAEAIAAAAB8BAABkcnMvZTJvRG9jLnhtbFBLBQYAAAAABgAGAFkBAAB3BQAAAAA=&#10;">
              <v:fill on="f" focussize="0,0"/>
              <v:stroke on="f" weight="0.5pt"/>
              <v:imagedata o:title=""/>
              <o:lock v:ext="edit" aspectratio="f"/>
              <v:textbox inset="0mm,0mm,0mm,0mm" style="mso-fit-shape-to-text:t;">
                <w:txbxContent>
                  <w:p w14:paraId="054D2C44">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6211">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04247C">
                          <w:pPr>
                            <w:pStyle w:val="3"/>
                            <w:rPr>
                              <w:rFonts w:hint="default"/>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30 -</w:t>
                          </w:r>
                          <w:r>
                            <w:rPr>
                              <w:rFonts w:hint="eastAsia" w:ascii="方正仿宋_GBK" w:hAnsi="方正仿宋_GBK" w:eastAsia="方正仿宋_GBK" w:cs="方正仿宋_GBK"/>
                              <w:sz w:val="28"/>
                              <w:szCs w:val="28"/>
                            </w:rPr>
                            <w:fldChar w:fldCharType="end"/>
                          </w:r>
                          <w: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ffL1ucBAADH&#10;AwAADgAAAAAAAAABACAAAAAfAQAAZHJzL2Uyb0RvYy54bWxQSwUGAAAAAAYABgBZAQAAeAUAAAAA&#10;">
              <v:fill on="f" focussize="0,0"/>
              <v:stroke on="f" weight="0.5pt"/>
              <v:imagedata o:title=""/>
              <o:lock v:ext="edit" aspectratio="f"/>
              <v:textbox inset="0mm,0mm,0mm,0mm" style="mso-fit-shape-to-text:t;">
                <w:txbxContent>
                  <w:p w14:paraId="4C04247C">
                    <w:pPr>
                      <w:pStyle w:val="3"/>
                      <w:rPr>
                        <w:rFonts w:hint="default"/>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30 -</w:t>
                    </w:r>
                    <w:r>
                      <w:rPr>
                        <w:rFonts w:hint="eastAsia" w:ascii="方正仿宋_GBK" w:hAnsi="方正仿宋_GBK" w:eastAsia="方正仿宋_GBK" w:cs="方正仿宋_GBK"/>
                        <w:sz w:val="28"/>
                        <w:szCs w:val="28"/>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053CC4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053CC4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C48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0F5C1A"/>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7E6291"/>
    <w:rsid w:val="08BA052C"/>
    <w:rsid w:val="08DB07BA"/>
    <w:rsid w:val="0969353F"/>
    <w:rsid w:val="098305D0"/>
    <w:rsid w:val="098A0877"/>
    <w:rsid w:val="0A5C4B69"/>
    <w:rsid w:val="0A86124A"/>
    <w:rsid w:val="0AB54CC0"/>
    <w:rsid w:val="0B9335CE"/>
    <w:rsid w:val="0BCD088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672959"/>
    <w:rsid w:val="12C921C4"/>
    <w:rsid w:val="12F52ECF"/>
    <w:rsid w:val="13871C70"/>
    <w:rsid w:val="13A71CB4"/>
    <w:rsid w:val="13AF1D43"/>
    <w:rsid w:val="13CE1647"/>
    <w:rsid w:val="13DA0C25"/>
    <w:rsid w:val="13FD55AB"/>
    <w:rsid w:val="14200702"/>
    <w:rsid w:val="14907817"/>
    <w:rsid w:val="163A6CEE"/>
    <w:rsid w:val="173708E3"/>
    <w:rsid w:val="174C19C7"/>
    <w:rsid w:val="17BC3497"/>
    <w:rsid w:val="17C374FC"/>
    <w:rsid w:val="189079DC"/>
    <w:rsid w:val="189B0D0B"/>
    <w:rsid w:val="18B43F7C"/>
    <w:rsid w:val="194A1770"/>
    <w:rsid w:val="19B906A4"/>
    <w:rsid w:val="19FB026E"/>
    <w:rsid w:val="1A7B65CB"/>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EF75507"/>
    <w:rsid w:val="1F020D3A"/>
    <w:rsid w:val="1F2C5189"/>
    <w:rsid w:val="1F4B0B02"/>
    <w:rsid w:val="1FBB35CD"/>
    <w:rsid w:val="1FCD26AF"/>
    <w:rsid w:val="20642787"/>
    <w:rsid w:val="20F4064E"/>
    <w:rsid w:val="2130749E"/>
    <w:rsid w:val="21556F04"/>
    <w:rsid w:val="22403BD3"/>
    <w:rsid w:val="23DA37D9"/>
    <w:rsid w:val="24B92327"/>
    <w:rsid w:val="24C14514"/>
    <w:rsid w:val="25037D49"/>
    <w:rsid w:val="2533755C"/>
    <w:rsid w:val="25791755"/>
    <w:rsid w:val="25CB784F"/>
    <w:rsid w:val="26396DF4"/>
    <w:rsid w:val="27167136"/>
    <w:rsid w:val="27B23302"/>
    <w:rsid w:val="29310A5F"/>
    <w:rsid w:val="2937635E"/>
    <w:rsid w:val="29C37A35"/>
    <w:rsid w:val="2A076083"/>
    <w:rsid w:val="2A73162E"/>
    <w:rsid w:val="2A751F0B"/>
    <w:rsid w:val="2B167953"/>
    <w:rsid w:val="2B200583"/>
    <w:rsid w:val="2B220436"/>
    <w:rsid w:val="2B276F95"/>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B15227"/>
    <w:rsid w:val="3C3814A4"/>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727C49"/>
    <w:rsid w:val="44C37687"/>
    <w:rsid w:val="45795008"/>
    <w:rsid w:val="45CB699A"/>
    <w:rsid w:val="465B470D"/>
    <w:rsid w:val="469D6AD4"/>
    <w:rsid w:val="471E6C84"/>
    <w:rsid w:val="4748792B"/>
    <w:rsid w:val="475D719D"/>
    <w:rsid w:val="47674801"/>
    <w:rsid w:val="476860EB"/>
    <w:rsid w:val="48225EF7"/>
    <w:rsid w:val="488F422B"/>
    <w:rsid w:val="48C00ED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B726FD"/>
    <w:rsid w:val="4EC92552"/>
    <w:rsid w:val="4EFC6D10"/>
    <w:rsid w:val="4F0C6BA3"/>
    <w:rsid w:val="4F10477D"/>
    <w:rsid w:val="4F186D58"/>
    <w:rsid w:val="4FEA65B7"/>
    <w:rsid w:val="501231F7"/>
    <w:rsid w:val="5042146E"/>
    <w:rsid w:val="50F06B6E"/>
    <w:rsid w:val="52234D33"/>
    <w:rsid w:val="52261ABA"/>
    <w:rsid w:val="522F6E0C"/>
    <w:rsid w:val="52463BA1"/>
    <w:rsid w:val="5298794F"/>
    <w:rsid w:val="52F163D4"/>
    <w:rsid w:val="531A2DB4"/>
    <w:rsid w:val="53786BA3"/>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5E61806"/>
    <w:rsid w:val="561D52C4"/>
    <w:rsid w:val="5651697D"/>
    <w:rsid w:val="56530F5D"/>
    <w:rsid w:val="56692AE5"/>
    <w:rsid w:val="567700D3"/>
    <w:rsid w:val="56FA2E10"/>
    <w:rsid w:val="56FF7E9E"/>
    <w:rsid w:val="578867FC"/>
    <w:rsid w:val="5842572D"/>
    <w:rsid w:val="5A3B59D6"/>
    <w:rsid w:val="5AD134D8"/>
    <w:rsid w:val="5B6503B1"/>
    <w:rsid w:val="5BFD3E45"/>
    <w:rsid w:val="5C0F7EC4"/>
    <w:rsid w:val="5C263CE4"/>
    <w:rsid w:val="5C5D2777"/>
    <w:rsid w:val="5CF66BF3"/>
    <w:rsid w:val="5D290C69"/>
    <w:rsid w:val="5F2D4A41"/>
    <w:rsid w:val="60C74F6C"/>
    <w:rsid w:val="61025A59"/>
    <w:rsid w:val="613D5BBC"/>
    <w:rsid w:val="61536C39"/>
    <w:rsid w:val="61E64F4A"/>
    <w:rsid w:val="61F555BE"/>
    <w:rsid w:val="623E0993"/>
    <w:rsid w:val="62944DD7"/>
    <w:rsid w:val="6319381F"/>
    <w:rsid w:val="63236436"/>
    <w:rsid w:val="63370F56"/>
    <w:rsid w:val="63C25DC5"/>
    <w:rsid w:val="63C62057"/>
    <w:rsid w:val="64571EF5"/>
    <w:rsid w:val="64CB0157"/>
    <w:rsid w:val="64FB113D"/>
    <w:rsid w:val="65036946"/>
    <w:rsid w:val="6540382E"/>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A04061"/>
    <w:rsid w:val="6A871420"/>
    <w:rsid w:val="6AAD2300"/>
    <w:rsid w:val="6B474EF5"/>
    <w:rsid w:val="6BBF53FD"/>
    <w:rsid w:val="6C560CAE"/>
    <w:rsid w:val="6C576495"/>
    <w:rsid w:val="6D903FF5"/>
    <w:rsid w:val="6DA955B8"/>
    <w:rsid w:val="6DB10D77"/>
    <w:rsid w:val="6DE346AB"/>
    <w:rsid w:val="6DE5391A"/>
    <w:rsid w:val="6EFD1324"/>
    <w:rsid w:val="6F51652A"/>
    <w:rsid w:val="6F5A53AC"/>
    <w:rsid w:val="6FAC003D"/>
    <w:rsid w:val="6FE55E12"/>
    <w:rsid w:val="6FFB2E76"/>
    <w:rsid w:val="708F6F7F"/>
    <w:rsid w:val="70D94BD3"/>
    <w:rsid w:val="70EE5FFA"/>
    <w:rsid w:val="712831B2"/>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A6E3060"/>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6777</Words>
  <Characters>7665</Characters>
  <Lines>186</Lines>
  <Paragraphs>52</Paragraphs>
  <TotalTime>9</TotalTime>
  <ScaleCrop>false</ScaleCrop>
  <LinksUpToDate>false</LinksUpToDate>
  <CharactersWithSpaces>7730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2025-09-15T01:18:42Z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85A8A9854C8244B387CEC84CF391B0FA_13</vt:lpwstr>
  </property>
  <property fmtid="{D5CDD505-2E9C-101B-9397-08002B2CF9AE}" pid="4" name="KSOTemplateDocerSaveRecord">
    <vt:lpwstr>eyJoZGlkIjoiMTAxNWMxY2E0MGU3Yzk5Zjc3N2YyOTNmOTVmODM4ZGEifQ==</vt:lpwstr>
  </property>
</Properties>
</file>