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丰都县发展研究中心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Times New Roman" w:hAnsi="Times New Roman"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Times New Roman" w:hAnsi="Times New Roman"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方正小标宋_GBK"/>
          <w:sz w:val="44"/>
          <w:szCs w:val="44"/>
          <w:shd w:val="clear" w:color="auto" w:fill="FFFFFF"/>
        </w:rPr>
      </w:pPr>
    </w:p>
    <w:p>
      <w:pPr>
        <w:pStyle w:val="15"/>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70" w:lineRule="exact"/>
        <w:ind w:firstLine="640" w:firstLineChars="200"/>
        <w:textAlignment w:val="auto"/>
        <w:rPr>
          <w:rStyle w:val="16"/>
          <w:rFonts w:hint="default" w:ascii="Times New Roman" w:hAnsi="Times New Roman" w:eastAsia="方正黑体_GBK" w:cs="方正黑体_GBK"/>
          <w:b w:val="0"/>
          <w:bCs w:val="0"/>
          <w:sz w:val="32"/>
          <w:szCs w:val="32"/>
          <w:shd w:val="clear" w:fill="FFFFFF"/>
          <w:lang w:val="en-US" w:eastAsia="zh-CN"/>
        </w:rPr>
      </w:pPr>
      <w:r>
        <w:rPr>
          <w:rStyle w:val="16"/>
          <w:rFonts w:hint="eastAsia" w:ascii="Times New Roman" w:hAnsi="Times New Roman" w:eastAsia="方正黑体_GBK" w:cs="方正黑体_GBK"/>
          <w:b w:val="0"/>
          <w:bCs w:val="0"/>
          <w:sz w:val="32"/>
          <w:szCs w:val="32"/>
          <w:shd w:val="clear" w:fill="FFFFFF"/>
          <w:lang w:val="en-US" w:eastAsia="zh-CN"/>
        </w:rPr>
        <w:t>一、单位基本情况</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楷体_GBK" w:cs="方正楷体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楷体_GBK" w:cs="方正楷体_GBK"/>
          <w:b w:val="0"/>
          <w:bCs w:val="0"/>
          <w:snapToGrid w:val="0"/>
          <w:color w:val="000000" w:themeColor="text1"/>
          <w:sz w:val="32"/>
          <w:szCs w:val="32"/>
          <w:highlight w:val="none"/>
          <w:shd w:val="clear" w:color="auto" w:fill="FFFFFF"/>
          <w14:textFill>
            <w14:solidFill>
              <w14:schemeClr w14:val="tx1"/>
            </w14:solidFill>
          </w14:textFill>
        </w:rPr>
        <w:t>（一）职能职责</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1.调查研究全县经济发展运行和一、二、三产业发展态势及全面党的建设和社会事业重大问题，为县委办给县委科学决策提供服务。</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2.协助县委办开展调查研究，做好重点工作的协调服务。</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3.为全面深化改革和依法治理工作做好相关服务。</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4.调查了解各乡镇、各部门贯彻党的路线、方针、政策情况，为县委办总结推广经验、典型做好服务工作。</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5.收集整理党建、经济、社会、民生、改革、法治等重大信息资料，建立信息资料库，编辑相应资料，为县委办给县委提供信息服务。</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6.负责加强与高等院校、科研单位、专家学者等研究力量的咨询对接服务。</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7.承办县委办交办的其他事项。</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楷体_GBK" w:cs="方正楷体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楷体_GBK" w:cs="方正楷体_GBK"/>
          <w:b w:val="0"/>
          <w:bCs w:val="0"/>
          <w:snapToGrid w:val="0"/>
          <w:color w:val="000000" w:themeColor="text1"/>
          <w:sz w:val="32"/>
          <w:szCs w:val="32"/>
          <w:highlight w:val="none"/>
          <w:shd w:val="clear" w:color="auto" w:fill="FFFFFF"/>
          <w14:textFill>
            <w14:solidFill>
              <w14:schemeClr w14:val="tx1"/>
            </w14:solidFill>
          </w14:textFill>
        </w:rPr>
        <w:t>（二）机构设置</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综合科。负责县发展研究中心日常运转和重要事项督查督办，承担文秘、档案、机要保密、会务、信息等工作；承担信息化建设、党建、群团、目标管理等工作；负责编制财务预决算、日常财务管理、劳动工资等工作；负责国有资产管理及政府采购工作；负责单位内部审计及其他专项审计工作；负责机关后勤服务保障工作。</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一科。负责组织开展对党的建设情况的调研；负责开展全县教育、卫生、文化事业等方面情况的调研。</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二科。负责开展对全县工业、农业、第三产业等经济发展和城市管理建设情况的调研。</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三科。负责组织开展全面深化改革、依法治县重大问题的情况调研，做好改革（法治）各专项小组的联系服务工作。</w:t>
      </w:r>
    </w:p>
    <w:p>
      <w:pPr>
        <w:pStyle w:val="15"/>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70" w:lineRule="exact"/>
        <w:ind w:firstLine="640" w:firstLineChars="200"/>
        <w:textAlignment w:val="auto"/>
        <w:rPr>
          <w:rStyle w:val="16"/>
          <w:rFonts w:hint="default" w:ascii="Times New Roman" w:hAnsi="Times New Roman" w:eastAsia="方正黑体_GBK" w:cs="方正黑体_GBK"/>
          <w:b w:val="0"/>
          <w:bCs w:val="0"/>
          <w:sz w:val="32"/>
          <w:szCs w:val="32"/>
          <w:shd w:val="clear" w:fill="FFFFFF"/>
          <w:lang w:val="en-US" w:eastAsia="zh-CN"/>
        </w:rPr>
      </w:pPr>
      <w:r>
        <w:rPr>
          <w:rStyle w:val="16"/>
          <w:rFonts w:hint="eastAsia" w:ascii="Times New Roman" w:hAnsi="Times New Roman" w:eastAsia="方正黑体_GBK" w:cs="方正黑体_GBK"/>
          <w:b w:val="0"/>
          <w:bCs w:val="0"/>
          <w:sz w:val="32"/>
          <w:szCs w:val="32"/>
          <w:shd w:val="clear" w:fill="FFFFFF"/>
          <w:lang w:val="en-US" w:eastAsia="zh-CN"/>
        </w:rPr>
        <w:t>二、单位决算收支情况说明</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t>（一）收入支出决算总体情况说明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2024</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年度收</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、支</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总计</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均为</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240.89</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收、支与2023年度相比，增加62.05万元，增长34.7%</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，主要原因是人员增加，2023年12月在编人数为10人，2024年12月在编人数为12人，相关人员、公用、项目经费增加。</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2" w:firstLineChars="200"/>
        <w:jc w:val="both"/>
        <w:textAlignment w:val="auto"/>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bCs/>
          <w:snapToGrid w:val="0"/>
          <w:color w:val="000000" w:themeColor="text1"/>
          <w:sz w:val="32"/>
          <w:szCs w:val="32"/>
          <w:highlight w:val="none"/>
          <w:shd w:val="clear" w:color="auto" w:fill="FFFFFF"/>
          <w:lang w:val="en-US" w:eastAsia="zh-CN"/>
          <w14:textFill>
            <w14:solidFill>
              <w14:schemeClr w14:val="tx1"/>
            </w14:solidFill>
          </w14:textFill>
        </w:rPr>
        <w:t>1</w:t>
      </w:r>
      <w:r>
        <w:rPr>
          <w:rFonts w:hint="eastAsia" w:ascii="Times New Roman" w:hAnsi="Times New Roman" w:eastAsia="方正仿宋_GBK" w:cs="方正仿宋_GBK"/>
          <w:b/>
          <w:bCs/>
          <w:snapToGrid w:val="0"/>
          <w:color w:val="000000" w:themeColor="text1"/>
          <w:sz w:val="32"/>
          <w:szCs w:val="32"/>
          <w:highlight w:val="none"/>
          <w:shd w:val="clear" w:color="auto" w:fill="FFFFFF"/>
          <w14:textFill>
            <w14:solidFill>
              <w14:schemeClr w14:val="tx1"/>
            </w14:solidFill>
          </w14:textFill>
        </w:rPr>
        <w:t>.收入情况</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2024</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年度收入合计</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239.27</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与2023年度相比，增加60.70万元，增长34.0%</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，主要原因是人员增加，2023年12月在编人数为10人，2024年12月在编人数为12人，相关人员、公用、项目经费增加。其中：财政拨款收入</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239.27</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100.0%</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此外，使用非财政拨款结余（含专用结余）</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0.00</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万元，年初结转和结余</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1.61</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万元。</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2" w:firstLineChars="200"/>
        <w:jc w:val="both"/>
        <w:textAlignment w:val="auto"/>
        <w:rPr>
          <w:rFonts w:hint="default"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pPr>
      <w:r>
        <w:rPr>
          <w:rStyle w:val="13"/>
          <w:rFonts w:hint="eastAsia" w:ascii="Times New Roman" w:hAnsi="Times New Roman" w:eastAsia="方正仿宋_GBK"/>
          <w:color w:val="000000" w:themeColor="text1"/>
          <w:sz w:val="32"/>
          <w:szCs w:val="32"/>
          <w:highlight w:val="none"/>
          <w:shd w:val="clear" w:color="auto" w:fill="FFFFFF"/>
          <w:lang w:val="en-US" w:eastAsia="zh-CN"/>
          <w14:textFill>
            <w14:solidFill>
              <w14:schemeClr w14:val="tx1"/>
            </w14:solidFill>
          </w14:textFill>
        </w:rPr>
        <w:t>2</w:t>
      </w:r>
      <w:r>
        <w:rPr>
          <w:rStyle w:val="13"/>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年度支出合计</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239.27</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与2023年度相比，增加60.70万元，增长34.0%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人员增加，2023年12月在编人数为10人，2024年12月在编人数为12人，相关人员、公用、项目经费增加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。其中：基本支出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222.69</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93.1%</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；项目支出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16.58</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6.9%</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；经营支出</w:t>
      </w:r>
      <w:r>
        <w:rPr>
          <w:rFonts w:hint="default" w:ascii="Times New Roman" w:hAnsi="Times New Roman" w:eastAsia="方正仿宋_GBK"/>
          <w:color w:val="000000" w:themeColor="text1"/>
          <w:sz w:val="32"/>
          <w:szCs w:val="32"/>
          <w:highlight w:val="none"/>
          <w14:textFill>
            <w14:solidFill>
              <w14:schemeClr w14:val="tx1"/>
            </w14:solidFill>
          </w14:textFill>
        </w:rPr>
        <w:t>0.00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。此外，结余分配</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0.00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2" w:firstLineChars="200"/>
        <w:jc w:val="both"/>
        <w:textAlignment w:val="auto"/>
        <w:rPr>
          <w:rFonts w:hint="default" w:ascii="Times New Roman" w:hAnsi="Times New Roman" w:eastAsia="方正仿宋_GBK" w:cs="方正仿宋_GBK"/>
          <w:color w:val="000000" w:themeColor="text1"/>
          <w:sz w:val="32"/>
          <w:szCs w:val="32"/>
          <w:highlight w:val="none"/>
          <w14:textFill>
            <w14:solidFill>
              <w14:schemeClr w14:val="tx1"/>
            </w14:solidFill>
          </w14:textFill>
        </w:rPr>
      </w:pPr>
      <w:r>
        <w:rPr>
          <w:rStyle w:val="13"/>
          <w:rFonts w:hint="eastAsia" w:ascii="Times New Roman" w:hAnsi="Times New Roman" w:eastAsia="方正仿宋_GBK"/>
          <w:color w:val="000000" w:themeColor="text1"/>
          <w:sz w:val="32"/>
          <w:szCs w:val="32"/>
          <w:highlight w:val="none"/>
          <w:shd w:val="clear" w:color="auto" w:fill="FFFFFF"/>
          <w:lang w:val="en-US" w:eastAsia="zh-CN"/>
          <w14:textFill>
            <w14:solidFill>
              <w14:schemeClr w14:val="tx1"/>
            </w14:solidFill>
          </w14:textFill>
        </w:rPr>
        <w:t>3</w:t>
      </w:r>
      <w:r>
        <w:rPr>
          <w:rStyle w:val="13"/>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.结转结余情况。</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年度年末结转和结余</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1.61</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与2023年度相比，增加1.34万元，增长496.3%</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本年度发放创新人才安家补贴</w:t>
      </w:r>
      <w:r>
        <w:rPr>
          <w:rFonts w:hint="eastAsia" w:ascii="Times New Roman" w:hAnsi="Times New Roman" w:eastAsia="方正仿宋_GBK" w:cs="方正仿宋_GBK"/>
          <w:color w:val="000000" w:themeColor="text1"/>
          <w:sz w:val="32"/>
          <w:szCs w:val="32"/>
          <w:highlight w:val="none"/>
          <w:shd w:val="clear" w:color="auto" w:fill="FFFFFF"/>
          <w:lang w:val="en-US" w:eastAsia="zh-CN"/>
          <w14:textFill>
            <w14:solidFill>
              <w14:schemeClr w14:val="tx1"/>
            </w14:solidFill>
          </w14:textFill>
        </w:rPr>
        <w:t>1.34万元，年底进行财政存量资金统筹返还，冲减当年收入，增加年初结转结余</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2" w:firstLineChars="200"/>
        <w:textAlignment w:val="auto"/>
        <w:rPr>
          <w:rFonts w:ascii="Times New Roman" w:hAnsi="Times New Roman" w:eastAsia="楷体" w:cs="楷体"/>
          <w:b/>
          <w:bCs/>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bCs/>
          <w:color w:val="000000" w:themeColor="text1"/>
          <w:sz w:val="32"/>
          <w:szCs w:val="32"/>
          <w:highlight w:val="none"/>
          <w:shd w:val="clear" w:color="auto" w:fill="FFFFFF"/>
          <w14:textFill>
            <w14:solidFill>
              <w14:schemeClr w14:val="tx1"/>
            </w14:solidFill>
          </w14:textFill>
        </w:rPr>
        <w:t>（二）财政拨款收入支出决算总体情况说明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color w:val="000000" w:themeColor="text1"/>
          <w:sz w:val="32"/>
          <w:szCs w:val="32"/>
          <w:highlight w:val="none"/>
          <w14:textFill>
            <w14:solidFill>
              <w14:schemeClr w14:val="tx1"/>
            </w14:solidFill>
          </w14:textFill>
        </w:rPr>
      </w:pP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年度财政拨款收、支总计均为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240.89</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万元。与</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2023</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度</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相比，</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财政拨款收、支总计各增加62.05万元，增长34.7%</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人员增加，2023年12月在编人数为10人，2024年12月在编人数为12人，相关人员、公用、项目经费增加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2" w:firstLineChars="200"/>
        <w:textAlignment w:val="auto"/>
        <w:rPr>
          <w:rFonts w:ascii="Times New Roman" w:hAnsi="Times New Roman" w:eastAsia="楷体" w:cs="楷体"/>
          <w:b/>
          <w:bCs/>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bCs/>
          <w:color w:val="000000" w:themeColor="text1"/>
          <w:sz w:val="32"/>
          <w:szCs w:val="32"/>
          <w:highlight w:val="none"/>
          <w:shd w:val="clear" w:color="auto" w:fill="FFFFFF"/>
          <w14:textFill>
            <w14:solidFill>
              <w14:schemeClr w14:val="tx1"/>
            </w14:solidFill>
          </w14:textFill>
        </w:rPr>
        <w:t>（三）一般公共预算财政拨款收入支出决算情况说明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2" w:firstLineChars="200"/>
        <w:jc w:val="both"/>
        <w:textAlignment w:val="auto"/>
        <w:rPr>
          <w:rFonts w:hint="default" w:ascii="Times New Roman" w:hAnsi="Times New Roman" w:eastAsia="方正仿宋_GBK" w:cs="方正仿宋_GBK"/>
          <w:color w:val="000000" w:themeColor="text1"/>
          <w:sz w:val="32"/>
          <w:szCs w:val="32"/>
          <w:highlight w:val="none"/>
          <w14:textFill>
            <w14:solidFill>
              <w14:schemeClr w14:val="tx1"/>
            </w14:solidFill>
          </w14:textFill>
        </w:rPr>
      </w:pPr>
      <w:r>
        <w:rPr>
          <w:rStyle w:val="13"/>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w:t>
      </w:r>
      <w:r>
        <w:rPr>
          <w:rStyle w:val="13"/>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.收入情况。</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年度一般公共预算财政拨款收入</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239.27</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与2023年度相比，增加60.70万元，增长34.0%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人员增加，2023年12月在编人数为10人，2024年12月在编人数为12人，相关人员、公用、项目经费增加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较年初预算数增加45.55万元，增长23.5%</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人员增加，2023年12月在编人数为10人，2024年12月在编人数为12人，相关人员、公用、项目经费增加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。此外，年初财政拨款结转和结余</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1.61</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2" w:firstLineChars="200"/>
        <w:jc w:val="both"/>
        <w:textAlignment w:val="auto"/>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w:t>
      </w:r>
      <w:r>
        <w:rPr>
          <w:rStyle w:val="13"/>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年度一般公共预算财政拨款支出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239.27</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与2023年度相比，增加60.70万元，增长34.0%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人员增加，2023年12月在编人数为10人，2024年12月在编人数为12人，相关人员、公用、项目经费增加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较年初预算数增加45.55万元，增长23.5%</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人员增加，2023年12月在编人数为10人，2024年12月在编人数为12人，相关人员、公用、项目经费增加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pP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一般公共预算财政拨款支出主要</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用途如下</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color w:val="000000" w:themeColor="text1"/>
          <w:sz w:val="32"/>
          <w:szCs w:val="32"/>
          <w:highlight w:val="none"/>
          <w14:textFill>
            <w14:solidFill>
              <w14:schemeClr w14:val="tx1"/>
            </w14:solidFill>
          </w14:textFill>
        </w:rPr>
      </w:pP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）一般公共服务支出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191.27</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79.9%</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较年初预算数增加29.28万元，增长18.1%</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人员增加，2023年12月在编人数为10人，2024年12月在编人数为12人，相关人员、公用、项目经费增加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color w:val="000000" w:themeColor="text1"/>
          <w:sz w:val="32"/>
          <w:szCs w:val="32"/>
          <w:highlight w:val="none"/>
          <w14:textFill>
            <w14:solidFill>
              <w14:schemeClr w14:val="tx1"/>
            </w14:solidFill>
          </w14:textFill>
        </w:rPr>
      </w:pP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highlight w:val="none"/>
          <w:shd w:val="clear" w:color="auto" w:fill="FFFFFF"/>
          <w:lang w:val="en-US" w:eastAsia="zh-CN"/>
          <w14:textFill>
            <w14:solidFill>
              <w14:schemeClr w14:val="tx1"/>
            </w14:solidFill>
          </w14:textFill>
        </w:rPr>
        <w:t>2</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）社会保障</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和</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就业支出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28.86</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12.1%</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较年初预算数增加13.16万元，增长83.8%</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追加</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相关人员</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社会保障与就业经费</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color w:val="000000" w:themeColor="text1"/>
          <w:sz w:val="32"/>
          <w:szCs w:val="32"/>
          <w:highlight w:val="none"/>
          <w14:textFill>
            <w14:solidFill>
              <w14:schemeClr w14:val="tx1"/>
            </w14:solidFill>
          </w14:textFill>
        </w:rPr>
      </w:pP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highlight w:val="none"/>
          <w:shd w:val="clear" w:color="auto" w:fill="FFFFFF"/>
          <w:lang w:val="en-US" w:eastAsia="zh-CN"/>
          <w14:textFill>
            <w14:solidFill>
              <w14:schemeClr w14:val="tx1"/>
            </w14:solidFill>
          </w14:textFill>
        </w:rPr>
        <w:t>3</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）卫生健康支出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9.62</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4.0%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较年初预算数增加1.44万元，增长17.6%</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追加</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相关人员医疗保险支出</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keepNext w:val="0"/>
        <w:keepLines w:val="0"/>
        <w:pageBreakBefore w:val="0"/>
        <w:widowControl/>
        <w:kinsoku/>
        <w:wordWrap/>
        <w:overflowPunct/>
        <w:topLinePunct w:val="0"/>
        <w:autoSpaceDN/>
        <w:bidi w:val="0"/>
        <w:adjustRightInd w:val="0"/>
        <w:snapToGrid w:val="0"/>
        <w:spacing w:line="570" w:lineRule="exact"/>
        <w:ind w:firstLine="640" w:firstLineChars="200"/>
        <w:jc w:val="both"/>
        <w:textAlignment w:val="auto"/>
        <w:rPr>
          <w:rFonts w:hint="default"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pP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highlight w:val="none"/>
          <w:shd w:val="clear" w:color="auto" w:fill="FFFFFF"/>
          <w:lang w:val="en-US" w:eastAsia="zh-CN"/>
          <w14:textFill>
            <w14:solidFill>
              <w14:schemeClr w14:val="tx1"/>
            </w14:solidFill>
          </w14:textFill>
        </w:rPr>
        <w:t>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ascii="Times New Roman" w:hAnsi="Times New Roman" w:eastAsia="方正仿宋_GBK" w:cs="方正仿宋_GBK"/>
          <w:color w:val="000000" w:themeColor="text1"/>
          <w:sz w:val="32"/>
          <w:szCs w:val="32"/>
          <w:highlight w:val="none"/>
          <w14:textFill>
            <w14:solidFill>
              <w14:schemeClr w14:val="tx1"/>
            </w14:solidFill>
          </w14:textFill>
        </w:rPr>
        <w:t>住房保障支出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9.52</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4.0%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较年初预算数增加1.67万元，增长21.3%</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追加</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住房公积金支出</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2" w:firstLineChars="200"/>
        <w:jc w:val="both"/>
        <w:textAlignment w:val="auto"/>
        <w:rPr>
          <w:rFonts w:hint="default"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3</w:t>
      </w:r>
      <w:r>
        <w:rPr>
          <w:rStyle w:val="13"/>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.结转结余情况。</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年度年末一般公共预算财政拨款结转和结余</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1.61</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与2023年度相比，增加1.34万元，增长496.3%</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本年度发放</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创新</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人才安家补贴1.34万元，年底进行财政存量资金统筹返还，冲减当年收入，增加年初结转结余</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2" w:firstLineChars="200"/>
        <w:textAlignment w:val="auto"/>
        <w:rPr>
          <w:rFonts w:ascii="Times New Roman" w:hAnsi="Times New Roman" w:eastAsia="楷体" w:cs="楷体"/>
          <w:b/>
          <w:bCs/>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bCs/>
          <w:color w:val="000000" w:themeColor="text1"/>
          <w:sz w:val="32"/>
          <w:szCs w:val="32"/>
          <w:highlight w:val="none"/>
          <w:shd w:val="clear" w:color="auto" w:fill="FFFFFF"/>
          <w14:textFill>
            <w14:solidFill>
              <w14:schemeClr w14:val="tx1"/>
            </w14:solidFill>
          </w14:textFill>
        </w:rPr>
        <w:t>（四）一般公共预算财政拨款基本支出决算情况说明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年度一般公共财政拨款基本支出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222.69</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万元。其中：</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pP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人员经费</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194.69</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与2023年度相比，增加50.64万元，增长35.2%</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，人员经费增加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。人员经费用途主要包括</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基本工资、津贴补贴、社会保障缴费等</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公用经费</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28.01</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与2023年度相比，减少5.19万元，下降15.6%</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人员增加，2023年12月在编人数为10人，2024年12月在编人数为12人</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，公用经费增加，</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根据实际工作需求增加工会经费</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、培训</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费</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等</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。公用经费用途主要包括办公费、印刷费、邮电费、</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培训费、</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差旅费</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、物业管理费</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等支出。</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2" w:firstLineChars="200"/>
        <w:textAlignment w:val="auto"/>
        <w:rPr>
          <w:rFonts w:ascii="Times New Roman" w:hAnsi="Times New Roman" w:eastAsia="楷体" w:cs="楷体"/>
          <w:b/>
          <w:bCs/>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bCs/>
          <w:color w:val="000000" w:themeColor="text1"/>
          <w:sz w:val="32"/>
          <w:szCs w:val="32"/>
          <w:highlight w:val="none"/>
          <w:shd w:val="clear" w:color="auto" w:fill="FFFFFF"/>
          <w14:textFill>
            <w14:solidFill>
              <w14:schemeClr w14:val="tx1"/>
            </w14:solidFill>
          </w14:textFill>
        </w:rPr>
        <w:t>（五）政府性基金预算收支决算情况说明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本</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单位</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2024</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年度无政府性基金预算财政拨款收支。</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2" w:firstLineChars="200"/>
        <w:textAlignment w:val="auto"/>
        <w:rPr>
          <w:rFonts w:ascii="Times New Roman" w:hAnsi="Times New Roman" w:eastAsia="楷体" w:cs="楷体"/>
          <w:b/>
          <w:bCs/>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bCs/>
          <w:color w:val="000000" w:themeColor="text1"/>
          <w:sz w:val="32"/>
          <w:szCs w:val="32"/>
          <w:highlight w:val="none"/>
          <w:shd w:val="clear" w:color="auto" w:fill="FFFFFF"/>
          <w14:textFill>
            <w14:solidFill>
              <w14:schemeClr w14:val="tx1"/>
            </w14:solidFill>
          </w14:textFill>
        </w:rPr>
        <w:t>（六）国有资本经营预算财政拨款支出决算情况说明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本</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单位</w:t>
      </w:r>
      <w:r>
        <w:rPr>
          <w:rFonts w:hint="default"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2024</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年度无国有资本经营预算财政拨款支出。</w:t>
      </w:r>
    </w:p>
    <w:p>
      <w:pPr>
        <w:pStyle w:val="15"/>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70" w:lineRule="exact"/>
        <w:ind w:firstLine="640" w:firstLineChars="200"/>
        <w:textAlignment w:val="auto"/>
        <w:rPr>
          <w:rStyle w:val="16"/>
          <w:rFonts w:hint="default" w:ascii="Times New Roman" w:hAnsi="Times New Roman" w:eastAsia="方正黑体_GBK" w:cs="方正黑体_GBK"/>
          <w:b w:val="0"/>
          <w:bCs w:val="0"/>
          <w:sz w:val="32"/>
          <w:szCs w:val="32"/>
          <w:shd w:val="clear" w:fill="FFFFFF"/>
          <w:lang w:val="en-US" w:eastAsia="zh-CN"/>
        </w:rPr>
      </w:pPr>
      <w:r>
        <w:rPr>
          <w:rStyle w:val="16"/>
          <w:rFonts w:hint="eastAsia" w:ascii="Times New Roman" w:hAnsi="Times New Roman" w:eastAsia="方正黑体_GBK" w:cs="方正黑体_GBK"/>
          <w:b w:val="0"/>
          <w:bCs w:val="0"/>
          <w:sz w:val="32"/>
          <w:szCs w:val="32"/>
          <w:shd w:val="clear" w:fill="FFFFFF"/>
          <w:lang w:val="en-US" w:eastAsia="zh-CN"/>
        </w:rPr>
        <w:t>三、财政拨款“三公”经费情况说明</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t>（一）“三公”经费支出总体情况说明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color w:val="auto"/>
          <w:sz w:val="32"/>
          <w:szCs w:val="32"/>
          <w:highlight w:val="none"/>
        </w:rPr>
      </w:pP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年度“三公”经费支出共计</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0.36</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较年初预算数减少0.44万元，下降55.0%</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snapToGrid w:val="0"/>
          <w:color w:val="auto"/>
          <w:sz w:val="32"/>
          <w:szCs w:val="32"/>
          <w:highlight w:val="none"/>
          <w:shd w:val="clear" w:color="auto" w:fill="FFFFFF"/>
        </w:rPr>
        <w:t>进一步强化公务接待支出管理，严格遵守公务接待有关规定</w:t>
      </w:r>
      <w:r>
        <w:rPr>
          <w:rFonts w:ascii="Times New Roman" w:hAnsi="Times New Roman"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较上年支出数增加0.36万元，增长100.0%</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方正仿宋_GBK"/>
          <w:b w:val="0"/>
          <w:bCs w:val="0"/>
          <w:snapToGrid w:val="0"/>
          <w:color w:val="auto"/>
          <w:sz w:val="32"/>
          <w:szCs w:val="32"/>
          <w:highlight w:val="none"/>
          <w:shd w:val="clear" w:color="auto" w:fill="FFFFFF"/>
          <w:lang w:eastAsia="zh-CN"/>
        </w:rPr>
        <w:t>根据工作需要产生公务接待</w:t>
      </w:r>
      <w:r>
        <w:rPr>
          <w:rFonts w:ascii="Times New Roman" w:hAnsi="Times New Roman" w:eastAsia="方正仿宋_GBK" w:cs="方正仿宋_GBK"/>
          <w:b w:val="0"/>
          <w:bCs w:val="0"/>
          <w:color w:val="auto"/>
          <w:sz w:val="32"/>
          <w:szCs w:val="32"/>
          <w:highlight w:val="none"/>
          <w:shd w:val="clear" w:color="auto" w:fill="FFFFFF"/>
        </w:rPr>
        <w:t>。</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ascii="Times New Roman" w:hAnsi="Times New Roman" w:eastAsia="方正仿宋_GBK" w:cs="方正仿宋_GBK"/>
          <w:b w:val="0"/>
          <w:bCs w:val="0"/>
          <w:color w:val="auto"/>
          <w:sz w:val="32"/>
          <w:szCs w:val="32"/>
          <w:highlight w:val="yellow"/>
          <w:shd w:val="clear" w:color="auto" w:fill="FFFFFF"/>
        </w:rPr>
      </w:pPr>
      <w:r>
        <w:rPr>
          <w:rFonts w:hint="eastAsia"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t>（二）“三公”经费分项支出情况</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本单位2024年度</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未发生</w:t>
      </w: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因公出国（境）费用</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，与上年决算数持平</w:t>
      </w: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本单位2024年度</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未发生</w:t>
      </w: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公务用车购置费</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，与上年决算数持平</w:t>
      </w: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本单位2024年度</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未发生</w:t>
      </w: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公务用车运行维护费</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，与上年决算数持平</w:t>
      </w:r>
      <w:r>
        <w:rPr>
          <w:rFonts w:hint="default"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color w:val="000000" w:themeColor="text1"/>
          <w:sz w:val="32"/>
          <w:szCs w:val="32"/>
          <w:highlight w:val="none"/>
          <w14:textFill>
            <w14:solidFill>
              <w14:schemeClr w14:val="tx1"/>
            </w14:solidFill>
          </w14:textFill>
        </w:rPr>
      </w:pP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公务接待费</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0.36</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万元，主要用于接待</w:t>
      </w:r>
      <w:r>
        <w:rPr>
          <w:rFonts w:hint="eastAsia"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市级各部门及市内</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外</w:t>
      </w:r>
      <w:r>
        <w:rPr>
          <w:rFonts w:hint="eastAsia"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其他区县到本单位调研学习</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。费用支出</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较年初预算数减少0.44万元，下降55.0%</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进一步强化公务接待支出管理，严格遵守公务接待有关规定</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较上年支出数增加0.36万元，增长100.0%</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据工作需要，接待其他区县到我县交流调研</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val="en-US" w:eastAsia="zh-CN"/>
          <w14:textFill>
            <w14:solidFill>
              <w14:schemeClr w14:val="tx1"/>
            </w14:solidFill>
          </w14:textFill>
        </w:rPr>
        <w:t>2次</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t>（三）“三公”经费实物量情况</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color w:val="000000" w:themeColor="text1"/>
          <w:sz w:val="32"/>
          <w:szCs w:val="32"/>
          <w:highlight w:val="none"/>
          <w14:textFill>
            <w14:solidFill>
              <w14:schemeClr w14:val="tx1"/>
            </w14:solidFill>
          </w14:textFill>
        </w:rPr>
      </w:pP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年度本</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单位</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因公出国（境）共计</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个团组，</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人；公务用车购置</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辆，公务车保有量为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辆；国内公务接待</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人，其中：国内外事接待</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人；国（境）外公务接待</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2024</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年本</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单位</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人均接待费</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180.00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元，车均购置费</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万元，车均维护费</w:t>
      </w:r>
      <w:r>
        <w:rPr>
          <w:rFonts w:hint="default" w:ascii="Times New Roman" w:hAnsi="Times New Roman" w:eastAsia="方正仿宋_GBK"/>
          <w:color w:val="000000" w:themeColor="text1"/>
          <w:sz w:val="32"/>
          <w:szCs w:val="32"/>
          <w:highlight w:val="none"/>
          <w:shd w:val="clear" w:color="auto" w:fill="FFFFFF"/>
          <w14:textFill>
            <w14:solidFill>
              <w14:schemeClr w14:val="tx1"/>
            </w14:solidFill>
          </w14:textFill>
        </w:rPr>
        <w:t>0</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万元。</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0" w:lineRule="exact"/>
        <w:ind w:firstLine="640" w:firstLineChars="200"/>
        <w:textAlignment w:val="auto"/>
        <w:rPr>
          <w:rStyle w:val="16"/>
          <w:rFonts w:hint="default" w:ascii="Times New Roman" w:hAnsi="Times New Roman" w:eastAsia="方正黑体_GBK" w:cs="方正黑体_GBK"/>
          <w:b w:val="0"/>
          <w:bCs w:val="0"/>
          <w:sz w:val="32"/>
          <w:szCs w:val="32"/>
          <w:shd w:val="clear" w:fill="FFFFFF"/>
          <w:lang w:val="en-US" w:eastAsia="zh-CN" w:bidi="ar-SA"/>
        </w:rPr>
      </w:pPr>
      <w:r>
        <w:rPr>
          <w:rStyle w:val="16"/>
          <w:rFonts w:hint="eastAsia" w:ascii="Times New Roman" w:hAnsi="Times New Roman" w:eastAsia="方正黑体_GBK" w:cs="方正黑体_GBK"/>
          <w:b w:val="0"/>
          <w:bCs w:val="0"/>
          <w:sz w:val="32"/>
          <w:szCs w:val="32"/>
          <w:shd w:val="clear" w:fill="FFFFFF"/>
          <w:lang w:val="en-US" w:eastAsia="zh-CN" w:bidi="ar-SA"/>
        </w:rPr>
        <w:t>四、其他需要说明的事项</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方正楷体_GBK" w:cs="方正楷体_GBK"/>
          <w:b w:val="0"/>
          <w:bCs w:val="0"/>
          <w:snapToGrid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楷体_GBK" w:cs="方正楷体_GBK"/>
          <w:b w:val="0"/>
          <w:bCs w:val="0"/>
          <w:snapToGrid w:val="0"/>
          <w:color w:val="000000" w:themeColor="text1"/>
          <w:sz w:val="32"/>
          <w:szCs w:val="32"/>
          <w:highlight w:val="none"/>
          <w:shd w:val="clear" w:color="auto" w:fill="FFFFFF"/>
          <w14:textFill>
            <w14:solidFill>
              <w14:schemeClr w14:val="tx1"/>
            </w14:solidFill>
          </w14:textFill>
        </w:rPr>
        <w:t>（一）财政拨款会议费、培训费和差旅费情况说明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因本单位核心工作聚焦于调研，无相关会议承办需求，本年度</w:t>
      </w:r>
      <w:r>
        <w:rPr>
          <w:rFonts w:hint="eastAsia" w:ascii="方正仿宋_GBK" w:hAnsi="方正仿宋_GBK"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未使用财政资金保障会议费</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14:textFill>
            <w14:solidFill>
              <w14:schemeClr w14:val="tx1"/>
            </w14:solidFill>
          </w14:textFill>
        </w:rPr>
        <w:t>。</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本年度培训费支出</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0.56</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万元，</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与2023年度相比，增加0.53万元，增长1766.7%</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，主要原因</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一是</w:t>
      </w:r>
      <w:r>
        <w:rPr>
          <w:rFonts w:hint="eastAsia" w:ascii="Times New Roman" w:hAnsi="Times New Roman" w:eastAsia="方正仿宋_GBK" w:cs="方正仿宋_GBK"/>
          <w:b w:val="0"/>
          <w:bCs w:val="0"/>
          <w:snapToGrid w:val="0"/>
          <w:color w:val="000000" w:themeColor="text1"/>
          <w:sz w:val="32"/>
          <w:szCs w:val="32"/>
          <w:highlight w:val="none"/>
          <w:shd w:val="clear" w:color="auto" w:fill="FFFFFF"/>
          <w:lang w:eastAsia="zh-CN"/>
          <w14:textFill>
            <w14:solidFill>
              <w14:schemeClr w14:val="tx1"/>
            </w14:solidFill>
          </w14:textFill>
        </w:rPr>
        <w:t>人员增加，二是本年度管理岗与专技岗都需要进行继续教育培训</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。本年度差旅费支出</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4.77</w:t>
      </w:r>
      <w:r>
        <w:rPr>
          <w:rFonts w:ascii="Times New Roman" w:hAnsi="Times New Roman" w:eastAsia="方正仿宋_GBK" w:cs="方正仿宋_GBK"/>
          <w:b w:val="0"/>
          <w:bCs w:val="0"/>
          <w:color w:val="000000" w:themeColor="text1"/>
          <w:sz w:val="32"/>
          <w:szCs w:val="32"/>
          <w:highlight w:val="none"/>
          <w14:textFill>
            <w14:solidFill>
              <w14:schemeClr w14:val="tx1"/>
            </w14:solidFill>
          </w14:textFill>
        </w:rPr>
        <w:t>万元，</w:t>
      </w:r>
      <w:r>
        <w:rPr>
          <w:rFonts w:hint="default" w:ascii="Times New Roman" w:hAnsi="Times New Roman" w:eastAsia="方正仿宋_GBK"/>
          <w:b w:val="0"/>
          <w:bCs w:val="0"/>
          <w:color w:val="000000" w:themeColor="text1"/>
          <w:sz w:val="32"/>
          <w:szCs w:val="32"/>
          <w:highlight w:val="none"/>
          <w:shd w:val="clear" w:color="auto" w:fill="FFFFFF"/>
          <w14:textFill>
            <w14:solidFill>
              <w14:schemeClr w14:val="tx1"/>
            </w14:solidFill>
          </w14:textFill>
        </w:rPr>
        <w:t>与2023年度相比，减少0.62万元，下降11.5%</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，主要原因是</w:t>
      </w:r>
      <w:r>
        <w:rPr>
          <w:rFonts w:hint="eastAsia"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严控出差频次，减少</w:t>
      </w:r>
      <w:r>
        <w:rPr>
          <w:rFonts w:hint="eastAsia" w:ascii="Times New Roman" w:hAnsi="Times New Roman" w:eastAsia="方正仿宋_GBK" w:cs="方正仿宋_GBK"/>
          <w:b w:val="0"/>
          <w:bCs w:val="0"/>
          <w:color w:val="000000" w:themeColor="text1"/>
          <w:sz w:val="32"/>
          <w:szCs w:val="32"/>
          <w:highlight w:val="none"/>
          <w:shd w:val="clear" w:color="auto" w:fill="FFFFFF"/>
          <w:lang w:eastAsia="zh-CN"/>
          <w14:textFill>
            <w14:solidFill>
              <w14:schemeClr w14:val="tx1"/>
            </w14:solidFill>
          </w14:textFill>
        </w:rPr>
        <w:t>差旅</w:t>
      </w:r>
      <w:r>
        <w:rPr>
          <w:rFonts w:hint="eastAsia"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支出</w:t>
      </w:r>
      <w:r>
        <w:rPr>
          <w:rFonts w:ascii="Times New Roman" w:hAnsi="Times New Roman" w:eastAsia="方正仿宋_GBK" w:cs="方正仿宋_GBK"/>
          <w:b w:val="0"/>
          <w:bCs w:val="0"/>
          <w:color w:val="000000" w:themeColor="text1"/>
          <w:sz w:val="32"/>
          <w:szCs w:val="32"/>
          <w:highlight w:val="none"/>
          <w:shd w:val="clear" w:color="auto" w:fill="FFFFFF"/>
          <w14:textFill>
            <w14:solidFill>
              <w14:schemeClr w14:val="tx1"/>
            </w14:solidFill>
          </w14:textFill>
        </w:rPr>
        <w:t>。</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t>（二）机关运行经费情况说明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方正仿宋_GBK"/>
          <w:b w:val="0"/>
          <w:bCs w:val="0"/>
          <w:color w:val="000000" w:themeColor="text1"/>
          <w:sz w:val="32"/>
          <w:szCs w:val="32"/>
          <w:highlight w:val="none"/>
          <w14:textFill>
            <w14:solidFill>
              <w14:schemeClr w14:val="tx1"/>
            </w14:solidFill>
          </w14:textFill>
        </w:rPr>
        <w:t>按照部门决算列报口径，我</w:t>
      </w:r>
      <w:r>
        <w:rPr>
          <w:rFonts w:hint="eastAsia" w:ascii="Times New Roman" w:hAnsi="Times New Roman" w:eastAsia="方正仿宋_GBK" w:cs="方正仿宋_GBK"/>
          <w:b w:val="0"/>
          <w:bCs w:val="0"/>
          <w:color w:val="000000" w:themeColor="text1"/>
          <w:sz w:val="32"/>
          <w:szCs w:val="32"/>
          <w:highlight w:val="none"/>
          <w:lang w:eastAsia="zh-CN"/>
          <w14:textFill>
            <w14:solidFill>
              <w14:schemeClr w14:val="tx1"/>
            </w14:solidFill>
          </w14:textFill>
        </w:rPr>
        <w:t>单位</w:t>
      </w:r>
      <w:r>
        <w:rPr>
          <w:rFonts w:hint="default" w:ascii="Times New Roman" w:hAnsi="Times New Roman" w:eastAsia="方正仿宋_GBK" w:cs="方正仿宋_GBK"/>
          <w:b w:val="0"/>
          <w:bCs w:val="0"/>
          <w:color w:val="000000" w:themeColor="text1"/>
          <w:sz w:val="32"/>
          <w:szCs w:val="32"/>
          <w:highlight w:val="none"/>
          <w14:textFill>
            <w14:solidFill>
              <w14:schemeClr w14:val="tx1"/>
            </w14:solidFill>
          </w14:textFill>
        </w:rPr>
        <w:t>不在机关运行经费统计范围之内。</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t>（三）国有资产占用情况说明</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eastAsia"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highlight w:val="none"/>
          <w14:textFill>
            <w14:solidFill>
              <w14:schemeClr w14:val="tx1"/>
            </w14:solidFill>
          </w14:textFill>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 w:cs="楷体"/>
          <w:b w:val="0"/>
          <w:bCs w:val="0"/>
          <w:color w:val="000000" w:themeColor="text1"/>
          <w:sz w:val="32"/>
          <w:szCs w:val="32"/>
          <w:highlight w:val="none"/>
          <w:shd w:val="clear" w:color="auto" w:fill="FFFFFF"/>
          <w14:textFill>
            <w14:solidFill>
              <w14:schemeClr w14:val="tx1"/>
            </w14:solidFill>
          </w14:textFill>
        </w:rPr>
        <w:t>（四）政府采购支出情况说明</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570" w:lineRule="exact"/>
        <w:ind w:firstLine="640" w:firstLineChars="200"/>
        <w:textAlignment w:val="auto"/>
        <w:rPr>
          <w:rFonts w:hint="default" w:ascii="Times New Roman" w:hAnsi="Times New Roman" w:eastAsia="方正仿宋_GBK" w:cs="方正仿宋_GBK"/>
          <w:b w:val="0"/>
          <w:bCs w:val="0"/>
          <w:color w:val="000000" w:themeColor="text1"/>
          <w:sz w:val="32"/>
          <w:szCs w:val="32"/>
          <w:highlight w:val="no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highlight w:val="none"/>
          <w:lang w:val="en-US" w:eastAsia="zh-CN" w:bidi="ar-SA"/>
          <w14:textFill>
            <w14:solidFill>
              <w14:schemeClr w14:val="tx1"/>
            </w14:solidFill>
          </w14:textFill>
        </w:rPr>
        <w:t>2024年度本单位政府采购支出总额1.08万元，其中：政府采购货物支出1.08万元、政府采购工程支出0.00万元、政府采购服务支出0.00万元。授予中小企业合同金额0.00万元，占政府采购支出总额的0.0%，其中：授予小微企业合同金额0.00万元，占政府采购支出总额的0.0%。</w:t>
      </w:r>
    </w:p>
    <w:p>
      <w:pPr>
        <w:pStyle w:val="15"/>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70" w:lineRule="exact"/>
        <w:ind w:firstLine="640" w:firstLineChars="200"/>
        <w:textAlignment w:val="auto"/>
        <w:rPr>
          <w:rStyle w:val="16"/>
          <w:rFonts w:hint="eastAsia" w:ascii="Times New Roman" w:hAnsi="Times New Roman" w:eastAsia="方正黑体_GBK" w:cs="方正黑体_GBK"/>
          <w:b w:val="0"/>
          <w:bCs w:val="0"/>
          <w:sz w:val="32"/>
          <w:szCs w:val="32"/>
          <w:shd w:val="clear" w:fill="FFFFFF"/>
          <w:lang w:val="en-US" w:eastAsia="zh-CN"/>
        </w:rPr>
      </w:pPr>
      <w:r>
        <w:rPr>
          <w:rStyle w:val="16"/>
          <w:rFonts w:hint="eastAsia" w:ascii="Times New Roman" w:hAnsi="Times New Roman" w:eastAsia="方正黑体_GBK" w:cs="方正黑体_GBK"/>
          <w:b w:val="0"/>
          <w:bCs w:val="0"/>
          <w:sz w:val="32"/>
          <w:szCs w:val="32"/>
          <w:shd w:val="clear" w:fill="FFFFFF"/>
          <w:lang w:val="en-US" w:eastAsia="zh-CN"/>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firstLine="640" w:firstLineChars="200"/>
        <w:jc w:val="left"/>
        <w:textAlignment w:val="auto"/>
        <w:rPr>
          <w:rFonts w:hint="eastAsia" w:ascii="Times New Roman" w:hAnsi="Times New Roman" w:eastAsia="楷体" w:cs="楷体"/>
          <w:b w:val="0"/>
          <w:bCs w:val="0"/>
          <w:kern w:val="0"/>
          <w:sz w:val="32"/>
          <w:szCs w:val="32"/>
          <w:shd w:val="clear" w:fill="FFFFFF"/>
        </w:rPr>
      </w:pPr>
      <w:r>
        <w:rPr>
          <w:rFonts w:hint="eastAsia" w:ascii="Times New Roman" w:hAnsi="Times New Roman" w:eastAsia="楷体" w:cs="楷体"/>
          <w:b w:val="0"/>
          <w:bCs w:val="0"/>
          <w:kern w:val="0"/>
          <w:sz w:val="32"/>
          <w:szCs w:val="32"/>
          <w:shd w:val="clear" w:fill="FFFFFF"/>
        </w:rPr>
        <w:t>（一）单位自评情况</w:t>
      </w:r>
    </w:p>
    <w:p>
      <w:pPr>
        <w:pStyle w:val="15"/>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shd w:val="clear" w:fill="FFFFFF"/>
          <w:lang w:eastAsia="zh-CN"/>
        </w:rPr>
      </w:pPr>
      <w:r>
        <w:rPr>
          <w:rFonts w:hint="eastAsia" w:ascii="Times New Roman" w:hAnsi="Times New Roman" w:eastAsia="方正仿宋_GBK" w:cs="方正仿宋_GBK"/>
          <w:kern w:val="0"/>
          <w:sz w:val="32"/>
          <w:szCs w:val="32"/>
          <w:shd w:val="clear" w:fill="FFFFFF"/>
        </w:rPr>
        <w:t>根据预算绩效管理要求，我</w:t>
      </w:r>
      <w:r>
        <w:rPr>
          <w:rFonts w:hint="eastAsia" w:ascii="Times New Roman" w:hAnsi="Times New Roman" w:eastAsia="方正仿宋_GBK" w:cs="方正仿宋_GBK"/>
          <w:kern w:val="0"/>
          <w:sz w:val="32"/>
          <w:szCs w:val="32"/>
          <w:shd w:val="clear" w:fill="FFFFFF"/>
          <w:lang w:eastAsia="zh-CN"/>
        </w:rPr>
        <w:t>单位</w:t>
      </w:r>
      <w:r>
        <w:rPr>
          <w:rFonts w:hint="eastAsia" w:ascii="Times New Roman" w:hAnsi="Times New Roman" w:eastAsia="方正仿宋_GBK" w:cs="方正仿宋_GBK"/>
          <w:kern w:val="0"/>
          <w:sz w:val="32"/>
          <w:szCs w:val="32"/>
          <w:shd w:val="clear" w:fill="FFFFFF"/>
        </w:rPr>
        <w:t>对</w:t>
      </w:r>
      <w:r>
        <w:rPr>
          <w:rFonts w:hint="eastAsia" w:ascii="Times New Roman" w:hAnsi="Times New Roman" w:eastAsia="方正仿宋_GBK" w:cs="方正仿宋_GBK"/>
          <w:kern w:val="0"/>
          <w:sz w:val="32"/>
          <w:szCs w:val="32"/>
          <w:shd w:val="clear" w:fill="FFFFFF"/>
          <w:lang w:eastAsia="zh-CN"/>
        </w:rPr>
        <w:t>单位</w:t>
      </w:r>
      <w:r>
        <w:rPr>
          <w:rFonts w:hint="eastAsia" w:ascii="Times New Roman" w:hAnsi="Times New Roman" w:eastAsia="方正仿宋_GBK" w:cs="方正仿宋_GBK"/>
          <w:kern w:val="0"/>
          <w:sz w:val="32"/>
          <w:szCs w:val="32"/>
          <w:shd w:val="clear" w:fill="FFFFFF"/>
          <w:lang w:val="en-US" w:eastAsia="zh-CN"/>
        </w:rPr>
        <w:t>3</w:t>
      </w:r>
      <w:r>
        <w:rPr>
          <w:rFonts w:hint="eastAsia" w:ascii="Times New Roman" w:hAnsi="Times New Roman" w:eastAsia="方正仿宋_GBK" w:cs="方正仿宋_GBK"/>
          <w:kern w:val="0"/>
          <w:sz w:val="32"/>
          <w:szCs w:val="32"/>
          <w:shd w:val="clear" w:fill="FFFFFF"/>
        </w:rPr>
        <w:t>个项目开展了绩效自评，涉及财政拨款项目支出资金</w:t>
      </w:r>
      <w:r>
        <w:rPr>
          <w:rFonts w:hint="eastAsia" w:ascii="Times New Roman" w:hAnsi="Times New Roman" w:eastAsia="方正仿宋_GBK" w:cs="方正仿宋_GBK"/>
          <w:kern w:val="0"/>
          <w:sz w:val="32"/>
          <w:szCs w:val="32"/>
          <w:shd w:val="clear" w:fill="FFFFFF"/>
          <w:lang w:val="en-US" w:eastAsia="zh-CN"/>
        </w:rPr>
        <w:t>19.02</w:t>
      </w:r>
      <w:r>
        <w:rPr>
          <w:rFonts w:hint="eastAsia" w:ascii="Times New Roman" w:hAnsi="Times New Roman" w:eastAsia="方正仿宋_GBK" w:cs="方正仿宋_GBK"/>
          <w:kern w:val="0"/>
          <w:sz w:val="32"/>
          <w:szCs w:val="32"/>
          <w:shd w:val="clear" w:fill="FFFFFF"/>
        </w:rPr>
        <w:t>万元</w:t>
      </w:r>
      <w:r>
        <w:rPr>
          <w:rFonts w:hint="eastAsia" w:ascii="Times New Roman" w:hAnsi="Times New Roman" w:eastAsia="方正仿宋_GBK" w:cs="方正仿宋_GBK"/>
          <w:kern w:val="0"/>
          <w:sz w:val="32"/>
          <w:szCs w:val="32"/>
          <w:shd w:val="clear" w:fill="FFFFFF"/>
          <w:lang w:eastAsia="zh-CN"/>
        </w:rPr>
        <w:t>。</w:t>
      </w:r>
      <w:r>
        <w:rPr>
          <w:rFonts w:hint="eastAsia" w:ascii="Times New Roman" w:hAnsi="Times New Roman" w:eastAsia="方正仿宋_GBK" w:cs="方正仿宋_GBK"/>
          <w:b w:val="0"/>
          <w:bCs w:val="0"/>
          <w:snapToGrid w:val="0"/>
          <w:color w:val="auto"/>
          <w:sz w:val="32"/>
          <w:szCs w:val="32"/>
          <w:highlight w:val="none"/>
          <w:shd w:val="clear" w:color="auto" w:fill="FFFFFF"/>
        </w:rPr>
        <w:t>从评价情况来看，项目整体执行规范，资金使用合规，有效支撑了核心业务开展</w:t>
      </w:r>
      <w:r>
        <w:rPr>
          <w:rFonts w:hint="eastAsia" w:ascii="Times New Roman" w:hAnsi="Times New Roman" w:eastAsia="方正仿宋_GBK" w:cs="方正仿宋_GBK"/>
          <w:b w:val="0"/>
          <w:bCs w:val="0"/>
          <w:snapToGrid w:val="0"/>
          <w:color w:val="auto"/>
          <w:sz w:val="32"/>
          <w:szCs w:val="32"/>
          <w:highlight w:val="none"/>
          <w:shd w:val="clear" w:color="auto" w:fill="FFFFFF"/>
          <w:lang w:eastAsia="zh-CN"/>
        </w:rPr>
        <w:t>。</w:t>
      </w:r>
      <w:bookmarkStart w:id="0" w:name="_GoBack"/>
      <w:bookmarkEnd w:id="0"/>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firstLine="640" w:firstLineChars="200"/>
        <w:jc w:val="left"/>
        <w:textAlignment w:val="auto"/>
        <w:rPr>
          <w:rFonts w:hint="eastAsia" w:ascii="Times New Roman" w:hAnsi="Times New Roman" w:eastAsia="楷体" w:cs="楷体"/>
          <w:b w:val="0"/>
          <w:bCs w:val="0"/>
          <w:kern w:val="0"/>
          <w:sz w:val="32"/>
          <w:szCs w:val="32"/>
          <w:shd w:val="clear" w:fill="FFFFFF"/>
        </w:rPr>
      </w:pPr>
      <w:r>
        <w:rPr>
          <w:rFonts w:hint="eastAsia" w:ascii="Times New Roman" w:hAnsi="Times New Roman" w:eastAsia="楷体" w:cs="楷体"/>
          <w:b w:val="0"/>
          <w:bCs w:val="0"/>
          <w:kern w:val="0"/>
          <w:sz w:val="32"/>
          <w:szCs w:val="32"/>
          <w:shd w:val="clear" w:fill="FFFFFF"/>
        </w:rPr>
        <w:t>（二）</w:t>
      </w:r>
      <w:r>
        <w:rPr>
          <w:rFonts w:hint="eastAsia" w:ascii="Times New Roman" w:hAnsi="Times New Roman" w:eastAsia="楷体" w:cs="楷体"/>
          <w:b w:val="0"/>
          <w:bCs w:val="0"/>
          <w:kern w:val="0"/>
          <w:sz w:val="32"/>
          <w:szCs w:val="32"/>
          <w:shd w:val="clear" w:fill="FFFFFF"/>
          <w:lang w:eastAsia="zh-CN"/>
        </w:rPr>
        <w:t>单位</w:t>
      </w:r>
      <w:r>
        <w:rPr>
          <w:rFonts w:hint="eastAsia" w:ascii="Times New Roman" w:hAnsi="Times New Roman" w:eastAsia="楷体" w:cs="楷体"/>
          <w:b w:val="0"/>
          <w:bCs w:val="0"/>
          <w:kern w:val="0"/>
          <w:sz w:val="32"/>
          <w:szCs w:val="32"/>
          <w:shd w:val="clear" w:fill="FFFFFF"/>
        </w:rPr>
        <w:t>绩效评价情况</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70" w:lineRule="exact"/>
        <w:ind w:firstLine="640" w:firstLineChars="200"/>
        <w:textAlignment w:val="auto"/>
        <w:rPr>
          <w:rFonts w:hint="eastAsia" w:ascii="Times New Roman" w:hAnsi="Times New Roman" w:eastAsia="方正仿宋_GBK" w:cs="方正仿宋_GBK"/>
          <w:b w:val="0"/>
          <w:bCs w:val="0"/>
          <w:snapToGrid w:val="0"/>
          <w:color w:val="auto"/>
          <w:sz w:val="32"/>
          <w:szCs w:val="32"/>
          <w:highlight w:val="none"/>
          <w:shd w:val="clear" w:color="auto" w:fill="FFFFFF"/>
        </w:rPr>
      </w:pPr>
      <w:r>
        <w:rPr>
          <w:rFonts w:hint="eastAsia" w:ascii="Times New Roman" w:hAnsi="Times New Roman" w:eastAsia="方正仿宋_GBK" w:cs="方正仿宋_GBK"/>
          <w:b w:val="0"/>
          <w:bCs w:val="0"/>
          <w:snapToGrid w:val="0"/>
          <w:color w:val="auto"/>
          <w:sz w:val="32"/>
          <w:szCs w:val="32"/>
          <w:highlight w:val="none"/>
          <w:shd w:val="clear" w:color="auto" w:fill="FFFFFF"/>
        </w:rPr>
        <w:t>我单位未组织开展绩效评价。</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0" w:lineRule="exact"/>
        <w:ind w:firstLine="640" w:firstLineChars="200"/>
        <w:jc w:val="left"/>
        <w:textAlignment w:val="auto"/>
        <w:rPr>
          <w:rFonts w:hint="eastAsia" w:ascii="Times New Roman" w:hAnsi="Times New Roman" w:eastAsia="楷体" w:cs="楷体"/>
          <w:b w:val="0"/>
          <w:bCs w:val="0"/>
          <w:kern w:val="0"/>
          <w:sz w:val="32"/>
          <w:szCs w:val="32"/>
          <w:shd w:val="clear" w:fill="FFFFFF"/>
        </w:rPr>
      </w:pPr>
      <w:r>
        <w:rPr>
          <w:rFonts w:hint="eastAsia" w:ascii="Times New Roman" w:hAnsi="Times New Roman" w:eastAsia="楷体" w:cs="楷体"/>
          <w:b w:val="0"/>
          <w:bCs w:val="0"/>
          <w:kern w:val="0"/>
          <w:sz w:val="32"/>
          <w:szCs w:val="32"/>
          <w:shd w:val="clear" w:fill="FFFFFF"/>
          <w:lang w:val="en-US" w:eastAsia="zh-CN"/>
        </w:rPr>
        <w:t>（三）财政绩效评价情况</w:t>
      </w:r>
    </w:p>
    <w:p>
      <w:pPr>
        <w:pStyle w:val="15"/>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napToGrid w:val="0"/>
          <w:color w:val="auto"/>
          <w:sz w:val="32"/>
          <w:szCs w:val="32"/>
          <w:highlight w:val="none"/>
          <w:shd w:val="clear" w:color="auto" w:fill="FFFFFF"/>
        </w:rPr>
      </w:pPr>
      <w:r>
        <w:rPr>
          <w:rFonts w:hint="eastAsia" w:ascii="Times New Roman" w:hAnsi="Times New Roman" w:eastAsia="方正仿宋_GBK" w:cs="方正仿宋_GBK"/>
          <w:b w:val="0"/>
          <w:bCs w:val="0"/>
          <w:snapToGrid w:val="0"/>
          <w:color w:val="auto"/>
          <w:sz w:val="32"/>
          <w:szCs w:val="32"/>
          <w:highlight w:val="none"/>
          <w:shd w:val="clear" w:color="auto" w:fill="FFFFFF"/>
          <w:lang w:val="en-US" w:eastAsia="zh-CN"/>
        </w:rPr>
        <w:t>县</w:t>
      </w:r>
      <w:r>
        <w:rPr>
          <w:rFonts w:hint="eastAsia" w:ascii="Times New Roman" w:hAnsi="Times New Roman" w:eastAsia="方正仿宋_GBK" w:cs="方正仿宋_GBK"/>
          <w:b w:val="0"/>
          <w:bCs w:val="0"/>
          <w:snapToGrid w:val="0"/>
          <w:color w:val="auto"/>
          <w:sz w:val="32"/>
          <w:szCs w:val="32"/>
          <w:highlight w:val="none"/>
          <w:shd w:val="clear" w:color="auto" w:fill="FFFFFF"/>
        </w:rPr>
        <w:t>财政局未委托第三方对我单位开展绩效评价。</w:t>
      </w:r>
    </w:p>
    <w:p>
      <w:pPr>
        <w:pStyle w:val="15"/>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70" w:lineRule="exact"/>
        <w:ind w:firstLine="642" w:firstLineChars="200"/>
        <w:textAlignment w:val="auto"/>
        <w:rPr>
          <w:rFonts w:hint="eastAsia" w:ascii="Times New Roman" w:hAnsi="Times New Roman" w:eastAsia="方正仿宋_GBK" w:cs="方正仿宋_GBK"/>
          <w:kern w:val="0"/>
          <w:sz w:val="32"/>
          <w:szCs w:val="32"/>
        </w:rPr>
      </w:pPr>
      <w:r>
        <w:rPr>
          <w:rStyle w:val="16"/>
          <w:rFonts w:hint="eastAsia" w:ascii="Times New Roman" w:hAnsi="Times New Roman" w:eastAsia="方正仿宋_GBK" w:cs="方正仿宋_GBK"/>
          <w:b/>
          <w:bCs/>
          <w:sz w:val="32"/>
          <w:szCs w:val="32"/>
          <w:shd w:val="clear" w:fill="FFFFFF"/>
        </w:rPr>
        <w:t xml:space="preserve"> </w:t>
      </w:r>
      <w:r>
        <w:rPr>
          <w:rStyle w:val="16"/>
          <w:rFonts w:hint="eastAsia" w:ascii="Times New Roman" w:hAnsi="Times New Roman" w:eastAsia="方正仿宋_GBK" w:cs="方正仿宋_GBK"/>
          <w:b/>
          <w:bCs/>
          <w:sz w:val="32"/>
          <w:szCs w:val="32"/>
          <w:shd w:val="clear" w:fill="FFFFFF"/>
          <w:lang w:val="en-US" w:eastAsia="zh-CN"/>
        </w:rPr>
        <w:t xml:space="preserve"> </w:t>
      </w:r>
      <w:r>
        <w:rPr>
          <w:rStyle w:val="16"/>
          <w:rFonts w:hint="eastAsia" w:ascii="Times New Roman" w:hAnsi="Times New Roman" w:eastAsia="方正黑体_GBK" w:cs="方正黑体_GBK"/>
          <w:b w:val="0"/>
          <w:bCs w:val="0"/>
          <w:sz w:val="32"/>
          <w:szCs w:val="32"/>
          <w:shd w:val="clear" w:fill="FFFFFF"/>
          <w:lang w:val="en-US" w:eastAsia="zh-CN"/>
        </w:rPr>
        <w:t xml:space="preserve"> </w:t>
      </w:r>
      <w:r>
        <w:rPr>
          <w:rStyle w:val="13"/>
          <w:rFonts w:hint="eastAsia" w:ascii="Times New Roman" w:hAnsi="Times New Roman" w:eastAsia="方正黑体_GBK" w:cs="方正黑体_GBK"/>
          <w:b w:val="0"/>
          <w:bCs w:val="0"/>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（一）财政拨款收入：</w:t>
      </w:r>
      <w:r>
        <w:rPr>
          <w:rFonts w:hint="eastAsia" w:ascii="Times New Roman" w:hAnsi="Times New Roman"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（二）事业收入：</w:t>
      </w:r>
      <w:r>
        <w:rPr>
          <w:rFonts w:hint="eastAsia" w:ascii="Times New Roman" w:hAnsi="Times New Roman"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（三）经营收入：</w:t>
      </w:r>
      <w:r>
        <w:rPr>
          <w:rFonts w:hint="eastAsia" w:ascii="Times New Roman" w:hAnsi="Times New Roman"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（四）其他收入：</w:t>
      </w:r>
      <w:r>
        <w:rPr>
          <w:rFonts w:hint="eastAsia" w:ascii="Times New Roman" w:hAnsi="Times New Roman"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（五）使用非财政拨款结余（含专用结余）：</w:t>
      </w:r>
      <w:r>
        <w:rPr>
          <w:rFonts w:hint="eastAsia" w:ascii="Times New Roman" w:hAnsi="Times New Roman"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（六）年初结转和结余：</w:t>
      </w:r>
      <w:r>
        <w:rPr>
          <w:rFonts w:hint="eastAsia" w:ascii="Times New Roman" w:hAnsi="Times New Roman"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（七）结余分配：</w:t>
      </w:r>
      <w:r>
        <w:rPr>
          <w:rFonts w:hint="eastAsia" w:ascii="Times New Roman" w:hAnsi="Times New Roman"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（八）年末结转和结余：</w:t>
      </w:r>
      <w:r>
        <w:rPr>
          <w:rFonts w:hint="eastAsia" w:ascii="Times New Roman" w:hAnsi="Times New Roman"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（九）基本支出：</w:t>
      </w:r>
      <w:r>
        <w:rPr>
          <w:rFonts w:hint="eastAsia" w:ascii="Times New Roman" w:hAnsi="Times New Roman"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（十）项目支出：</w:t>
      </w:r>
      <w:r>
        <w:rPr>
          <w:rFonts w:hint="eastAsia" w:ascii="Times New Roman" w:hAnsi="Times New Roman"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（十一）经营支出：</w:t>
      </w:r>
      <w:r>
        <w:rPr>
          <w:rFonts w:hint="eastAsia" w:ascii="Times New Roman" w:hAnsi="Times New Roman"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（十二）“三公”经费：</w:t>
      </w:r>
      <w:r>
        <w:rPr>
          <w:rFonts w:hint="eastAsia" w:ascii="Times New Roman" w:hAnsi="Times New Roman"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（十三）机关运行经费：</w:t>
      </w:r>
      <w:r>
        <w:rPr>
          <w:rFonts w:hint="eastAsia" w:ascii="Times New Roman" w:hAnsi="Times New Roman"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（十四）工资福利支出（支出经济分类科目类级）：</w:t>
      </w:r>
      <w:r>
        <w:rPr>
          <w:rFonts w:hint="eastAsia" w:ascii="Times New Roman" w:hAnsi="Times New Roman"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（十五）商品和服务支出（支出经济分类科目类级）：</w:t>
      </w:r>
      <w:r>
        <w:rPr>
          <w:rFonts w:hint="eastAsia" w:ascii="Times New Roman" w:hAnsi="Times New Roman"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（十六）对个人和家庭的补助（支出经济分类科目类级）：</w:t>
      </w:r>
      <w:r>
        <w:rPr>
          <w:rFonts w:hint="eastAsia" w:ascii="Times New Roman" w:hAnsi="Times New Roman"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楷体" w:cs="楷体"/>
          <w:b w:val="0"/>
          <w:bCs w:val="0"/>
          <w:kern w:val="0"/>
          <w:sz w:val="32"/>
          <w:szCs w:val="32"/>
          <w:shd w:val="clear" w:fill="FFFFFF"/>
          <w:lang w:val="en-US" w:eastAsia="zh-CN"/>
        </w:rPr>
        <w:t>（十七）其他资本性支出（支出经济分类科目类级）：</w:t>
      </w:r>
      <w:r>
        <w:rPr>
          <w:rFonts w:hint="eastAsia" w:ascii="Times New Roman" w:hAnsi="Times New Roman"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黑体_GBK" w:cs="方正黑体_GBK"/>
          <w:b w:val="0"/>
          <w:bCs/>
          <w:kern w:val="0"/>
          <w:sz w:val="32"/>
          <w:szCs w:val="32"/>
        </w:rPr>
      </w:pPr>
      <w:r>
        <w:rPr>
          <w:rStyle w:val="13"/>
          <w:rFonts w:hint="eastAsia" w:ascii="Times New Roman" w:hAnsi="Times New Roman" w:eastAsia="方正黑体_GBK" w:cs="方正黑体_GBK"/>
          <w:b w:val="0"/>
          <w:bCs/>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shd w:val="clear" w:fill="FFFFFF"/>
        </w:rPr>
        <w:t>本单位决算公开信息反馈和联系方式：</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napToGrid w:val="0"/>
          <w:color w:val="auto"/>
          <w:sz w:val="32"/>
          <w:szCs w:val="32"/>
          <w:highlight w:val="none"/>
          <w:shd w:val="clear" w:color="auto" w:fill="FFFFFF"/>
          <w:lang w:val="en-US" w:eastAsia="zh-CN"/>
        </w:rPr>
      </w:pPr>
      <w:r>
        <w:rPr>
          <w:rFonts w:hint="eastAsia" w:ascii="Times New Roman" w:hAnsi="Times New Roman" w:eastAsia="方正仿宋_GBK" w:cs="方正仿宋_GBK"/>
          <w:b w:val="0"/>
          <w:bCs w:val="0"/>
          <w:snapToGrid w:val="0"/>
          <w:color w:val="auto"/>
          <w:sz w:val="32"/>
          <w:szCs w:val="32"/>
          <w:highlight w:val="none"/>
          <w:shd w:val="clear" w:color="auto" w:fill="FFFFFF"/>
          <w:lang w:eastAsia="zh-CN"/>
        </w:rPr>
        <w:t>文倩</w:t>
      </w:r>
      <w:r>
        <w:rPr>
          <w:rFonts w:hint="eastAsia" w:ascii="Times New Roman" w:hAnsi="Times New Roman" w:eastAsia="方正仿宋_GBK" w:cs="方正仿宋_GBK"/>
          <w:b w:val="0"/>
          <w:bCs w:val="0"/>
          <w:snapToGrid w:val="0"/>
          <w:color w:val="auto"/>
          <w:sz w:val="32"/>
          <w:szCs w:val="32"/>
          <w:highlight w:val="none"/>
          <w:shd w:val="clear" w:color="auto" w:fill="FFFFFF"/>
          <w:lang w:val="en-US" w:eastAsia="zh-CN"/>
        </w:rPr>
        <w:t xml:space="preserve">  70606078</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3"/>
          <w:rFonts w:ascii="Times New Roman" w:hAnsi="Times New Roman" w:eastAsia="方正仿宋_GBK" w:cs="方正仿宋_GBK"/>
          <w:sz w:val="32"/>
          <w:szCs w:val="32"/>
          <w:shd w:val="clear" w:color="auto" w:fill="FFFF00"/>
        </w:rPr>
        <w:sectPr>
          <w:footerReference r:id="rId3" w:type="default"/>
          <w:pgSz w:w="11915" w:h="16840"/>
          <w:pgMar w:top="2098" w:right="1531" w:bottom="1984" w:left="1531" w:header="851" w:footer="992" w:gutter="0"/>
          <w:pgNumType w:fmt="decimal"/>
          <w:cols w:space="720" w:num="1"/>
          <w:docGrid w:type="lines" w:linePitch="312" w:charSpace="0"/>
        </w:sectPr>
      </w:pPr>
    </w:p>
    <w:tbl>
      <w:tblPr>
        <w:tblStyle w:val="10"/>
        <w:tblW w:w="15491" w:type="dxa"/>
        <w:tblInd w:w="-10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1"/>
        <w:gridCol w:w="935"/>
        <w:gridCol w:w="1292"/>
        <w:gridCol w:w="1291"/>
        <w:gridCol w:w="1291"/>
        <w:gridCol w:w="1292"/>
        <w:gridCol w:w="1291"/>
        <w:gridCol w:w="1292"/>
        <w:gridCol w:w="1291"/>
        <w:gridCol w:w="1291"/>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549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微软雅黑" w:cs="微软雅黑"/>
                <w:b/>
                <w:bCs/>
                <w:i w:val="0"/>
                <w:iCs w:val="0"/>
                <w:color w:val="000000"/>
                <w:sz w:val="40"/>
                <w:szCs w:val="40"/>
                <w:u w:val="none"/>
              </w:rPr>
            </w:pPr>
            <w:r>
              <w:rPr>
                <w:rFonts w:hint="default" w:ascii="Times New Roman" w:hAnsi="Times New Roman"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项目名称：</w:t>
            </w: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调查研究经费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项目编码：</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50023022T000000148684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自评总分：</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项目主管部门：</w:t>
            </w: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r>
              <w:rPr>
                <w:rFonts w:hint="eastAsia" w:ascii="Times New Roman" w:hAnsi="Times New Roman" w:eastAsia="方正仿宋_GBK" w:cs="方正仿宋_GBK"/>
                <w:i w:val="0"/>
                <w:iCs w:val="0"/>
                <w:color w:val="000000"/>
                <w:kern w:val="0"/>
                <w:sz w:val="22"/>
                <w:szCs w:val="22"/>
                <w:u w:val="none"/>
                <w:lang w:val="en-US" w:eastAsia="zh-CN" w:bidi="ar"/>
              </w:rPr>
              <w:t>中国共产党丰都县委员会办公室</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财政归口处室：</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方正仿宋_GBK" w:cs="方正仿宋_GBK"/>
                <w:i w:val="0"/>
                <w:iCs w:val="0"/>
                <w:color w:val="000000"/>
                <w:kern w:val="0"/>
                <w:sz w:val="22"/>
                <w:szCs w:val="22"/>
                <w:u w:val="none"/>
                <w:lang w:val="en-US" w:eastAsia="zh-CN" w:bidi="ar"/>
              </w:rPr>
              <w:t>行政政法科</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部门联系人：</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曾惺惺</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联系电话：</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70606037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808080"/>
                <w:sz w:val="28"/>
                <w:szCs w:val="28"/>
                <w:u w:val="none"/>
              </w:rPr>
            </w:pPr>
            <w:r>
              <w:rPr>
                <w:rFonts w:hint="eastAsia" w:ascii="Times New Roman" w:hAnsi="Times New Roman" w:eastAsia="方正仿宋_GBK" w:cs="方正仿宋_GBK"/>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年初预算数</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全年（调整）预算数</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全年执行数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执行率</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执行率权重</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年度总金额</w:t>
            </w:r>
          </w:p>
        </w:tc>
        <w:tc>
          <w:tcPr>
            <w:tcW w:w="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120,000.00 </w:t>
            </w:r>
          </w:p>
        </w:tc>
        <w:tc>
          <w:tcPr>
            <w:tcW w:w="12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119,829.17 </w:t>
            </w:r>
          </w:p>
        </w:tc>
        <w:tc>
          <w:tcPr>
            <w:tcW w:w="12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119,829.17 </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其中：财政拨款</w:t>
            </w:r>
          </w:p>
        </w:tc>
        <w:tc>
          <w:tcPr>
            <w:tcW w:w="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120,000.00 </w:t>
            </w:r>
          </w:p>
        </w:tc>
        <w:tc>
          <w:tcPr>
            <w:tcW w:w="12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119,829.17 </w:t>
            </w:r>
          </w:p>
        </w:tc>
        <w:tc>
          <w:tcPr>
            <w:tcW w:w="12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119,829.17 </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一般公共预算</w:t>
            </w:r>
          </w:p>
        </w:tc>
        <w:tc>
          <w:tcPr>
            <w:tcW w:w="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120,000.00 </w:t>
            </w:r>
          </w:p>
        </w:tc>
        <w:tc>
          <w:tcPr>
            <w:tcW w:w="12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119,829.17 </w:t>
            </w:r>
          </w:p>
        </w:tc>
        <w:tc>
          <w:tcPr>
            <w:tcW w:w="12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119,829.17 </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808080"/>
                <w:sz w:val="28"/>
                <w:szCs w:val="28"/>
                <w:u w:val="none"/>
              </w:rPr>
            </w:pPr>
            <w:r>
              <w:rPr>
                <w:rFonts w:hint="eastAsia" w:ascii="Times New Roman" w:hAnsi="Times New Roman" w:eastAsia="方正仿宋_GBK" w:cs="方正仿宋_GBK"/>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4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年初绩效目标</w:t>
            </w:r>
          </w:p>
        </w:tc>
        <w:tc>
          <w:tcPr>
            <w:tcW w:w="5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全年（调整）绩效目标</w:t>
            </w:r>
          </w:p>
        </w:tc>
        <w:tc>
          <w:tcPr>
            <w:tcW w:w="3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4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全年开展调研</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5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全年开展调研</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3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前往多地开展调查研究，形成高质量调研报告</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方正仿宋_GBK" w:cs="方正仿宋_GBK"/>
                <w:i w:val="0"/>
                <w:iCs w:val="0"/>
                <w:color w:val="000000"/>
                <w:kern w:val="0"/>
                <w:sz w:val="22"/>
                <w:szCs w:val="22"/>
                <w:u w:val="none"/>
                <w:lang w:val="en-US" w:eastAsia="zh-CN" w:bidi="ar"/>
              </w:rPr>
              <w:t>余份，为县委决策提供服务。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54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808080"/>
                <w:sz w:val="28"/>
                <w:szCs w:val="28"/>
                <w:u w:val="none"/>
              </w:rPr>
            </w:pPr>
            <w:r>
              <w:rPr>
                <w:rFonts w:hint="eastAsia" w:ascii="Times New Roman" w:hAnsi="Times New Roman" w:eastAsia="方正仿宋_GBK" w:cs="方正仿宋_GBK"/>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指标名称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计量单位</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指标性质</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指标值</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全年完成值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偏离度（</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方正仿宋_GBK" w:cs="方正仿宋_GBK"/>
                <w:b/>
                <w:bCs/>
                <w:i w:val="0"/>
                <w:iCs w:val="0"/>
                <w:color w:val="000000"/>
                <w:kern w:val="0"/>
                <w:sz w:val="22"/>
                <w:szCs w:val="22"/>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得分系数（</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Times New Roman" w:hAnsi="Times New Roman" w:eastAsia="方正仿宋_GBK" w:cs="方正仿宋_GBK"/>
                <w:b/>
                <w:bCs/>
                <w:i w:val="0"/>
                <w:iCs w:val="0"/>
                <w:color w:val="000000"/>
                <w:kern w:val="0"/>
                <w:sz w:val="22"/>
                <w:szCs w:val="22"/>
                <w:u w:val="none"/>
                <w:lang w:val="en-US" w:eastAsia="zh-CN"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指标权重</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指标得分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是否核心指标</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开展调研</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是</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形成调研报告</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份</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每年控制成本</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万元</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促进社会发展</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定性</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好</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服务对象满意度</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定性</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好</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r>
    </w:tbl>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3"/>
          <w:rFonts w:ascii="Times New Roman" w:hAnsi="Times New Roman" w:eastAsia="方正仿宋_GBK" w:cs="方正仿宋_GBK"/>
          <w:sz w:val="32"/>
          <w:szCs w:val="32"/>
          <w:shd w:val="clear" w:color="auto" w:fill="FFFF00"/>
        </w:rPr>
        <w:sectPr>
          <w:pgSz w:w="16840" w:h="11915" w:orient="landscape"/>
          <w:pgMar w:top="1531" w:right="2098" w:bottom="1531" w:left="1984" w:header="851" w:footer="992" w:gutter="0"/>
          <w:pgNumType w:fmt="decimal"/>
          <w:cols w:space="720" w:num="1"/>
          <w:docGrid w:type="lines" w:linePitch="312" w:charSpace="0"/>
        </w:sectPr>
      </w:pPr>
    </w:p>
    <w:tbl>
      <w:tblPr>
        <w:tblStyle w:val="10"/>
        <w:tblW w:w="15812" w:type="dxa"/>
        <w:tblInd w:w="-1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6"/>
        <w:gridCol w:w="937"/>
        <w:gridCol w:w="1295"/>
        <w:gridCol w:w="1295"/>
        <w:gridCol w:w="1295"/>
        <w:gridCol w:w="1295"/>
        <w:gridCol w:w="1295"/>
        <w:gridCol w:w="1295"/>
        <w:gridCol w:w="1295"/>
        <w:gridCol w:w="1295"/>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158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40"/>
                <w:szCs w:val="40"/>
                <w:u w:val="none"/>
                <w:lang w:val="en-US" w:eastAsia="zh-CN" w:bidi="ar"/>
              </w:rPr>
              <w:t>2024</w:t>
            </w:r>
            <w:r>
              <w:rPr>
                <w:rStyle w:val="25"/>
                <w:rFonts w:hint="eastAsia" w:ascii="Times New Roman" w:hAnsi="Times New Roman"/>
                <w:lang w:val="en-US" w:eastAsia="zh-CN" w:bidi="ar"/>
              </w:rPr>
              <w:t>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项目名称：</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县发展研究中心创新人才安家费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项目编码：</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50023025T000004657522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自评总分：</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项目主管部门：</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r>
              <w:rPr>
                <w:rFonts w:hint="eastAsia" w:ascii="Times New Roman" w:hAnsi="Times New Roman" w:eastAsia="方正仿宋_GBK" w:cs="方正仿宋_GBK"/>
                <w:i w:val="0"/>
                <w:iCs w:val="0"/>
                <w:color w:val="000000"/>
                <w:kern w:val="0"/>
                <w:sz w:val="22"/>
                <w:szCs w:val="22"/>
                <w:u w:val="none"/>
                <w:lang w:val="en-US" w:eastAsia="zh-CN" w:bidi="ar"/>
              </w:rPr>
              <w:t>中国共产党丰都县委员会办公室</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财政归口处室：</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方正仿宋_GBK" w:cs="方正仿宋_GBK"/>
                <w:i w:val="0"/>
                <w:iCs w:val="0"/>
                <w:color w:val="000000"/>
                <w:kern w:val="0"/>
                <w:sz w:val="22"/>
                <w:szCs w:val="22"/>
                <w:u w:val="none"/>
                <w:lang w:val="en-US" w:eastAsia="zh-CN" w:bidi="ar"/>
              </w:rPr>
              <w:t>行政政法科</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部门联系人：</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曾惺惺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联系电话：</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70606037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58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808080"/>
                <w:sz w:val="28"/>
                <w:szCs w:val="28"/>
                <w:u w:val="none"/>
              </w:rPr>
            </w:pPr>
            <w:r>
              <w:rPr>
                <w:rStyle w:val="27"/>
                <w:rFonts w:ascii="Times New Roman" w:hAnsi="Times New Roman"/>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年初预算数</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全年（调整）预算数</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全年执行数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执行率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执行率权重</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年度总金额</w:t>
            </w:r>
          </w:p>
        </w:tc>
        <w:tc>
          <w:tcPr>
            <w:tcW w:w="9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13,400.00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13,400.00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其中：财政拨款</w:t>
            </w:r>
          </w:p>
        </w:tc>
        <w:tc>
          <w:tcPr>
            <w:tcW w:w="9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13,400.00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13,400.00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一般公共预算</w:t>
            </w:r>
          </w:p>
        </w:tc>
        <w:tc>
          <w:tcPr>
            <w:tcW w:w="9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13,400.00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13,400.00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58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808080"/>
                <w:sz w:val="28"/>
                <w:szCs w:val="28"/>
                <w:u w:val="none"/>
              </w:rPr>
            </w:pPr>
            <w:r>
              <w:rPr>
                <w:rStyle w:val="27"/>
                <w:rFonts w:ascii="Times New Roman" w:hAnsi="Times New Roman"/>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年初绩效目标</w:t>
            </w:r>
          </w:p>
        </w:tc>
        <w:tc>
          <w:tcPr>
            <w:tcW w:w="5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全年（调整）绩效目标</w:t>
            </w:r>
          </w:p>
        </w:tc>
        <w:tc>
          <w:tcPr>
            <w:tcW w:w="3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支付单位创新人才安家费用。</w:t>
            </w:r>
          </w:p>
        </w:tc>
        <w:tc>
          <w:tcPr>
            <w:tcW w:w="5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支付单位创新人才安家费用。</w:t>
            </w:r>
          </w:p>
        </w:tc>
        <w:tc>
          <w:tcPr>
            <w:tcW w:w="3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引进创新人才，合理保障了创新人才的福利。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58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808080"/>
                <w:sz w:val="28"/>
                <w:szCs w:val="28"/>
                <w:u w:val="none"/>
              </w:rPr>
            </w:pPr>
            <w:r>
              <w:rPr>
                <w:rStyle w:val="27"/>
                <w:rFonts w:ascii="Times New Roman" w:hAnsi="Times New Roman"/>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指标名称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计量单位</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指标性质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指标值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全年完成值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偏离度（</w:t>
            </w:r>
            <w:r>
              <w:rPr>
                <w:rStyle w:val="28"/>
                <w:rFonts w:ascii="Times New Roman" w:hAnsi="Times New Roman" w:eastAsia="宋体"/>
                <w:lang w:val="en-US" w:eastAsia="zh-CN" w:bidi="ar"/>
              </w:rPr>
              <w:t>%</w:t>
            </w:r>
            <w:r>
              <w:rPr>
                <w:rStyle w:val="26"/>
                <w:rFonts w:ascii="Times New Roman" w:hAnsi="Times New Roman"/>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得分系数（</w:t>
            </w:r>
            <w:r>
              <w:rPr>
                <w:rStyle w:val="28"/>
                <w:rFonts w:ascii="Times New Roman" w:hAnsi="Times New Roman" w:eastAsia="宋体"/>
                <w:lang w:val="en-US" w:eastAsia="zh-CN" w:bidi="ar"/>
              </w:rPr>
              <w:t>%</w:t>
            </w:r>
            <w:r>
              <w:rPr>
                <w:rStyle w:val="26"/>
                <w:rFonts w:ascii="Times New Roman" w:hAnsi="Times New Roman"/>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指标权重</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指标得分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是否核心指标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6"/>
                <w:rFonts w:ascii="Times New Roman" w:hAnsi="Times New Roman"/>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创新人才引进</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是</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是否有利于创新人才引进</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定性</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是</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是否有利于可持续引进创新人才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定性</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是</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bl>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3"/>
          <w:rFonts w:ascii="Times New Roman" w:hAnsi="Times New Roman" w:eastAsia="方正仿宋_GBK" w:cs="方正仿宋_GBK"/>
          <w:sz w:val="32"/>
          <w:szCs w:val="32"/>
          <w:shd w:val="clear" w:color="auto" w:fill="FFFF00"/>
        </w:rPr>
        <w:sectPr>
          <w:pgSz w:w="16840" w:h="11915" w:orient="landscape"/>
          <w:pgMar w:top="1531" w:right="2098" w:bottom="1531" w:left="1984" w:header="851" w:footer="992" w:gutter="0"/>
          <w:pgNumType w:fmt="decimal"/>
          <w:cols w:space="720" w:num="1"/>
          <w:docGrid w:type="lines" w:linePitch="312" w:charSpace="0"/>
        </w:sectPr>
      </w:pPr>
    </w:p>
    <w:tbl>
      <w:tblPr>
        <w:tblStyle w:val="10"/>
        <w:tblW w:w="15550" w:type="dxa"/>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4"/>
        <w:gridCol w:w="937"/>
        <w:gridCol w:w="1295"/>
        <w:gridCol w:w="1295"/>
        <w:gridCol w:w="1295"/>
        <w:gridCol w:w="1295"/>
        <w:gridCol w:w="1295"/>
        <w:gridCol w:w="1295"/>
        <w:gridCol w:w="1295"/>
        <w:gridCol w:w="1295"/>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5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微软雅黑" w:cs="微软雅黑"/>
                <w:b/>
                <w:bCs/>
                <w:i w:val="0"/>
                <w:iCs w:val="0"/>
                <w:color w:val="000000"/>
                <w:sz w:val="40"/>
                <w:szCs w:val="40"/>
                <w:u w:val="none"/>
              </w:rPr>
            </w:pPr>
            <w:r>
              <w:rPr>
                <w:rFonts w:hint="default" w:ascii="Times New Roman" w:hAnsi="Times New Roman"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项目名称：</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咨询经费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项目编码：</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50023022T000000148685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自评总分：</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项目主管部门：</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r>
              <w:rPr>
                <w:rFonts w:hint="eastAsia" w:ascii="Times New Roman" w:hAnsi="Times New Roman" w:eastAsia="方正仿宋_GBK" w:cs="方正仿宋_GBK"/>
                <w:i w:val="0"/>
                <w:iCs w:val="0"/>
                <w:color w:val="000000"/>
                <w:kern w:val="0"/>
                <w:sz w:val="22"/>
                <w:szCs w:val="22"/>
                <w:u w:val="none"/>
                <w:lang w:val="en-US" w:eastAsia="zh-CN" w:bidi="ar"/>
              </w:rPr>
              <w:t>中国共产党丰都县委员会办公室</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财政归口处室：</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方正仿宋_GBK" w:cs="方正仿宋_GBK"/>
                <w:i w:val="0"/>
                <w:iCs w:val="0"/>
                <w:color w:val="000000"/>
                <w:kern w:val="0"/>
                <w:sz w:val="22"/>
                <w:szCs w:val="22"/>
                <w:u w:val="none"/>
                <w:lang w:val="en-US" w:eastAsia="zh-CN" w:bidi="ar"/>
              </w:rPr>
              <w:t>行政政法科</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部门联系人：</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曾惺惺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联系电话：</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70606037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155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808080"/>
                <w:sz w:val="28"/>
                <w:szCs w:val="28"/>
                <w:u w:val="none"/>
              </w:rPr>
            </w:pPr>
            <w:r>
              <w:rPr>
                <w:rFonts w:hint="eastAsia" w:ascii="Times New Roman" w:hAnsi="Times New Roman" w:eastAsia="方正仿宋_GBK" w:cs="方正仿宋_GBK"/>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年初预算数</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全年（调整）预算数</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全年执行数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执行率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执行率权重</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年度总金额</w:t>
            </w:r>
          </w:p>
        </w:tc>
        <w:tc>
          <w:tcPr>
            <w:tcW w:w="9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75,000.00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56,957.00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56,957.00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2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其中：财政拨款</w:t>
            </w:r>
          </w:p>
        </w:tc>
        <w:tc>
          <w:tcPr>
            <w:tcW w:w="9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75,000.00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56,957.00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56,957.00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2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一般公共预算</w:t>
            </w:r>
          </w:p>
        </w:tc>
        <w:tc>
          <w:tcPr>
            <w:tcW w:w="9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75,000.00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56,957.00 </w:t>
            </w:r>
          </w:p>
        </w:tc>
        <w:tc>
          <w:tcPr>
            <w:tcW w:w="12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56,957.00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55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808080"/>
                <w:sz w:val="28"/>
                <w:szCs w:val="28"/>
                <w:u w:val="none"/>
              </w:rPr>
            </w:pPr>
            <w:r>
              <w:rPr>
                <w:rFonts w:hint="eastAsia" w:ascii="Times New Roman" w:hAnsi="Times New Roman" w:eastAsia="方正仿宋_GBK" w:cs="方正仿宋_GBK"/>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4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年初绩效目标</w:t>
            </w:r>
          </w:p>
        </w:tc>
        <w:tc>
          <w:tcPr>
            <w:tcW w:w="5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全年（调整）绩效目标</w:t>
            </w:r>
          </w:p>
        </w:tc>
        <w:tc>
          <w:tcPr>
            <w:tcW w:w="3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4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为县委科学决策提供高质量的意见建议。</w:t>
            </w:r>
          </w:p>
        </w:tc>
        <w:tc>
          <w:tcPr>
            <w:tcW w:w="5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为县委科学决策提供高质量的意见建议。</w:t>
            </w:r>
          </w:p>
        </w:tc>
        <w:tc>
          <w:tcPr>
            <w:tcW w:w="3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合理开展咨询对接，形成高质量报告十余篇，为县委决策提供高质量建议。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155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808080"/>
                <w:sz w:val="28"/>
                <w:szCs w:val="28"/>
                <w:u w:val="none"/>
              </w:rPr>
            </w:pPr>
            <w:r>
              <w:rPr>
                <w:rFonts w:hint="eastAsia" w:ascii="Times New Roman" w:hAnsi="Times New Roman" w:eastAsia="方正仿宋_GBK" w:cs="方正仿宋_GBK"/>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指标名称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计量单位</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指标性质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指标值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全年完成值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偏离度（</w:t>
            </w:r>
            <w:r>
              <w:rPr>
                <w:rFonts w:hint="default" w:ascii="Times New Roman" w:hAnsi="Times New Roman" w:eastAsia="宋体" w:cs="Times New Roman"/>
                <w:b/>
                <w:bCs/>
                <w:i w:val="0"/>
                <w:iCs w:val="0"/>
                <w:color w:val="000000"/>
                <w:kern w:val="0"/>
                <w:sz w:val="22"/>
                <w:szCs w:val="22"/>
                <w:u w:val="none"/>
                <w:lang w:val="en-US" w:eastAsia="zh-CN" w:bidi="ar"/>
              </w:rPr>
              <w:t>%</w:t>
            </w:r>
            <w:r>
              <w:rPr>
                <w:rStyle w:val="29"/>
                <w:rFonts w:hint="eastAsia" w:ascii="Times New Roman" w:hAnsi="Times New Roman"/>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得分系数（</w:t>
            </w:r>
            <w:r>
              <w:rPr>
                <w:rFonts w:hint="default" w:ascii="Times New Roman" w:hAnsi="Times New Roman" w:eastAsia="宋体" w:cs="Times New Roman"/>
                <w:b/>
                <w:bCs/>
                <w:i w:val="0"/>
                <w:iCs w:val="0"/>
                <w:color w:val="000000"/>
                <w:kern w:val="0"/>
                <w:sz w:val="22"/>
                <w:szCs w:val="22"/>
                <w:u w:val="none"/>
                <w:lang w:val="en-US" w:eastAsia="zh-CN" w:bidi="ar"/>
              </w:rPr>
              <w:t>%</w:t>
            </w:r>
            <w:r>
              <w:rPr>
                <w:rStyle w:val="29"/>
                <w:rFonts w:hint="eastAsia" w:ascii="Times New Roman" w:hAnsi="Times New Roman"/>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指标权重</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指标得分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是否核心指标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u w:val="none"/>
              </w:rPr>
            </w:pPr>
            <w:r>
              <w:rPr>
                <w:rStyle w:val="29"/>
                <w:rFonts w:hint="eastAsia" w:ascii="Times New Roman" w:hAnsi="Times New Roman"/>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为县委科学决策提供高质量意见</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定性</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好</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是</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及时提供意见</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定性</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好</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每年控制成本</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对社会发展产生正面影响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定性</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好</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服务对象满意度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定性</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好</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bl>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3"/>
          <w:rFonts w:ascii="Times New Roman" w:hAnsi="Times New Roman" w:eastAsia="方正仿宋_GBK" w:cs="方正仿宋_GBK"/>
          <w:sz w:val="32"/>
          <w:szCs w:val="32"/>
          <w:shd w:val="clear" w:color="auto" w:fill="FFFF00"/>
        </w:rPr>
        <w:sectPr>
          <w:pgSz w:w="16840" w:h="11915" w:orient="landscape"/>
          <w:pgMar w:top="1531" w:right="2098" w:bottom="1531" w:left="1984" w:header="851" w:footer="992" w:gutter="0"/>
          <w:pgNumType w:fmt="decimal"/>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s="Times New Roman"/>
                <w:color w:val="000000"/>
                <w:sz w:val="20"/>
                <w:szCs w:val="20"/>
              </w:rPr>
              <w:t>01</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Arial"/>
                <w:color w:val="000000"/>
                <w:sz w:val="22"/>
                <w:szCs w:val="22"/>
              </w:rPr>
            </w:pPr>
            <w:r>
              <w:rPr>
                <w:rFonts w:ascii="Times New Roman" w:hAnsi="Times New Roman" w:cs="宋体"/>
                <w:sz w:val="20"/>
                <w:szCs w:val="20"/>
              </w:rPr>
              <w:t>单位：</w:t>
            </w:r>
            <w:r>
              <w:rPr>
                <w:rFonts w:ascii="Times New Roman" w:hAnsi="Times New Roman"/>
                <w:sz w:val="20"/>
                <w:u w:color="auto"/>
              </w:rPr>
              <w:t>丰都县发展研究中心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239.27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239.27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240.89</w:t>
            </w:r>
            <w:r>
              <w:rPr>
                <w:rFonts w:ascii="Times New Roman" w:hAnsi="Times New Roman"/>
                <w:color w:val="000000"/>
                <w:sz w:val="20"/>
                <w:u w:color="auto"/>
              </w:rPr>
              <w:t xml:space="preserve"> </w:t>
            </w:r>
          </w:p>
        </w:tc>
      </w:tr>
    </w:tbl>
    <w:p>
      <w:pPr>
        <w:rPr>
          <w:rFonts w:hint="default" w:ascii="Times New Roman" w:hAnsi="Times New Roman" w:cs="宋体"/>
          <w:sz w:val="21"/>
          <w:szCs w:val="21"/>
        </w:rPr>
      </w:pPr>
    </w:p>
    <w:p>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sz w:val="20"/>
                <w:u w:color="auto"/>
              </w:rPr>
              <w:t>丰都县发展研究中心</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s="Times New Roman"/>
                <w:color w:val="000000"/>
                <w:sz w:val="20"/>
                <w:szCs w:val="20"/>
              </w:rPr>
              <w:t>02</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12"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239.27</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239.27</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191.27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191.27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党委办公厅（室）及相关机构事务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191.27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191.27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2013150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其他党委办公厅（室）及相关机构事务支出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0"/>
          <w:szCs w:val="20"/>
        </w:rPr>
      </w:pPr>
      <w:r>
        <w:rPr>
          <w:rFonts w:ascii="Times New Roman" w:hAnsi="Times New Roman"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u w:color="auto"/>
              </w:rPr>
              <w:t xml:space="preserve">丰都县发展研究中心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s="Times New Roman"/>
                <w:color w:val="000000"/>
                <w:sz w:val="20"/>
                <w:szCs w:val="20"/>
              </w:rPr>
              <w:t>03</w:t>
            </w:r>
            <w:r>
              <w:rPr>
                <w:rFonts w:ascii="Times New Roman" w:hAnsi="Times New Roman" w:cs="宋体"/>
                <w:color w:val="000000"/>
                <w:sz w:val="20"/>
                <w:szCs w:val="20"/>
              </w:rPr>
              <w:t>表</w:t>
            </w:r>
          </w:p>
        </w:tc>
      </w:tr>
      <w:tr>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239.27</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222.69</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16.58</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191.27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党委办公厅（室）及相关机构事务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191.27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2013150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其他党委办公厅（室）及相关机构事务支出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ascii="Times New Roman" w:hAnsi="Times New Roman" w:cs="宋体"/>
          <w:sz w:val="21"/>
          <w:szCs w:val="21"/>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1"/>
          <w:szCs w:val="21"/>
        </w:rPr>
        <w:br w:type="page"/>
      </w:r>
    </w:p>
    <w:p>
      <w:pPr>
        <w:rPr>
          <w:rFonts w:hint="default" w:ascii="Times New Roman" w:hAnsi="Times New Roman"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u w:color="auto"/>
              </w:rPr>
              <w:t>丰都县发展研究中心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s="Times New Roman"/>
                <w:color w:val="000000"/>
                <w:sz w:val="20"/>
                <w:szCs w:val="20"/>
              </w:rPr>
              <w:t>04</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239.27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239.27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u w:color="auto"/>
              </w:rPr>
              <w:t>丰都县发展研究中心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s="Times New Roman"/>
                <w:color w:val="000000"/>
                <w:sz w:val="20"/>
                <w:szCs w:val="20"/>
              </w:rPr>
              <w:t>05</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239.27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191.27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191.27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173.59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其他党委办公厅（室）及相关机构事务支出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u w:color="auto"/>
              </w:rPr>
              <w:t>丰都县发展研究中心</w:t>
            </w: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s="Times New Roman"/>
                <w:color w:val="000000"/>
                <w:sz w:val="20"/>
                <w:szCs w:val="20"/>
              </w:rPr>
              <w:t>06</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w:t>
            </w:r>
            <w:r>
              <w:rPr>
                <w:rFonts w:hint="eastAsia" w:ascii="Times New Roman" w:hAnsi="Times New Roman" w:cs="宋体"/>
                <w:b/>
                <w:color w:val="000000"/>
                <w:sz w:val="18"/>
                <w:szCs w:val="18"/>
                <w:lang w:eastAsia="zh-CN"/>
              </w:rPr>
              <w:t>经济</w:t>
            </w:r>
            <w:r>
              <w:rPr>
                <w:rFonts w:ascii="Times New Roman" w:hAnsi="Times New Roman"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w:t>
            </w:r>
            <w:r>
              <w:rPr>
                <w:rFonts w:hint="eastAsia" w:ascii="Times New Roman" w:hAnsi="Times New Roman" w:cs="宋体"/>
                <w:b/>
                <w:color w:val="000000"/>
                <w:sz w:val="18"/>
                <w:szCs w:val="18"/>
                <w:lang w:eastAsia="zh-CN"/>
              </w:rPr>
              <w:t>经济</w:t>
            </w:r>
            <w:r>
              <w:rPr>
                <w:rFonts w:ascii="Times New Roman" w:hAnsi="Times New Roman"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w:t>
            </w:r>
            <w:r>
              <w:rPr>
                <w:rFonts w:hint="eastAsia" w:ascii="Times New Roman" w:hAnsi="Times New Roman" w:cs="宋体"/>
                <w:b/>
                <w:color w:val="000000"/>
                <w:sz w:val="18"/>
                <w:szCs w:val="18"/>
                <w:lang w:eastAsia="zh-CN"/>
              </w:rPr>
              <w:t>经济</w:t>
            </w:r>
            <w:r>
              <w:rPr>
                <w:rFonts w:ascii="Times New Roman" w:hAnsi="Times New Roman"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194.69</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u w:color="auto"/>
              </w:rPr>
              <w:t>丰都县发展研究中心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s="Times New Roman"/>
                <w:color w:val="000000"/>
                <w:sz w:val="20"/>
                <w:szCs w:val="20"/>
              </w:rPr>
              <w:t>07</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u w:color="auto"/>
              </w:rPr>
              <w:t>丰都县发展研究中心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s="Times New Roman"/>
                <w:color w:val="000000"/>
                <w:sz w:val="20"/>
                <w:szCs w:val="20"/>
              </w:rPr>
              <w:t>08</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rPr>
          <w:rFonts w:hint="default" w:ascii="Times New Roman" w:hAnsi="Times New Roman" w:cs="宋体"/>
          <w:sz w:val="21"/>
          <w:szCs w:val="21"/>
        </w:rPr>
      </w:pPr>
      <w:r>
        <w:rPr>
          <w:rFonts w:hint="default" w:ascii="Times New Roman" w:hAnsi="Times New Roman"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公开</w:t>
            </w:r>
            <w:r>
              <w:rPr>
                <w:rFonts w:hint="default" w:ascii="Times New Roman" w:hAnsi="Times New Roman"/>
                <w:color w:val="000000"/>
                <w:kern w:val="2"/>
                <w:sz w:val="20"/>
                <w:szCs w:val="20"/>
              </w:rPr>
              <w:t>09</w:t>
            </w:r>
            <w:r>
              <w:rPr>
                <w:rFonts w:ascii="Times New Roman" w:hAnsi="Times New Roman" w:cs="宋体"/>
                <w:color w:val="000000"/>
                <w:kern w:val="2"/>
                <w:sz w:val="20"/>
                <w:szCs w:val="20"/>
              </w:rPr>
              <w:t>表</w:t>
            </w:r>
          </w:p>
        </w:tc>
      </w:tr>
      <w:tr>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kern w:val="2"/>
                <w:sz w:val="20"/>
                <w:szCs w:val="20"/>
              </w:rPr>
            </w:pPr>
            <w:r>
              <w:rPr>
                <w:rFonts w:hint="eastAsia" w:ascii="Times New Roman" w:hAnsi="Times New Roman" w:cs="宋体"/>
                <w:kern w:val="2"/>
                <w:sz w:val="20"/>
                <w:szCs w:val="20"/>
                <w:lang w:eastAsia="zh-CN"/>
              </w:rPr>
              <w:t>单位</w:t>
            </w:r>
            <w:r>
              <w:rPr>
                <w:rFonts w:ascii="Times New Roman" w:hAnsi="Times New Roman" w:cs="宋体"/>
                <w:color w:val="000000"/>
                <w:kern w:val="2"/>
                <w:sz w:val="20"/>
                <w:szCs w:val="20"/>
              </w:rPr>
              <w:t>：</w:t>
            </w:r>
            <w:r>
              <w:rPr>
                <w:rFonts w:ascii="Times New Roman" w:hAnsi="Times New Roman"/>
                <w:color w:val="000000"/>
                <w:sz w:val="20"/>
                <w:u w:color="auto"/>
              </w:rPr>
              <w:t>丰都县发展研究中心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宋体"/>
                <w:color w:val="000000"/>
                <w:kern w:val="2"/>
                <w:sz w:val="16"/>
                <w:szCs w:val="16"/>
              </w:rPr>
            </w:pPr>
          </w:p>
        </w:tc>
      </w:tr>
      <w:tr>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宋体"/>
                <w:color w:val="000000"/>
                <w:kern w:val="2"/>
                <w:sz w:val="16"/>
                <w:szCs w:val="16"/>
              </w:rPr>
            </w:pPr>
          </w:p>
        </w:tc>
      </w:tr>
      <w:tr>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宋体"/>
                <w:b/>
                <w:bCs/>
                <w:color w:val="000000"/>
                <w:sz w:val="16"/>
                <w:szCs w:val="16"/>
              </w:rPr>
            </w:pPr>
            <w:r>
              <w:rPr>
                <w:rFonts w:ascii="Times New Roman" w:hAnsi="Times New Roman"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宋体"/>
                <w:color w:val="000000"/>
                <w:sz w:val="16"/>
                <w:szCs w:val="16"/>
              </w:rPr>
            </w:pPr>
          </w:p>
        </w:tc>
      </w:tr>
    </w:tbl>
    <w:p>
      <w:pPr>
        <w:rPr>
          <w:rFonts w:hint="default" w:ascii="Times New Roman" w:hAnsi="Times New Roman"/>
          <w:sz w:val="18"/>
          <w:szCs w:val="18"/>
        </w:rPr>
      </w:pPr>
      <w:r>
        <w:rPr>
          <w:rFonts w:ascii="Times New Roman" w:hAnsi="Times New Roman"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ype="textWrapping"/>
      </w:r>
      <w:r>
        <w:rPr>
          <w:rFonts w:ascii="Times New Roman" w:hAnsi="Times New Roman" w:cs="宋体"/>
          <w:sz w:val="18"/>
          <w:szCs w:val="18"/>
        </w:rPr>
        <w:t xml:space="preserve">      2.本套报表金额单位转换时可能存在尾数误差。</w:t>
      </w:r>
      <w:r>
        <w:rPr>
          <w:rFonts w:ascii="Times New Roman" w:hAnsi="Times New Roman" w:cs="宋体"/>
          <w:sz w:val="18"/>
          <w:szCs w:val="18"/>
        </w:rPr>
        <w:br w:type="textWrapping"/>
      </w:r>
      <w:r>
        <w:rPr>
          <w:rFonts w:ascii="Times New Roman" w:hAnsi="Times New Roman"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sz w:val="24"/>
                              <w:szCs w:val="24"/>
                            </w:rPr>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yazsbtIBAACE&#10;AwAADgAAAAAAAAABACAAAAA0AQAAZHJzL2Uyb0RvYy54bWxQSwUGAAAAAAYABgBZAQAAeAUAAAAA&#10;">
              <v:fill on="f" focussize="0,0"/>
              <v:stroke on="f"/>
              <v:imagedata o:title=""/>
              <o:lock v:ext="edit" aspectratio="f"/>
              <v:textbox inset="0mm,0mm,0mm,0mm" style="mso-fit-shape-to-text:t;">
                <w:txbxContent>
                  <w:p>
                    <w:pPr>
                      <w:pStyle w:val="6"/>
                      <w:rPr>
                        <w:sz w:val="24"/>
                        <w:szCs w:val="24"/>
                      </w:rPr>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pPr>
                          <w:r>
                            <w:t xml:space="preserve">— </w:t>
                          </w:r>
                          <w:r>
                            <w:fldChar w:fldCharType="begin"/>
                          </w:r>
                          <w:r>
                            <w:instrText xml:space="preserve"> PAGE  \* MERGEFORMAT </w:instrText>
                          </w:r>
                          <w:r>
                            <w:fldChar w:fldCharType="separate"/>
                          </w:r>
                          <w:r>
                            <w:t>16</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Brs6P40QEAAIUD&#10;AAAOAAAAAAAAAAEAIAAAADQBAABkcnMvZTJvRG9jLnhtbFBLBQYAAAAABgAGAFkBAAB3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D50F06"/>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FF08EC"/>
    <w:rsid w:val="1B6F15B6"/>
    <w:rsid w:val="1BAA2EDC"/>
    <w:rsid w:val="1CA55E64"/>
    <w:rsid w:val="1D014A01"/>
    <w:rsid w:val="1D022362"/>
    <w:rsid w:val="1D1B04B0"/>
    <w:rsid w:val="1DA52501"/>
    <w:rsid w:val="1DBD6767"/>
    <w:rsid w:val="1DC52125"/>
    <w:rsid w:val="1DD26311"/>
    <w:rsid w:val="1E374ACB"/>
    <w:rsid w:val="1E8E6574"/>
    <w:rsid w:val="1ECF0A66"/>
    <w:rsid w:val="1EF67CA4"/>
    <w:rsid w:val="1F020D3A"/>
    <w:rsid w:val="1F2C5189"/>
    <w:rsid w:val="1F4B0B02"/>
    <w:rsid w:val="1FBB35CD"/>
    <w:rsid w:val="1FCBCCB6"/>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5F3518F"/>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F7E2DA"/>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DDF0345"/>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FF80AF"/>
    <w:rsid w:val="5842572D"/>
    <w:rsid w:val="5A3B59D6"/>
    <w:rsid w:val="5AD134D8"/>
    <w:rsid w:val="5BF41F67"/>
    <w:rsid w:val="5C263CE4"/>
    <w:rsid w:val="5C5D2777"/>
    <w:rsid w:val="5CF66BF3"/>
    <w:rsid w:val="5D290C69"/>
    <w:rsid w:val="5DA80C2C"/>
    <w:rsid w:val="5DFF3C5A"/>
    <w:rsid w:val="5F2D4A41"/>
    <w:rsid w:val="5FFD2FB0"/>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FDF47A"/>
    <w:rsid w:val="6A6C7940"/>
    <w:rsid w:val="6A9F1565"/>
    <w:rsid w:val="6AAD2300"/>
    <w:rsid w:val="6B474EF5"/>
    <w:rsid w:val="6BC938E5"/>
    <w:rsid w:val="6C0A5AC5"/>
    <w:rsid w:val="6C560CAE"/>
    <w:rsid w:val="6C576495"/>
    <w:rsid w:val="6D903FF5"/>
    <w:rsid w:val="6DA955B8"/>
    <w:rsid w:val="6DBD912C"/>
    <w:rsid w:val="6DE346AB"/>
    <w:rsid w:val="6DE5391A"/>
    <w:rsid w:val="6EFD1324"/>
    <w:rsid w:val="6F17509E"/>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BDF937D"/>
    <w:rsid w:val="7C3A7C0B"/>
    <w:rsid w:val="7C5248E4"/>
    <w:rsid w:val="7C566698"/>
    <w:rsid w:val="7C5866A3"/>
    <w:rsid w:val="7C7FE385"/>
    <w:rsid w:val="7D7406BB"/>
    <w:rsid w:val="7D9AB20A"/>
    <w:rsid w:val="7DE94331"/>
    <w:rsid w:val="7DFE544D"/>
    <w:rsid w:val="7EFBD440"/>
    <w:rsid w:val="7F446A19"/>
    <w:rsid w:val="7F61175D"/>
    <w:rsid w:val="7F7452B9"/>
    <w:rsid w:val="7FFF02DC"/>
    <w:rsid w:val="A8FE083C"/>
    <w:rsid w:val="AB3D2AF2"/>
    <w:rsid w:val="ABF68393"/>
    <w:rsid w:val="AEFEB130"/>
    <w:rsid w:val="B7FF7526"/>
    <w:rsid w:val="BFF3EB9B"/>
    <w:rsid w:val="CF2E19CC"/>
    <w:rsid w:val="CFFEAA4E"/>
    <w:rsid w:val="DCFE4F9A"/>
    <w:rsid w:val="DFEF1004"/>
    <w:rsid w:val="EDFE9728"/>
    <w:rsid w:val="F5FEA5DF"/>
    <w:rsid w:val="FAEFE791"/>
    <w:rsid w:val="FBF74867"/>
    <w:rsid w:val="FFDF9C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font21"/>
    <w:basedOn w:val="12"/>
    <w:qFormat/>
    <w:uiPriority w:val="0"/>
    <w:rPr>
      <w:rFonts w:ascii="方正仿宋_GBK" w:hAnsi="方正仿宋_GBK" w:eastAsia="方正仿宋_GBK" w:cs="方正仿宋_GBK"/>
      <w:b/>
      <w:bCs/>
      <w:color w:val="000000"/>
      <w:sz w:val="22"/>
      <w:szCs w:val="22"/>
      <w:u w:val="none"/>
    </w:rPr>
  </w:style>
  <w:style w:type="character" w:customStyle="1" w:styleId="21">
    <w:name w:val="font11"/>
    <w:basedOn w:val="12"/>
    <w:qFormat/>
    <w:uiPriority w:val="0"/>
    <w:rPr>
      <w:rFonts w:hint="eastAsia" w:ascii="方正仿宋_GBK" w:hAnsi="方正仿宋_GBK" w:eastAsia="方正仿宋_GBK" w:cs="方正仿宋_GBK"/>
      <w:color w:val="000000"/>
      <w:sz w:val="22"/>
      <w:szCs w:val="22"/>
      <w:u w:val="none"/>
    </w:rPr>
  </w:style>
  <w:style w:type="character" w:customStyle="1" w:styleId="22">
    <w:name w:val="font01"/>
    <w:basedOn w:val="12"/>
    <w:qFormat/>
    <w:uiPriority w:val="0"/>
    <w:rPr>
      <w:rFonts w:hint="eastAsia" w:ascii="方正仿宋_GBK" w:hAnsi="方正仿宋_GBK" w:eastAsia="方正仿宋_GBK" w:cs="方正仿宋_GBK"/>
      <w:b/>
      <w:bCs/>
      <w:color w:val="808080"/>
      <w:sz w:val="28"/>
      <w:szCs w:val="28"/>
      <w:u w:val="none"/>
    </w:rPr>
  </w:style>
  <w:style w:type="character" w:customStyle="1" w:styleId="23">
    <w:name w:val="font71"/>
    <w:basedOn w:val="12"/>
    <w:qFormat/>
    <w:uiPriority w:val="0"/>
    <w:rPr>
      <w:rFonts w:hint="default" w:ascii="Times New Roman" w:hAnsi="Times New Roman" w:cs="Times New Roman"/>
      <w:b/>
      <w:bCs/>
      <w:color w:val="000000"/>
      <w:sz w:val="22"/>
      <w:szCs w:val="22"/>
      <w:u w:val="none"/>
    </w:rPr>
  </w:style>
  <w:style w:type="character" w:customStyle="1" w:styleId="24">
    <w:name w:val="font61"/>
    <w:basedOn w:val="12"/>
    <w:qFormat/>
    <w:uiPriority w:val="0"/>
    <w:rPr>
      <w:rFonts w:hint="default" w:ascii="Times New Roman" w:hAnsi="Times New Roman" w:cs="Times New Roman"/>
      <w:b/>
      <w:bCs/>
      <w:color w:val="000000"/>
      <w:sz w:val="22"/>
      <w:szCs w:val="22"/>
      <w:u w:val="none"/>
    </w:rPr>
  </w:style>
  <w:style w:type="character" w:customStyle="1" w:styleId="25">
    <w:name w:val="font31"/>
    <w:basedOn w:val="12"/>
    <w:qFormat/>
    <w:uiPriority w:val="0"/>
    <w:rPr>
      <w:rFonts w:ascii="方正仿宋_GBK" w:hAnsi="方正仿宋_GBK" w:eastAsia="方正仿宋_GBK" w:cs="方正仿宋_GBK"/>
      <w:b/>
      <w:bCs/>
      <w:color w:val="000000"/>
      <w:sz w:val="40"/>
      <w:szCs w:val="40"/>
      <w:u w:val="none"/>
    </w:rPr>
  </w:style>
  <w:style w:type="character" w:customStyle="1" w:styleId="26">
    <w:name w:val="font12"/>
    <w:basedOn w:val="12"/>
    <w:qFormat/>
    <w:uiPriority w:val="0"/>
    <w:rPr>
      <w:rFonts w:hint="eastAsia" w:ascii="方正仿宋_GBK" w:hAnsi="方正仿宋_GBK" w:eastAsia="方正仿宋_GBK" w:cs="方正仿宋_GBK"/>
      <w:b/>
      <w:bCs/>
      <w:color w:val="000000"/>
      <w:sz w:val="22"/>
      <w:szCs w:val="22"/>
      <w:u w:val="none"/>
    </w:rPr>
  </w:style>
  <w:style w:type="character" w:customStyle="1" w:styleId="27">
    <w:name w:val="font51"/>
    <w:basedOn w:val="12"/>
    <w:qFormat/>
    <w:uiPriority w:val="0"/>
    <w:rPr>
      <w:rFonts w:hint="eastAsia" w:ascii="方正仿宋_GBK" w:hAnsi="方正仿宋_GBK" w:eastAsia="方正仿宋_GBK" w:cs="方正仿宋_GBK"/>
      <w:b/>
      <w:bCs/>
      <w:color w:val="808080"/>
      <w:sz w:val="28"/>
      <w:szCs w:val="28"/>
      <w:u w:val="none"/>
    </w:rPr>
  </w:style>
  <w:style w:type="character" w:customStyle="1" w:styleId="28">
    <w:name w:val="font101"/>
    <w:basedOn w:val="12"/>
    <w:qFormat/>
    <w:uiPriority w:val="0"/>
    <w:rPr>
      <w:rFonts w:hint="default" w:ascii="Times New Roman" w:hAnsi="Times New Roman" w:cs="Times New Roman"/>
      <w:b/>
      <w:bCs/>
      <w:color w:val="000000"/>
      <w:sz w:val="22"/>
      <w:szCs w:val="22"/>
      <w:u w:val="none"/>
    </w:rPr>
  </w:style>
  <w:style w:type="character" w:customStyle="1" w:styleId="29">
    <w:name w:val="font41"/>
    <w:basedOn w:val="12"/>
    <w:qFormat/>
    <w:uiPriority w:val="0"/>
    <w:rPr>
      <w:rFonts w:ascii="方正仿宋_GBK" w:hAnsi="方正仿宋_GBK" w:eastAsia="方正仿宋_GBK" w:cs="方正仿宋_GBK"/>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4772</Words>
  <Characters>5399</Characters>
  <Lines>186</Lines>
  <Paragraphs>52</Paragraphs>
  <TotalTime>2</TotalTime>
  <ScaleCrop>false</ScaleCrop>
  <LinksUpToDate>false</LinksUpToDate>
  <CharactersWithSpaces>5406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2024-07-13T18:00:00Z</dcterms:created>
  <dc:creator>Administrator</dc:creator>
  <cp:lastModifiedBy>user</cp:lastModifiedBy>
  <cp:lastPrinted>2025-09-11T16:38:00Z</cp:lastPrinted>
  <dcterms:modified xsi:type="dcterms:W3CDTF">2025-09-15T10:45:54Z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3A18FB51D73C2EBE4BDBC0687B2D28C8</vt:lpwstr>
  </property>
  <property fmtid="{D5CDD505-2E9C-101B-9397-08002B2CF9AE}" pid="4" name="KSOTemplateDocerSaveRecord">
    <vt:lpwstr>eyJoZGlkIjoiNjc0MTY4YTI4NjVjOTVkNzJiMzllMzU1MDMwYmEzNGQifQ==</vt:lpwstr>
  </property>
</Properties>
</file>