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pacing w:line="595" w:lineRule="exact"/>
        <w:jc w:val="center"/>
        <w:textAlignment w:val="auto"/>
        <w:rPr>
          <w:rFonts w:ascii="Times New Roman" w:hAnsi="Times New Roman" w:eastAsia="方正黑体_GBK" w:cs="Times New Roman"/>
          <w:color w:val="000000"/>
          <w:kern w:val="2"/>
          <w:sz w:val="44"/>
          <w:szCs w:val="44"/>
        </w:rPr>
      </w:pPr>
      <w:r>
        <w:rPr>
          <w:rFonts w:hint="eastAsia" w:ascii="Times New Roman" w:hAnsi="Times New Roman" w:eastAsia="方正黑体_GBK" w:cs="Times New Roman"/>
          <w:color w:val="000000"/>
          <w:kern w:val="2"/>
          <w:sz w:val="44"/>
          <w:szCs w:val="44"/>
        </w:rPr>
        <w:t>丰都县廉政教育中心</w:t>
      </w:r>
    </w:p>
    <w:p>
      <w:pPr>
        <w:keepNext w:val="0"/>
        <w:keepLines w:val="0"/>
        <w:pageBreakBefore w:val="0"/>
        <w:widowControl w:val="0"/>
        <w:kinsoku/>
        <w:overflowPunct/>
        <w:topLinePunct w:val="0"/>
        <w:autoSpaceDN/>
        <w:bidi w:val="0"/>
        <w:adjustRightInd/>
        <w:spacing w:line="595" w:lineRule="exact"/>
        <w:jc w:val="center"/>
        <w:textAlignment w:val="auto"/>
        <w:rPr>
          <w:rFonts w:hint="eastAsia" w:ascii="Times New Roman" w:hAnsi="Times New Roman" w:eastAsia="方正黑体_GBK" w:cs="Times New Roman"/>
          <w:color w:val="000000"/>
          <w:kern w:val="2"/>
          <w:sz w:val="44"/>
          <w:szCs w:val="44"/>
        </w:rPr>
      </w:pPr>
      <w:r>
        <w:rPr>
          <w:rFonts w:hint="eastAsia" w:ascii="Times New Roman" w:hAnsi="Times New Roman" w:eastAsia="方正黑体_GBK" w:cs="Times New Roman"/>
          <w:color w:val="000000"/>
          <w:kern w:val="2"/>
          <w:sz w:val="44"/>
          <w:szCs w:val="44"/>
        </w:rPr>
        <w:t>202</w:t>
      </w:r>
      <w:r>
        <w:rPr>
          <w:rFonts w:hint="eastAsia" w:ascii="Times New Roman" w:hAnsi="Times New Roman" w:eastAsia="方正黑体_GBK" w:cs="Times New Roman"/>
          <w:color w:val="000000"/>
          <w:kern w:val="2"/>
          <w:sz w:val="44"/>
          <w:szCs w:val="44"/>
          <w:lang w:val="en-US" w:eastAsia="zh-CN"/>
        </w:rPr>
        <w:t>4</w:t>
      </w:r>
      <w:r>
        <w:rPr>
          <w:rFonts w:hint="eastAsia" w:ascii="Times New Roman" w:hAnsi="Times New Roman" w:eastAsia="方正黑体_GBK" w:cs="Times New Roman"/>
          <w:color w:val="000000"/>
          <w:kern w:val="2"/>
          <w:sz w:val="44"/>
          <w:szCs w:val="44"/>
        </w:rPr>
        <w:t>年度决算</w:t>
      </w:r>
      <w:r>
        <w:rPr>
          <w:rFonts w:hint="eastAsia" w:ascii="Times New Roman" w:hAnsi="Times New Roman" w:eastAsia="方正黑体_GBK" w:cs="Times New Roman"/>
          <w:color w:val="000000"/>
          <w:kern w:val="2"/>
          <w:sz w:val="44"/>
          <w:szCs w:val="44"/>
          <w:lang w:eastAsia="zh-CN"/>
        </w:rPr>
        <w:t>公开</w:t>
      </w:r>
      <w:r>
        <w:rPr>
          <w:rFonts w:hint="eastAsia" w:ascii="Times New Roman" w:hAnsi="Times New Roman" w:eastAsia="方正黑体_GBK" w:cs="Times New Roman"/>
          <w:color w:val="000000"/>
          <w:kern w:val="2"/>
          <w:sz w:val="44"/>
          <w:szCs w:val="44"/>
        </w:rPr>
        <w:t>说明</w:t>
      </w:r>
    </w:p>
    <w:p>
      <w:pPr>
        <w:keepNext w:val="0"/>
        <w:keepLines w:val="0"/>
        <w:pageBreakBefore w:val="0"/>
        <w:widowControl w:val="0"/>
        <w:kinsoku/>
        <w:overflowPunct/>
        <w:topLinePunct w:val="0"/>
        <w:autoSpaceDN/>
        <w:bidi w:val="0"/>
        <w:adjustRightInd/>
        <w:spacing w:line="595" w:lineRule="exact"/>
        <w:ind w:left="0" w:firstLine="880" w:firstLineChars="200"/>
        <w:jc w:val="center"/>
        <w:textAlignment w:val="auto"/>
        <w:rPr>
          <w:rFonts w:hint="eastAsia" w:ascii="Times New Roman" w:hAnsi="Times New Roman" w:eastAsia="方正黑体_GBK" w:cs="Times New Roman"/>
          <w:color w:val="000000"/>
          <w:kern w:val="2"/>
          <w:sz w:val="44"/>
          <w:szCs w:val="44"/>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（一）职能职责。</w:t>
      </w:r>
    </w:p>
    <w:p>
      <w:pPr>
        <w:keepNext w:val="0"/>
        <w:keepLines w:val="0"/>
        <w:pageBreakBefore w:val="0"/>
        <w:kinsoku/>
        <w:overflowPunct/>
        <w:topLinePunct w:val="0"/>
        <w:autoSpaceDN/>
        <w:bidi w:val="0"/>
        <w:adjustRightInd/>
        <w:spacing w:line="595" w:lineRule="exact"/>
        <w:ind w:left="0" w:firstLine="640" w:firstLineChars="200"/>
        <w:jc w:val="both"/>
        <w:textAlignment w:val="auto"/>
        <w:rPr>
          <w:rFonts w:ascii="Times New Roman" w:hAnsi="Times New Roman" w:eastAsia="方正楷体_GBK"/>
          <w:color w:val="000000"/>
          <w:sz w:val="32"/>
          <w:szCs w:val="32"/>
        </w:rPr>
      </w:pPr>
      <w:r>
        <w:rPr>
          <w:rFonts w:ascii="Times New Roman" w:hAnsi="Times New Roman" w:eastAsia="方正仿宋_GBK" w:cs="Times New Roman"/>
          <w:sz w:val="32"/>
          <w:szCs w:val="32"/>
        </w:rPr>
        <w:t>开展廉政教育、廉洁文化建设等工作。受中共丰都县纪律检查委员会、丰都县监察委员会委托，开展党员干部廉政教育；承担丰都廉洁文化挖掘、创建、推广工作；承担全县相关部门行政审批、公共资源交易等电子监察事务性工作；参与纪检监察信息化建设；</w:t>
      </w:r>
      <w:r>
        <w:rPr>
          <w:rFonts w:ascii="Times New Roman" w:hAnsi="Times New Roman" w:eastAsia="方正仿宋_GBK" w:cs="Times New Roman"/>
          <w:color w:val="000000"/>
          <w:sz w:val="32"/>
          <w:szCs w:val="32"/>
        </w:rPr>
        <w:t>负责县委巡察组日常事务性工作</w:t>
      </w:r>
      <w:r>
        <w:rPr>
          <w:rFonts w:ascii="Times New Roman" w:hAnsi="Times New Roman" w:eastAsia="方正仿宋_GBK" w:cs="Times New Roman"/>
          <w:sz w:val="32"/>
          <w:szCs w:val="32"/>
        </w:rPr>
        <w:t>等。盘点承载廉洁文化资源的文物古迹、红色遗迹、名人故居、清官廉吏、家风家教、文艺作品、非遗技艺等，并做好廉洁文化的挖掘创建和宣传推广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开展清廉典型人物选树，廉洁示范村居、小区打造和评选工作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协助县纪委监委开展全县党员干部、公职人员廉政教育、警示教育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负责全县廉洁文化阵地、县廉政教育基地的建设、日常运行和管理维护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承担全县相关部门行政审批、公共资源交易等电子监察事务性工作，受理电子监察范围内相关投诉，对违反规定的相关单位和个人提出处理建议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负责为县纪检监察系统信息化工作及相关信息数据平台的建设、管理和维护提供技术保障，为案件调查提供信息技术支持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完成县纪委监委交办事项的督办催办、回访复核及结果运用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承担县委巡察组上下联络，县委巡察报告等材料撰写及资料归档、巡察单机系统录入管理，</w:t>
      </w:r>
      <w:r>
        <w:rPr>
          <w:rFonts w:ascii="Times New Roman" w:hAnsi="Times New Roman" w:eastAsia="方正仿宋_GBK" w:cs="Times New Roman"/>
          <w:color w:val="000000"/>
          <w:sz w:val="32"/>
          <w:szCs w:val="32"/>
        </w:rPr>
        <w:t>县委巡察工作的调查研究，参与巡察综合文字材料的起草和相关巡察信息的报送，巡察数据统计分析，巡察问题底稿资料收集、整理等工作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协助开展县委巡察工作中的过程指导，承办落实县委巡察办和巡察组决定事项，协助开展县委巡察问题反馈和整改督导等工作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完成县纪委监委交办的其它工作。</w:t>
      </w:r>
    </w:p>
    <w:p>
      <w:pPr>
        <w:keepNext w:val="0"/>
        <w:keepLines w:val="0"/>
        <w:pageBreakBefore w:val="0"/>
        <w:kinsoku/>
        <w:overflowPunct/>
        <w:topLinePunct w:val="0"/>
        <w:autoSpaceDN/>
        <w:bidi w:val="0"/>
        <w:adjustRightInd/>
        <w:spacing w:line="595" w:lineRule="exact"/>
        <w:ind w:left="0" w:firstLine="640" w:firstLineChars="200"/>
        <w:textAlignment w:val="auto"/>
        <w:rPr>
          <w:rFonts w:hint="default" w:ascii="Times New Roman" w:hAnsi="Times New Roman" w:eastAsia="方正楷体_GBK"/>
          <w:color w:val="000000"/>
          <w:sz w:val="32"/>
          <w:szCs w:val="32"/>
        </w:rPr>
      </w:pPr>
      <w:r>
        <w:rPr>
          <w:rFonts w:hint="eastAsia" w:ascii="Times New Roman" w:hAnsi="Times New Roman" w:eastAsia="方正楷体_GBK"/>
          <w:color w:val="000000"/>
          <w:sz w:val="32"/>
          <w:szCs w:val="32"/>
        </w:rPr>
        <w:t>（二）机构设置</w:t>
      </w:r>
    </w:p>
    <w:p>
      <w:pPr>
        <w:keepNext w:val="0"/>
        <w:keepLines w:val="0"/>
        <w:pageBreakBefore w:val="0"/>
        <w:kinsoku/>
        <w:overflowPunct/>
        <w:topLinePunct w:val="0"/>
        <w:autoSpaceDN/>
        <w:bidi w:val="0"/>
        <w:adjustRightInd/>
        <w:spacing w:line="595" w:lineRule="exact"/>
        <w:ind w:left="0" w:firstLine="640" w:firstLineChars="200"/>
        <w:jc w:val="both"/>
        <w:textAlignment w:val="auto"/>
        <w:rPr>
          <w:rFonts w:hint="eastAsia" w:ascii="Times New Roman" w:hAnsi="Times New Roman" w:eastAsia="方正仿宋_GBK"/>
          <w:color w:val="000000"/>
          <w:sz w:val="32"/>
          <w:szCs w:val="32"/>
          <w:highlight w:val="none"/>
        </w:rPr>
      </w:pPr>
      <w:r>
        <w:rPr>
          <w:rFonts w:hint="eastAsia" w:ascii="Times New Roman" w:hAnsi="Times New Roman" w:eastAsia="方正仿宋_GBK"/>
          <w:color w:val="000000"/>
          <w:sz w:val="32"/>
          <w:szCs w:val="32"/>
        </w:rPr>
        <w:t>丰都县廉政教育中心设</w:t>
      </w:r>
      <w:r>
        <w:rPr>
          <w:rFonts w:ascii="Times New Roman" w:hAnsi="Times New Roman" w:eastAsia="方正仿宋_GBK"/>
          <w:color w:val="000000"/>
          <w:sz w:val="32"/>
          <w:szCs w:val="32"/>
        </w:rPr>
        <w:t>4个内设机构：综合科、</w:t>
      </w:r>
      <w:r>
        <w:rPr>
          <w:rFonts w:hint="eastAsia" w:ascii="Times New Roman" w:hAnsi="Times New Roman" w:eastAsia="方正仿宋_GBK"/>
          <w:color w:val="000000"/>
          <w:sz w:val="32"/>
          <w:szCs w:val="32"/>
        </w:rPr>
        <w:t>信息技术保障科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督察督办科、宣传教育科（巡察事务科）。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（一）收入支出决算总体情况说明</w:t>
      </w:r>
    </w:p>
    <w:p>
      <w:pPr>
        <w:keepNext w:val="0"/>
        <w:keepLines w:val="0"/>
        <w:pageBreakBefore w:val="0"/>
        <w:widowControl w:val="0"/>
        <w:kinsoku/>
        <w:overflowPunct/>
        <w:topLinePunct w:val="0"/>
        <w:autoSpaceDN/>
        <w:bidi w:val="0"/>
        <w:adjustRightInd/>
        <w:spacing w:line="595" w:lineRule="exact"/>
        <w:ind w:left="0" w:firstLine="800" w:firstLineChars="250"/>
        <w:jc w:val="both"/>
        <w:textAlignment w:val="auto"/>
        <w:rPr>
          <w:rFonts w:hint="eastAsia" w:ascii="Times New Roman" w:hAnsi="Times New Roman" w:eastAsia="方正仿宋_GBK" w:cs="Times New Roman"/>
          <w:color w:val="EE822F" w:themeColor="accent2"/>
          <w:kern w:val="2"/>
          <w:sz w:val="32"/>
          <w:szCs w:val="32"/>
        </w:rPr>
      </w:pPr>
      <w:r>
        <w:rPr>
          <w:rFonts w:hint="eastAsia" w:ascii="Times New Roman" w:hAnsi="Times New Roman" w:eastAsia="方正仿宋_GBK" w:cs="Times New Roman"/>
          <w:bCs/>
          <w:color w:val="000000"/>
          <w:kern w:val="2"/>
          <w:sz w:val="32"/>
          <w:szCs w:val="32"/>
        </w:rPr>
        <w:t>202</w:t>
      </w:r>
      <w:r>
        <w:rPr>
          <w:rFonts w:hint="eastAsia" w:ascii="Times New Roman" w:hAnsi="Times New Roman" w:eastAsia="方正仿宋_GBK" w:cs="Times New Roman"/>
          <w:bCs/>
          <w:color w:val="000000"/>
          <w:kern w:val="2"/>
          <w:sz w:val="32"/>
          <w:szCs w:val="32"/>
          <w:lang w:val="en-US" w:eastAsia="zh-CN"/>
        </w:rPr>
        <w:t>4</w:t>
      </w:r>
      <w:r>
        <w:rPr>
          <w:rFonts w:hint="eastAsia" w:ascii="Times New Roman" w:hAnsi="Times New Roman" w:eastAsia="方正仿宋_GBK" w:cs="Times New Roman"/>
          <w:bCs/>
          <w:color w:val="000000"/>
          <w:kern w:val="2"/>
          <w:sz w:val="32"/>
          <w:szCs w:val="32"/>
        </w:rPr>
        <w:t>年度收</w:t>
      </w:r>
      <w:r>
        <w:rPr>
          <w:rFonts w:hint="eastAsia" w:ascii="Times New Roman" w:hAnsi="Times New Roman" w:eastAsia="方正仿宋_GBK" w:cs="Times New Roman"/>
          <w:bCs/>
          <w:color w:val="000000"/>
          <w:kern w:val="2"/>
          <w:sz w:val="32"/>
          <w:szCs w:val="32"/>
          <w:lang w:eastAsia="zh-CN"/>
        </w:rPr>
        <w:t>、</w:t>
      </w:r>
      <w:r>
        <w:rPr>
          <w:rFonts w:hint="eastAsia" w:ascii="Times New Roman" w:hAnsi="Times New Roman" w:eastAsia="方正仿宋_GBK" w:cs="Times New Roman"/>
          <w:bCs/>
          <w:color w:val="000000"/>
          <w:kern w:val="2"/>
          <w:sz w:val="32"/>
          <w:szCs w:val="32"/>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211.59</w:t>
      </w:r>
      <w:r>
        <w:rPr>
          <w:rFonts w:hint="eastAsia" w:ascii="Times New Roman" w:hAnsi="Times New Roman" w:eastAsia="方正仿宋_GBK" w:cs="Times New Roman"/>
          <w:bCs/>
          <w:color w:val="000000"/>
          <w:kern w:val="2"/>
          <w:sz w:val="32"/>
          <w:szCs w:val="32"/>
        </w:rPr>
        <w:t>万元。收支较上年决算数</w:t>
      </w:r>
      <w:r>
        <w:rPr>
          <w:rFonts w:hint="eastAsia" w:ascii="Times New Roman" w:hAnsi="Times New Roman" w:eastAsia="方正仿宋_GBK" w:cs="Times New Roman"/>
          <w:bCs/>
          <w:color w:val="000000"/>
          <w:kern w:val="2"/>
          <w:sz w:val="32"/>
          <w:szCs w:val="32"/>
          <w:lang w:eastAsia="zh-CN"/>
        </w:rPr>
        <w:t>减少</w:t>
      </w:r>
      <w:r>
        <w:rPr>
          <w:rFonts w:hint="default" w:ascii="Times New Roman" w:hAnsi="Times New Roman" w:eastAsia="方正仿宋_GBK"/>
          <w:sz w:val="32"/>
          <w:szCs w:val="32"/>
          <w:shd w:val="clear" w:color="auto" w:fill="FFFFFF"/>
        </w:rPr>
        <w:t>1.66</w:t>
      </w:r>
      <w:r>
        <w:rPr>
          <w:rFonts w:hint="eastAsia" w:ascii="Times New Roman" w:hAnsi="Times New Roman" w:eastAsia="方正仿宋_GBK" w:cs="Times New Roman"/>
          <w:bCs/>
          <w:color w:val="000000"/>
          <w:kern w:val="2"/>
          <w:sz w:val="32"/>
          <w:szCs w:val="32"/>
        </w:rPr>
        <w:t>万元、</w:t>
      </w:r>
      <w:r>
        <w:rPr>
          <w:rFonts w:hint="eastAsia" w:ascii="Times New Roman" w:hAnsi="Times New Roman" w:eastAsia="方正仿宋_GBK" w:cs="Times New Roman"/>
          <w:bCs/>
          <w:color w:val="000000"/>
          <w:kern w:val="2"/>
          <w:sz w:val="32"/>
          <w:szCs w:val="32"/>
          <w:lang w:eastAsia="zh-CN"/>
        </w:rPr>
        <w:t>下降</w:t>
      </w:r>
      <w:r>
        <w:rPr>
          <w:rFonts w:hint="default" w:ascii="Times New Roman" w:hAnsi="Times New Roman" w:eastAsia="方正仿宋_GBK"/>
          <w:sz w:val="32"/>
          <w:szCs w:val="32"/>
          <w:shd w:val="clear" w:color="auto" w:fill="FFFFFF"/>
        </w:rPr>
        <w:t>0.8%</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p>
    <w:p>
      <w:pPr>
        <w:keepNext w:val="0"/>
        <w:keepLines w:val="0"/>
        <w:pageBreakBefore w:val="0"/>
        <w:widowControl w:val="0"/>
        <w:kinsoku/>
        <w:overflowPunct/>
        <w:topLinePunct w:val="0"/>
        <w:autoSpaceDN/>
        <w:bidi w:val="0"/>
        <w:adjustRightInd/>
        <w:spacing w:line="595" w:lineRule="exact"/>
        <w:ind w:left="0" w:firstLine="803" w:firstLineChars="25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val="0"/>
          <w:color w:val="000000"/>
          <w:kern w:val="2"/>
          <w:sz w:val="32"/>
          <w:szCs w:val="32"/>
          <w:lang w:val="en-US" w:eastAsia="zh-CN"/>
        </w:rPr>
        <w:t>1</w:t>
      </w:r>
      <w:r>
        <w:rPr>
          <w:rFonts w:hint="eastAsia" w:ascii="Times New Roman" w:hAnsi="Times New Roman" w:eastAsia="方正仿宋_GBK" w:cs="Times New Roman"/>
          <w:b/>
          <w:bCs w:val="0"/>
          <w:color w:val="000000"/>
          <w:kern w:val="2"/>
          <w:sz w:val="32"/>
          <w:szCs w:val="32"/>
        </w:rPr>
        <w:t>. 收入情况。</w:t>
      </w:r>
      <w:r>
        <w:rPr>
          <w:rFonts w:hint="eastAsia" w:ascii="Times New Roman" w:hAnsi="Times New Roman" w:eastAsia="方正仿宋_GBK" w:cs="Times New Roman"/>
          <w:bCs/>
          <w:color w:val="000000"/>
          <w:kern w:val="2"/>
          <w:sz w:val="32"/>
          <w:szCs w:val="32"/>
        </w:rPr>
        <w:t>202</w:t>
      </w:r>
      <w:r>
        <w:rPr>
          <w:rFonts w:hint="eastAsia" w:ascii="Times New Roman" w:hAnsi="Times New Roman" w:eastAsia="方正仿宋_GBK" w:cs="Times New Roman"/>
          <w:bCs/>
          <w:color w:val="000000"/>
          <w:kern w:val="2"/>
          <w:sz w:val="32"/>
          <w:szCs w:val="32"/>
          <w:lang w:val="en-US" w:eastAsia="zh-CN"/>
        </w:rPr>
        <w:t>4</w:t>
      </w:r>
      <w:r>
        <w:rPr>
          <w:rFonts w:hint="eastAsia" w:ascii="Times New Roman" w:hAnsi="Times New Roman" w:eastAsia="方正仿宋_GBK" w:cs="Times New Roman"/>
          <w:bCs/>
          <w:color w:val="000000"/>
          <w:kern w:val="2"/>
          <w:sz w:val="32"/>
          <w:szCs w:val="32"/>
        </w:rPr>
        <w:t>年度收入合计</w:t>
      </w:r>
      <w:r>
        <w:rPr>
          <w:rFonts w:hint="default" w:ascii="Times New Roman" w:hAnsi="Times New Roman" w:eastAsia="方正仿宋_GBK"/>
          <w:sz w:val="32"/>
          <w:szCs w:val="32"/>
          <w:shd w:val="clear" w:color="auto" w:fill="FFFFFF"/>
        </w:rPr>
        <w:t>211.59</w:t>
      </w:r>
      <w:r>
        <w:rPr>
          <w:rFonts w:hint="eastAsia" w:ascii="Times New Roman" w:hAnsi="Times New Roman" w:eastAsia="方正仿宋_GBK" w:cs="Times New Roman"/>
          <w:bCs/>
          <w:color w:val="000000"/>
          <w:kern w:val="2"/>
          <w:sz w:val="32"/>
          <w:szCs w:val="32"/>
        </w:rPr>
        <w:t>万元，</w:t>
      </w:r>
      <w:r>
        <w:rPr>
          <w:rFonts w:hint="default" w:ascii="Times New Roman" w:hAnsi="Times New Roman" w:eastAsia="方正仿宋_GBK"/>
          <w:sz w:val="32"/>
          <w:szCs w:val="32"/>
          <w:shd w:val="clear" w:color="auto" w:fill="FFFFFF"/>
        </w:rPr>
        <w:t>与2023年度相比，减少1.66万元，下降0.8%</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r>
        <w:rPr>
          <w:rFonts w:hint="eastAsia" w:ascii="Times New Roman" w:hAnsi="Times New Roman" w:eastAsia="方正仿宋_GBK" w:cs="Times New Roman"/>
          <w:bCs/>
          <w:color w:val="000000"/>
          <w:kern w:val="2"/>
          <w:sz w:val="32"/>
          <w:szCs w:val="32"/>
        </w:rPr>
        <w:t>其中：财政拨款收入</w:t>
      </w:r>
      <w:r>
        <w:rPr>
          <w:rFonts w:hint="default" w:ascii="Times New Roman" w:hAnsi="Times New Roman" w:eastAsia="方正仿宋_GBK"/>
          <w:sz w:val="32"/>
          <w:szCs w:val="32"/>
          <w:shd w:val="clear" w:color="auto" w:fill="FFFFFF"/>
        </w:rPr>
        <w:t>211.59</w:t>
      </w:r>
      <w:r>
        <w:rPr>
          <w:rFonts w:hint="eastAsia" w:ascii="Times New Roman" w:hAnsi="Times New Roman" w:eastAsia="方正仿宋_GBK" w:cs="Times New Roman"/>
          <w:bCs/>
          <w:color w:val="000000"/>
          <w:kern w:val="2"/>
          <w:sz w:val="32"/>
          <w:szCs w:val="32"/>
        </w:rPr>
        <w:t>万元，占100%。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overflowPunct/>
        <w:topLinePunct w:val="0"/>
        <w:autoSpaceDN/>
        <w:bidi w:val="0"/>
        <w:adjustRightInd/>
        <w:spacing w:line="595" w:lineRule="exact"/>
        <w:ind w:left="0" w:firstLine="803" w:firstLineChars="250"/>
        <w:jc w:val="both"/>
        <w:textAlignment w:val="auto"/>
        <w:rPr>
          <w:rFonts w:ascii="Times New Roman" w:hAnsi="Times New Roman" w:eastAsia="方正仿宋_GBK" w:cs="Times New Roman"/>
          <w:bCs/>
          <w:color w:val="000000"/>
          <w:kern w:val="2"/>
          <w:sz w:val="32"/>
          <w:szCs w:val="32"/>
        </w:rPr>
      </w:pPr>
      <w:r>
        <w:rPr>
          <w:rFonts w:hint="eastAsia" w:ascii="Times New Roman" w:hAnsi="Times New Roman" w:eastAsia="方正仿宋_GBK" w:cs="Times New Roman"/>
          <w:b/>
          <w:bCs w:val="0"/>
          <w:color w:val="000000"/>
          <w:kern w:val="2"/>
          <w:sz w:val="32"/>
          <w:szCs w:val="32"/>
          <w:lang w:val="en-US" w:eastAsia="zh-CN"/>
        </w:rPr>
        <w:t>2</w:t>
      </w:r>
      <w:r>
        <w:rPr>
          <w:rFonts w:hint="eastAsia" w:ascii="Times New Roman" w:hAnsi="Times New Roman" w:eastAsia="方正仿宋_GBK" w:cs="Times New Roman"/>
          <w:b/>
          <w:bCs w:val="0"/>
          <w:color w:val="000000"/>
          <w:kern w:val="2"/>
          <w:sz w:val="32"/>
          <w:szCs w:val="32"/>
        </w:rPr>
        <w:t>. 支出情况。</w:t>
      </w:r>
      <w:r>
        <w:rPr>
          <w:rFonts w:hint="eastAsia" w:ascii="Times New Roman" w:hAnsi="Times New Roman" w:eastAsia="方正仿宋_GBK" w:cs="Times New Roman"/>
          <w:bCs/>
          <w:color w:val="000000"/>
          <w:kern w:val="2"/>
          <w:sz w:val="32"/>
          <w:szCs w:val="32"/>
        </w:rPr>
        <w:t>202</w:t>
      </w:r>
      <w:r>
        <w:rPr>
          <w:rFonts w:hint="eastAsia" w:ascii="Times New Roman" w:hAnsi="Times New Roman" w:eastAsia="方正仿宋_GBK" w:cs="Times New Roman"/>
          <w:bCs/>
          <w:color w:val="000000"/>
          <w:kern w:val="2"/>
          <w:sz w:val="32"/>
          <w:szCs w:val="32"/>
          <w:lang w:val="en-US" w:eastAsia="zh-CN"/>
        </w:rPr>
        <w:t>4</w:t>
      </w:r>
      <w:r>
        <w:rPr>
          <w:rFonts w:hint="eastAsia" w:ascii="Times New Roman" w:hAnsi="Times New Roman" w:eastAsia="方正仿宋_GBK" w:cs="Times New Roman"/>
          <w:bCs/>
          <w:color w:val="000000"/>
          <w:kern w:val="2"/>
          <w:sz w:val="32"/>
          <w:szCs w:val="32"/>
        </w:rPr>
        <w:t>年度支出合计</w:t>
      </w:r>
      <w:r>
        <w:rPr>
          <w:rFonts w:hint="default" w:ascii="Times New Roman" w:hAnsi="Times New Roman" w:eastAsia="方正仿宋_GBK"/>
          <w:sz w:val="32"/>
          <w:szCs w:val="32"/>
          <w:shd w:val="clear" w:color="auto" w:fill="FFFFFF"/>
        </w:rPr>
        <w:t>211.59</w:t>
      </w:r>
      <w:r>
        <w:rPr>
          <w:rFonts w:hint="eastAsia" w:ascii="Times New Roman" w:hAnsi="Times New Roman" w:eastAsia="方正仿宋_GBK" w:cs="Times New Roman"/>
          <w:bCs/>
          <w:color w:val="000000"/>
          <w:kern w:val="2"/>
          <w:sz w:val="32"/>
          <w:szCs w:val="32"/>
        </w:rPr>
        <w:t>万元，</w:t>
      </w:r>
      <w:r>
        <w:rPr>
          <w:rFonts w:hint="default" w:ascii="Times New Roman" w:hAnsi="Times New Roman" w:eastAsia="方正仿宋_GBK"/>
          <w:sz w:val="32"/>
          <w:szCs w:val="32"/>
          <w:shd w:val="clear" w:color="auto" w:fill="FFFFFF"/>
        </w:rPr>
        <w:t>与2023年度相比，减少1.66万元，下降0.8%</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本年度费减少。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196.59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3" w:firstLineChars="200"/>
        <w:jc w:val="both"/>
        <w:textAlignment w:val="auto"/>
        <w:rPr>
          <w:rFonts w:hint="default" w:ascii="方正仿宋_GBK" w:hAnsi="方正仿宋_GBK" w:eastAsia="方正仿宋_GBK" w:cs="方正仿宋_GBK"/>
          <w:b w:val="0"/>
          <w:bCs w:val="0"/>
          <w:sz w:val="32"/>
          <w:szCs w:val="32"/>
        </w:rPr>
      </w:pPr>
      <w:r>
        <w:rPr>
          <w:rFonts w:hint="eastAsia" w:ascii="Times New Roman" w:hAnsi="Times New Roman" w:eastAsia="方正仿宋_GBK"/>
          <w:b/>
          <w:bCs/>
          <w:color w:val="000000"/>
          <w:sz w:val="32"/>
          <w:szCs w:val="32"/>
          <w:lang w:val="en-US" w:eastAsia="zh-CN"/>
        </w:rPr>
        <w:t>3</w:t>
      </w:r>
      <w:r>
        <w:rPr>
          <w:rFonts w:hint="eastAsia" w:ascii="Times New Roman" w:hAnsi="Times New Roman" w:eastAsia="方正仿宋_GBK"/>
          <w:b/>
          <w:bCs/>
          <w:color w:val="000000"/>
          <w:sz w:val="32"/>
          <w:szCs w:val="32"/>
        </w:rPr>
        <w:t>．</w:t>
      </w:r>
      <w:r>
        <w:rPr>
          <w:rFonts w:ascii="Times New Roman" w:hAnsi="Times New Roman" w:eastAsia="方正仿宋_GBK"/>
          <w:b/>
          <w:bCs/>
          <w:color w:val="000000"/>
          <w:sz w:val="32"/>
          <w:szCs w:val="32"/>
        </w:rPr>
        <w:t>结转结余情况。</w:t>
      </w:r>
      <w:r>
        <w:rPr>
          <w:rFonts w:ascii="Times New Roman" w:hAnsi="Times New Roman" w:eastAsia="方正仿宋_GBK"/>
          <w:b w:val="0"/>
          <w:bCs w:val="0"/>
          <w:sz w:val="32"/>
          <w:szCs w:val="32"/>
        </w:rPr>
        <w:t>2024年度年末</w:t>
      </w:r>
      <w:r>
        <w:rPr>
          <w:rFonts w:hint="eastAsia" w:ascii="Times New Roman" w:hAnsi="Times New Roman" w:eastAsia="方正仿宋_GBK"/>
          <w:b w:val="0"/>
          <w:bCs w:val="0"/>
          <w:sz w:val="32"/>
          <w:szCs w:val="32"/>
        </w:rPr>
        <w:t>一般公共预算财政拨款</w:t>
      </w:r>
      <w:r>
        <w:rPr>
          <w:rFonts w:ascii="Times New Roman" w:hAnsi="Times New Roman" w:eastAsia="方正仿宋_GBK"/>
          <w:b w:val="0"/>
          <w:bCs w:val="0"/>
          <w:sz w:val="32"/>
          <w:szCs w:val="32"/>
        </w:rPr>
        <w:t>结转和结余</w:t>
      </w:r>
      <w:r>
        <w:rPr>
          <w:rFonts w:hint="eastAsia" w:ascii="Times New Roman" w:hAnsi="Times New Roman" w:eastAsia="方正仿宋_GBK"/>
          <w:b w:val="0"/>
          <w:bCs w:val="0"/>
          <w:sz w:val="32"/>
          <w:szCs w:val="32"/>
          <w:lang w:val="en-US" w:eastAsia="zh-CN"/>
        </w:rPr>
        <w:t>0</w:t>
      </w:r>
      <w:r>
        <w:rPr>
          <w:rFonts w:ascii="Times New Roman" w:hAnsi="Times New Roman" w:eastAsia="方正仿宋_GBK"/>
          <w:b w:val="0"/>
          <w:bCs w:val="0"/>
          <w:sz w:val="32"/>
          <w:szCs w:val="32"/>
        </w:rPr>
        <w:t>万元，</w:t>
      </w:r>
      <w:r>
        <w:rPr>
          <w:rFonts w:hint="eastAsia" w:ascii="Times New Roman" w:hAnsi="Times New Roman" w:eastAsia="方正仿宋_GBK"/>
          <w:b w:val="0"/>
          <w:bCs w:val="0"/>
          <w:sz w:val="32"/>
          <w:szCs w:val="32"/>
        </w:rPr>
        <w:t>与</w:t>
      </w:r>
      <w:r>
        <w:rPr>
          <w:rFonts w:ascii="Times New Roman" w:hAnsi="Times New Roman" w:eastAsia="方正仿宋_GBK"/>
          <w:b w:val="0"/>
          <w:bCs w:val="0"/>
          <w:sz w:val="32"/>
          <w:szCs w:val="32"/>
        </w:rPr>
        <w:t>上年决算数</w:t>
      </w:r>
      <w:r>
        <w:rPr>
          <w:rFonts w:hint="eastAsia" w:ascii="Times New Roman" w:hAnsi="Times New Roman" w:eastAsia="方正仿宋_GBK"/>
          <w:b w:val="0"/>
          <w:bCs w:val="0"/>
          <w:sz w:val="32"/>
          <w:szCs w:val="32"/>
        </w:rPr>
        <w:t>持平。</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（二）财政拨款收入支出决算总体情况说明</w:t>
      </w:r>
    </w:p>
    <w:p>
      <w:pPr>
        <w:keepNext w:val="0"/>
        <w:keepLines w:val="0"/>
        <w:pageBreakBefore w:val="0"/>
        <w:widowControl w:val="0"/>
        <w:kinsoku/>
        <w:overflowPunct/>
        <w:topLinePunct w:val="0"/>
        <w:autoSpaceDN/>
        <w:bidi w:val="0"/>
        <w:adjustRightInd/>
        <w:spacing w:line="595" w:lineRule="exact"/>
        <w:ind w:left="0" w:firstLine="800" w:firstLineChars="25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211.59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财政拨款收、支总计各减少1.66万元，下降0.8%</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（三）一般公共预算财政拨款收入支出决算情况说明</w:t>
      </w:r>
    </w:p>
    <w:p>
      <w:pPr>
        <w:keepNext w:val="0"/>
        <w:keepLines w:val="0"/>
        <w:pageBreakBefore w:val="0"/>
        <w:widowControl w:val="0"/>
        <w:kinsoku/>
        <w:overflowPunct/>
        <w:topLinePunct w:val="0"/>
        <w:autoSpaceDN/>
        <w:bidi w:val="0"/>
        <w:adjustRightInd/>
        <w:spacing w:line="595" w:lineRule="exact"/>
        <w:ind w:left="0" w:firstLine="803" w:firstLineChars="250"/>
        <w:jc w:val="both"/>
        <w:textAlignment w:val="auto"/>
        <w:rPr>
          <w:rFonts w:hint="eastAsia" w:ascii="Times New Roman" w:hAnsi="Times New Roman" w:eastAsia="方正仿宋_GBK" w:cs="Times New Roman"/>
          <w:color w:val="000000"/>
          <w:kern w:val="2"/>
          <w:sz w:val="32"/>
          <w:szCs w:val="32"/>
          <w:highlight w:val="none"/>
        </w:rPr>
      </w:pPr>
      <w:r>
        <w:rPr>
          <w:rStyle w:val="13"/>
          <w:rFonts w:hint="default" w:ascii="Times New Roman" w:hAnsi="Times New Roman" w:eastAsia="方正仿宋_GBK"/>
          <w:b/>
          <w:bCs w:val="0"/>
          <w:sz w:val="32"/>
          <w:szCs w:val="32"/>
          <w:shd w:val="clear" w:color="auto" w:fill="FFFFFF"/>
        </w:rPr>
        <w:t>1</w:t>
      </w:r>
      <w:r>
        <w:rPr>
          <w:rStyle w:val="13"/>
          <w:rFonts w:ascii="方正仿宋_GBK" w:hAnsi="方正仿宋_GBK" w:eastAsia="方正仿宋_GBK" w:cs="方正仿宋_GBK"/>
          <w:b/>
          <w:bCs w:val="0"/>
          <w:sz w:val="32"/>
          <w:szCs w:val="32"/>
          <w:shd w:val="clear" w:color="auto" w:fill="FFFFFF"/>
        </w:rPr>
        <w:t>.</w:t>
      </w:r>
      <w:r>
        <w:rPr>
          <w:rStyle w:val="13"/>
          <w:rFonts w:hint="eastAsia" w:ascii="方正仿宋_GBK" w:hAnsi="方正仿宋_GBK" w:eastAsia="方正仿宋_GBK" w:cs="方正仿宋_GBK"/>
          <w:b/>
          <w:bCs w:val="0"/>
          <w:sz w:val="32"/>
          <w:szCs w:val="32"/>
          <w:shd w:val="clear" w:color="auto" w:fill="FFFFFF"/>
          <w:lang w:val="en-US" w:eastAsia="zh-CN"/>
        </w:rPr>
        <w:t xml:space="preserve"> </w:t>
      </w:r>
      <w:r>
        <w:rPr>
          <w:rStyle w:val="13"/>
          <w:rFonts w:ascii="方正仿宋_GBK" w:hAnsi="方正仿宋_GBK" w:eastAsia="方正仿宋_GBK" w:cs="方正仿宋_GBK"/>
          <w:b/>
          <w:bCs w:val="0"/>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211.59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与2023年度相比，减少1.66万元，下降0.8%</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r>
        <w:rPr>
          <w:rFonts w:hint="default" w:ascii="Times New Roman" w:hAnsi="Times New Roman" w:eastAsia="方正仿宋_GBK"/>
          <w:sz w:val="32"/>
          <w:szCs w:val="32"/>
          <w:shd w:val="clear" w:color="auto" w:fill="FFFFFF"/>
        </w:rPr>
        <w:t>较年初预算数减少0.25万元，下降0.1%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r>
        <w:rPr>
          <w:rFonts w:ascii="Times New Roman" w:hAnsi="Times New Roman" w:eastAsia="方正仿宋_GBK"/>
          <w:sz w:val="32"/>
          <w:szCs w:val="32"/>
          <w:highlight w:val="none"/>
        </w:rPr>
        <w:t>此外，年初财政拨款结转和结余</w:t>
      </w:r>
      <w:r>
        <w:rPr>
          <w:rFonts w:hint="eastAsia" w:ascii="Times New Roman" w:hAnsi="Times New Roman" w:eastAsia="方正仿宋_GBK"/>
          <w:sz w:val="32"/>
          <w:szCs w:val="32"/>
          <w:highlight w:val="none"/>
          <w:lang w:val="en-US" w:eastAsia="zh-CN"/>
        </w:rPr>
        <w:t>0</w:t>
      </w:r>
      <w:r>
        <w:rPr>
          <w:rFonts w:ascii="Times New Roman" w:hAnsi="Times New Roman" w:eastAsia="方正仿宋_GBK"/>
          <w:sz w:val="32"/>
          <w:szCs w:val="32"/>
          <w:highlight w:val="none"/>
        </w:rPr>
        <w:t>万元。</w:t>
      </w:r>
    </w:p>
    <w:p>
      <w:pPr>
        <w:keepNext w:val="0"/>
        <w:keepLines w:val="0"/>
        <w:pageBreakBefore w:val="0"/>
        <w:widowControl w:val="0"/>
        <w:kinsoku/>
        <w:overflowPunct/>
        <w:topLinePunct w:val="0"/>
        <w:autoSpaceDN/>
        <w:bidi w:val="0"/>
        <w:adjustRightInd/>
        <w:spacing w:line="595" w:lineRule="exact"/>
        <w:ind w:left="0" w:firstLine="803" w:firstLineChars="250"/>
        <w:jc w:val="both"/>
        <w:textAlignment w:val="auto"/>
        <w:rPr>
          <w:rFonts w:hint="eastAsia" w:ascii="Times New Roman" w:hAnsi="Times New Roman" w:eastAsia="方正仿宋_GBK" w:cs="Times New Roman"/>
          <w:color w:val="EE822F" w:themeColor="accent2"/>
          <w:kern w:val="2"/>
          <w:sz w:val="32"/>
          <w:szCs w:val="32"/>
        </w:rPr>
      </w:pPr>
      <w:r>
        <w:rPr>
          <w:rFonts w:hint="eastAsia" w:ascii="Times New Roman" w:hAnsi="Times New Roman" w:eastAsia="方正仿宋_GBK" w:cs="Times New Roman"/>
          <w:b/>
          <w:bCs/>
          <w:color w:val="000000"/>
          <w:kern w:val="2"/>
          <w:sz w:val="32"/>
          <w:szCs w:val="32"/>
        </w:rPr>
        <w:t>2. 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211.59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与2023年度相比，减少1.66万元，下降0.8%</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r>
        <w:rPr>
          <w:rFonts w:hint="default" w:ascii="Times New Roman" w:hAnsi="Times New Roman" w:eastAsia="方正仿宋_GBK"/>
          <w:sz w:val="32"/>
          <w:szCs w:val="32"/>
          <w:shd w:val="clear" w:color="auto" w:fill="FFFFFF"/>
        </w:rPr>
        <w:t>较年初预算数减少0.25万元，下降0.1%</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5" w:lineRule="exact"/>
        <w:ind w:left="0"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5"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一般公共服务支出173.40万元，占82.0%，较年初预算数减少2.95万元，下降1.7%，</w:t>
      </w:r>
      <w:r>
        <w:rPr>
          <w:rFonts w:hint="eastAsia" w:ascii="Times New Roman" w:hAnsi="Times New Roman" w:eastAsia="方正仿宋_GBK" w:cs="Times New Roman"/>
          <w:bCs/>
          <w:color w:val="000000"/>
          <w:kern w:val="2"/>
          <w:sz w:val="32"/>
          <w:szCs w:val="32"/>
        </w:rPr>
        <w:t>主要原因是</w:t>
      </w:r>
      <w:r>
        <w:rPr>
          <w:rFonts w:hint="eastAsia" w:ascii="仿宋_GB2312" w:hAnsi="仿宋" w:eastAsia="仿宋_GB2312"/>
          <w:sz w:val="32"/>
          <w:szCs w:val="32"/>
          <w:lang w:val="en-US" w:eastAsia="zh-CN"/>
        </w:rPr>
        <w:t>本年度项目经费减少。</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就业支出22.55万元，占10.7%，较年初预算数增加5.14万元，增长29.5%，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相关标准调整变化</w:t>
      </w:r>
      <w:r>
        <w:rPr>
          <w:rFonts w:hint="eastAsia" w:ascii="Times New Roman" w:hAnsi="Times New Roman" w:eastAsia="方正仿宋_GBK" w:cs="Times New Roman"/>
          <w:color w:val="000000" w:themeColor="text1"/>
          <w:kern w:val="2"/>
          <w:sz w:val="32"/>
          <w:szCs w:val="32"/>
        </w:rPr>
        <w:t>。</w:t>
      </w:r>
    </w:p>
    <w:p>
      <w:pPr>
        <w:pStyle w:val="9"/>
        <w:keepNext w:val="0"/>
        <w:keepLines w:val="0"/>
        <w:pageBreakBefore w:val="0"/>
        <w:numPr>
          <w:ilvl w:val="0"/>
          <w:numId w:val="0"/>
        </w:numPr>
        <w:kinsoku/>
        <w:overflowPunct/>
        <w:topLinePunct w:val="0"/>
        <w:autoSpaceDN/>
        <w:bidi w:val="0"/>
        <w:adjustRightInd/>
        <w:snapToGrid w:val="0"/>
        <w:spacing w:before="0" w:beforeAutospacing="0" w:after="0" w:afterAutospacing="0" w:line="595" w:lineRule="exact"/>
        <w:ind w:left="0" w:left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）卫生健康支出8.02万元，占3.8%，较年初预算数减少</w:t>
      </w:r>
    </w:p>
    <w:p>
      <w:pPr>
        <w:pStyle w:val="9"/>
        <w:keepNext w:val="0"/>
        <w:keepLines w:val="0"/>
        <w:pageBreakBefore w:val="0"/>
        <w:numPr>
          <w:ilvl w:val="0"/>
          <w:numId w:val="0"/>
        </w:numPr>
        <w:kinsoku/>
        <w:overflowPunct/>
        <w:topLinePunct w:val="0"/>
        <w:autoSpaceDN/>
        <w:bidi w:val="0"/>
        <w:adjustRightInd/>
        <w:snapToGrid w:val="0"/>
        <w:spacing w:before="0" w:beforeAutospacing="0" w:after="0" w:afterAutospacing="0" w:line="595" w:lineRule="exact"/>
        <w:ind w:left="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1.05万元，下降11.6%，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相关标准调整变化</w:t>
      </w:r>
      <w:r>
        <w:rPr>
          <w:rFonts w:hint="eastAsia" w:ascii="Times New Roman" w:hAnsi="Times New Roman" w:eastAsia="方正仿宋_GBK" w:cs="Times New Roman"/>
          <w:color w:val="000000" w:themeColor="text1"/>
          <w:kern w:val="2"/>
          <w:sz w:val="32"/>
          <w:szCs w:val="32"/>
        </w:rPr>
        <w:t>。</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lang w:val="en-US" w:eastAsia="zh-CN"/>
        </w:rPr>
        <w:t>4</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rPr>
        <w:t>住房保障支出</w:t>
      </w:r>
      <w:r>
        <w:rPr>
          <w:rFonts w:hint="default" w:ascii="Times New Roman" w:hAnsi="Times New Roman" w:eastAsia="方正仿宋_GBK" w:cs="Times New Roman"/>
          <w:color w:val="000000" w:themeColor="text1"/>
          <w:sz w:val="32"/>
          <w:szCs w:val="32"/>
          <w:shd w:val="clear" w:color="auto" w:fill="FFFFFF"/>
        </w:rPr>
        <w:t>7.61万元，占3.6%，较年初预算数减少1.41万元，下降15.6%，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相关标准调整变化</w:t>
      </w:r>
      <w:r>
        <w:rPr>
          <w:rFonts w:hint="eastAsia" w:ascii="Times New Roman" w:hAnsi="Times New Roman" w:eastAsia="方正仿宋_GBK" w:cs="Times New Roman"/>
          <w:color w:val="000000" w:themeColor="text1"/>
          <w:kern w:val="2"/>
          <w:sz w:val="32"/>
          <w:szCs w:val="32"/>
        </w:rPr>
        <w:t>。</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3" w:firstLineChars="200"/>
        <w:jc w:val="both"/>
        <w:textAlignment w:val="auto"/>
        <w:rPr>
          <w:rFonts w:ascii="Times New Roman" w:hAnsi="Times New Roman" w:eastAsia="方正仿宋_GBK"/>
          <w:bCs/>
          <w:color w:val="000000"/>
          <w:sz w:val="32"/>
          <w:szCs w:val="32"/>
        </w:rPr>
      </w:pPr>
      <w:r>
        <w:rPr>
          <w:rFonts w:ascii="Times New Roman" w:hAnsi="Times New Roman" w:eastAsia="方正仿宋_GBK"/>
          <w:b/>
          <w:bCs w:val="0"/>
          <w:color w:val="000000"/>
          <w:sz w:val="32"/>
          <w:szCs w:val="32"/>
        </w:rPr>
        <w:t>3</w:t>
      </w:r>
      <w:r>
        <w:rPr>
          <w:rFonts w:hint="eastAsia" w:ascii="Times New Roman" w:hAnsi="Times New Roman" w:eastAsia="方正仿宋_GBK"/>
          <w:b/>
          <w:bCs w:val="0"/>
          <w:color w:val="000000"/>
          <w:sz w:val="32"/>
          <w:szCs w:val="32"/>
        </w:rPr>
        <w:t>．</w:t>
      </w:r>
      <w:r>
        <w:rPr>
          <w:rFonts w:ascii="Times New Roman" w:hAnsi="Times New Roman" w:eastAsia="方正仿宋_GBK"/>
          <w:b/>
          <w:bCs w:val="0"/>
          <w:color w:val="000000"/>
          <w:sz w:val="32"/>
          <w:szCs w:val="32"/>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b w:val="0"/>
          <w:bCs w:val="0"/>
          <w:sz w:val="32"/>
          <w:szCs w:val="32"/>
        </w:rPr>
        <w:t>与</w:t>
      </w:r>
      <w:r>
        <w:rPr>
          <w:rFonts w:ascii="Times New Roman" w:hAnsi="Times New Roman" w:eastAsia="方正仿宋_GBK"/>
          <w:b w:val="0"/>
          <w:bCs w:val="0"/>
          <w:sz w:val="32"/>
          <w:szCs w:val="32"/>
        </w:rPr>
        <w:t>上年决算数</w:t>
      </w:r>
      <w:r>
        <w:rPr>
          <w:rFonts w:hint="eastAsia" w:ascii="Times New Roman" w:hAnsi="Times New Roman" w:eastAsia="方正仿宋_GBK"/>
          <w:b w:val="0"/>
          <w:bCs w:val="0"/>
          <w:sz w:val="32"/>
          <w:szCs w:val="32"/>
        </w:rPr>
        <w:t>持平。</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（四）一般公共预算财政拨款基本支出决算情况说明</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color w:val="000000"/>
          <w:kern w:val="2"/>
          <w:sz w:val="32"/>
          <w:szCs w:val="32"/>
        </w:rPr>
        <w:t> </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196.59</w:t>
      </w:r>
      <w:r>
        <w:rPr>
          <w:rFonts w:ascii="方正仿宋_GBK" w:hAnsi="方正仿宋_GBK" w:eastAsia="方正仿宋_GBK" w:cs="方正仿宋_GBK"/>
          <w:sz w:val="32"/>
          <w:szCs w:val="32"/>
          <w:shd w:val="clear" w:color="auto" w:fill="FFFFFF"/>
        </w:rPr>
        <w:t>万元。其中：</w:t>
      </w:r>
    </w:p>
    <w:p>
      <w:pPr>
        <w:keepNext w:val="0"/>
        <w:keepLines w:val="0"/>
        <w:pageBreakBefore w:val="0"/>
        <w:widowControl w:val="0"/>
        <w:kinsoku/>
        <w:overflowPunct/>
        <w:topLinePunct w:val="0"/>
        <w:autoSpaceDN/>
        <w:bidi w:val="0"/>
        <w:adjustRightInd/>
        <w:spacing w:line="595" w:lineRule="exact"/>
        <w:ind w:left="0" w:firstLine="800" w:firstLineChars="25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177.95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与2023年度相比，减少4.19万元，下降2.3%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相关经费标准变化导</w:t>
      </w:r>
      <w:r>
        <w:rPr>
          <w:rFonts w:hint="eastAsia" w:ascii="方正仿宋_GBK" w:hAnsi="方正仿宋_GBK" w:eastAsia="方正仿宋_GBK" w:cs="方正仿宋_GBK"/>
          <w:color w:val="000000" w:themeColor="text1"/>
          <w:sz w:val="32"/>
          <w:szCs w:val="32"/>
          <w:shd w:val="clear" w:color="auto" w:fill="FFFFFF"/>
          <w:lang w:eastAsia="zh-CN"/>
        </w:rPr>
        <w:t>致</w:t>
      </w:r>
      <w:r>
        <w:rPr>
          <w:rFonts w:hint="eastAsia" w:ascii="Times New Roman" w:hAnsi="Times New Roman" w:eastAsia="方正仿宋_GBK" w:cs="Times New Roman"/>
          <w:color w:val="000000" w:themeColor="text1"/>
          <w:kern w:val="2"/>
          <w:sz w:val="32"/>
          <w:szCs w:val="32"/>
        </w:rPr>
        <w:t>。</w:t>
      </w:r>
      <w:r>
        <w:rPr>
          <w:rFonts w:ascii="Times New Roman" w:hAnsi="Times New Roman" w:eastAsia="方正仿宋_GBK"/>
          <w:color w:val="000000" w:themeColor="text1"/>
          <w:sz w:val="32"/>
          <w:szCs w:val="32"/>
        </w:rPr>
        <w:t>人员经费用途主要包括</w:t>
      </w:r>
      <w:r>
        <w:rPr>
          <w:rFonts w:hint="eastAsia" w:ascii="Times New Roman" w:hAnsi="Times New Roman" w:eastAsia="方正仿宋_GBK"/>
          <w:color w:val="000000" w:themeColor="text1"/>
          <w:sz w:val="32"/>
          <w:szCs w:val="32"/>
        </w:rPr>
        <w:t>基本工资、</w:t>
      </w:r>
      <w:r>
        <w:rPr>
          <w:rFonts w:hint="eastAsia" w:ascii="Times New Roman" w:hAnsi="Times New Roman" w:eastAsia="方正仿宋_GBK"/>
          <w:color w:val="000000" w:themeColor="text1"/>
          <w:sz w:val="32"/>
          <w:szCs w:val="32"/>
          <w:lang w:eastAsia="zh-CN"/>
        </w:rPr>
        <w:t>绩效工资、</w:t>
      </w:r>
      <w:r>
        <w:rPr>
          <w:rFonts w:hint="eastAsia" w:ascii="Times New Roman" w:hAnsi="Times New Roman" w:eastAsia="方正仿宋_GBK" w:cs="Times New Roman"/>
          <w:color w:val="auto"/>
          <w:sz w:val="32"/>
          <w:szCs w:val="32"/>
          <w:shd w:val="clear" w:color="auto" w:fill="FFFFFF"/>
          <w:lang w:eastAsia="zh-CN"/>
        </w:rPr>
        <w:t>社会保障缴费等支出。</w:t>
      </w:r>
    </w:p>
    <w:p>
      <w:pPr>
        <w:keepNext w:val="0"/>
        <w:keepLines w:val="0"/>
        <w:pageBreakBefore w:val="0"/>
        <w:widowControl w:val="0"/>
        <w:kinsoku/>
        <w:overflowPunct/>
        <w:topLinePunct w:val="0"/>
        <w:autoSpaceDN/>
        <w:bidi w:val="0"/>
        <w:adjustRightInd/>
        <w:spacing w:line="595" w:lineRule="exact"/>
        <w:ind w:left="0" w:firstLine="800" w:firstLineChars="250"/>
        <w:jc w:val="both"/>
        <w:textAlignment w:val="auto"/>
        <w:rPr>
          <w:rFonts w:hint="eastAsia" w:ascii="Times New Roman" w:hAnsi="Times New Roman" w:eastAsia="方正仿宋_GBK" w:cs="Times New Roman"/>
          <w:b/>
          <w:color w:val="000000" w:themeColor="text1"/>
          <w:kern w:val="2"/>
          <w:sz w:val="32"/>
          <w:szCs w:val="32"/>
          <w:highlight w:val="yellow"/>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18.63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与2023年度相比，增加3.10万元，增长20.0%</w:t>
      </w:r>
      <w:r>
        <w:rPr>
          <w:rFonts w:hint="eastAsia"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themeColor="text1"/>
          <w:kern w:val="2"/>
          <w:sz w:val="32"/>
          <w:szCs w:val="32"/>
        </w:rPr>
        <w:t>主要原因</w:t>
      </w:r>
      <w:r>
        <w:rPr>
          <w:rFonts w:hint="eastAsia" w:ascii="Times New Roman" w:hAnsi="Times New Roman" w:eastAsia="方正仿宋_GBK" w:cs="Times New Roman"/>
          <w:color w:val="000000" w:themeColor="text1"/>
          <w:kern w:val="2"/>
          <w:sz w:val="32"/>
          <w:szCs w:val="32"/>
          <w:lang w:eastAsia="zh-CN"/>
        </w:rPr>
        <w:t>本年度人员</w:t>
      </w:r>
      <w:r>
        <w:rPr>
          <w:rFonts w:hint="eastAsia" w:ascii="Times New Roman" w:hAnsi="Times New Roman" w:eastAsia="方正仿宋_GBK" w:cs="Times New Roman"/>
          <w:color w:val="auto"/>
          <w:sz w:val="32"/>
          <w:szCs w:val="32"/>
          <w:shd w:val="clear" w:color="auto" w:fill="FFFFFF"/>
          <w:lang w:eastAsia="zh-CN"/>
        </w:rPr>
        <w:t>增加，加大了公用经费开支。</w:t>
      </w:r>
      <w:r>
        <w:rPr>
          <w:rFonts w:ascii="Times New Roman" w:hAnsi="Times New Roman" w:eastAsia="方正仿宋_GBK"/>
          <w:color w:val="000000" w:themeColor="text1"/>
          <w:sz w:val="32"/>
          <w:szCs w:val="32"/>
        </w:rPr>
        <w:t>公用经费用途主要包括</w:t>
      </w:r>
      <w:r>
        <w:rPr>
          <w:rFonts w:hint="eastAsia" w:ascii="Times New Roman" w:hAnsi="Times New Roman" w:eastAsia="方正仿宋_GBK"/>
          <w:color w:val="000000" w:themeColor="text1"/>
          <w:sz w:val="32"/>
          <w:szCs w:val="32"/>
        </w:rPr>
        <w:t>办公费、印刷费、劳务费、福利费、邮电费、差旅费、公务用车运行维护费等</w:t>
      </w:r>
      <w:r>
        <w:rPr>
          <w:rFonts w:hint="eastAsia" w:ascii="Times New Roman" w:hAnsi="Times New Roman" w:eastAsia="方正仿宋_GBK" w:cs="Times New Roman"/>
          <w:bCs/>
          <w:color w:val="000000" w:themeColor="text1"/>
          <w:kern w:val="2"/>
          <w:sz w:val="32"/>
          <w:szCs w:val="32"/>
        </w:rPr>
        <w:t>。</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（五）政府性基金预算收支决算情况说明</w:t>
      </w:r>
    </w:p>
    <w:p>
      <w:pPr>
        <w:keepNext w:val="0"/>
        <w:keepLines w:val="0"/>
        <w:pageBreakBefore w:val="0"/>
        <w:widowControl w:val="0"/>
        <w:kinsoku/>
        <w:overflowPunct/>
        <w:topLinePunct w:val="0"/>
        <w:autoSpaceDN/>
        <w:bidi w:val="0"/>
        <w:adjustRightInd/>
        <w:spacing w:line="595" w:lineRule="exact"/>
        <w:ind w:left="0" w:firstLine="640" w:firstLineChars="200"/>
        <w:jc w:val="both"/>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本</w:t>
      </w:r>
      <w:r>
        <w:rPr>
          <w:rFonts w:hint="eastAsia" w:ascii="Times New Roman" w:hAnsi="Times New Roman" w:eastAsia="方正仿宋_GBK" w:cs="Times New Roman"/>
          <w:color w:val="000000"/>
          <w:kern w:val="2"/>
          <w:sz w:val="32"/>
          <w:szCs w:val="32"/>
          <w:lang w:eastAsia="zh-CN"/>
        </w:rPr>
        <w:t>单位</w:t>
      </w:r>
      <w:r>
        <w:rPr>
          <w:rFonts w:ascii="Times New Roman" w:hAnsi="Times New Roman" w:eastAsia="方正仿宋_GBK" w:cs="Times New Roman"/>
          <w:color w:val="000000"/>
          <w:kern w:val="2"/>
          <w:sz w:val="32"/>
          <w:szCs w:val="32"/>
        </w:rPr>
        <w:t>202</w:t>
      </w:r>
      <w:r>
        <w:rPr>
          <w:rFonts w:hint="eastAsia" w:ascii="Times New Roman" w:hAnsi="Times New Roman" w:eastAsia="方正仿宋_GBK" w:cs="Times New Roman"/>
          <w:color w:val="000000"/>
          <w:kern w:val="2"/>
          <w:sz w:val="32"/>
          <w:szCs w:val="32"/>
          <w:lang w:val="en-US" w:eastAsia="zh-CN"/>
        </w:rPr>
        <w:t>4</w:t>
      </w:r>
      <w:r>
        <w:rPr>
          <w:rFonts w:ascii="Times New Roman" w:hAnsi="Times New Roman" w:eastAsia="方正仿宋_GBK" w:cs="Times New Roman"/>
          <w:color w:val="000000"/>
          <w:kern w:val="2"/>
          <w:sz w:val="32"/>
          <w:szCs w:val="32"/>
        </w:rPr>
        <w:t>年度无政府性基金预算财政拨款收支。</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（六）国有资本经营预算财政拨款支出决算情况说明</w:t>
      </w:r>
    </w:p>
    <w:p>
      <w:pPr>
        <w:keepNext w:val="0"/>
        <w:keepLines w:val="0"/>
        <w:pageBreakBefore w:val="0"/>
        <w:widowControl w:val="0"/>
        <w:kinsoku/>
        <w:overflowPunct/>
        <w:topLinePunct w:val="0"/>
        <w:autoSpaceDN/>
        <w:bidi w:val="0"/>
        <w:adjustRightInd/>
        <w:spacing w:line="595" w:lineRule="exact"/>
        <w:ind w:left="0" w:firstLine="640" w:firstLineChars="200"/>
        <w:jc w:val="both"/>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本</w:t>
      </w:r>
      <w:r>
        <w:rPr>
          <w:rFonts w:hint="eastAsia" w:ascii="Times New Roman" w:hAnsi="Times New Roman" w:eastAsia="方正仿宋_GBK" w:cs="Times New Roman"/>
          <w:color w:val="000000"/>
          <w:kern w:val="2"/>
          <w:sz w:val="32"/>
          <w:szCs w:val="32"/>
          <w:lang w:eastAsia="zh-CN"/>
        </w:rPr>
        <w:t>单位</w:t>
      </w:r>
      <w:r>
        <w:rPr>
          <w:rFonts w:ascii="Times New Roman" w:hAnsi="Times New Roman" w:eastAsia="方正仿宋_GBK" w:cs="Times New Roman"/>
          <w:color w:val="000000"/>
          <w:kern w:val="2"/>
          <w:sz w:val="32"/>
          <w:szCs w:val="32"/>
        </w:rPr>
        <w:t>202</w:t>
      </w:r>
      <w:r>
        <w:rPr>
          <w:rFonts w:hint="eastAsia" w:ascii="Times New Roman" w:hAnsi="Times New Roman" w:eastAsia="方正仿宋_GBK" w:cs="Times New Roman"/>
          <w:color w:val="000000"/>
          <w:kern w:val="2"/>
          <w:sz w:val="32"/>
          <w:szCs w:val="32"/>
          <w:lang w:val="en-US" w:eastAsia="zh-CN"/>
        </w:rPr>
        <w:t>4</w:t>
      </w:r>
      <w:r>
        <w:rPr>
          <w:rFonts w:ascii="Times New Roman" w:hAnsi="Times New Roman" w:eastAsia="方正仿宋_GBK" w:cs="Times New Roman"/>
          <w:color w:val="000000"/>
          <w:kern w:val="2"/>
          <w:sz w:val="32"/>
          <w:szCs w:val="32"/>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（一）“三公”经费支出总体情况说明</w:t>
      </w:r>
    </w:p>
    <w:p>
      <w:pPr>
        <w:keepNext w:val="0"/>
        <w:keepLines/>
        <w:pageBreakBefore w:val="0"/>
        <w:widowControl/>
        <w:kinsoku/>
        <w:wordWrap w:val="0"/>
        <w:overflowPunct/>
        <w:topLinePunct w:val="0"/>
        <w:autoSpaceDE/>
        <w:autoSpaceDN/>
        <w:bidi w:val="0"/>
        <w:adjustRightInd/>
        <w:snapToGrid/>
        <w:spacing w:line="595" w:lineRule="exact"/>
        <w:ind w:left="0" w:firstLine="640" w:firstLineChars="200"/>
        <w:textAlignment w:val="auto"/>
        <w:rPr>
          <w:rFonts w:ascii="Times New Roman" w:hAnsi="Times New Roman" w:eastAsia="方正仿宋_GBK"/>
          <w:color w:val="EE822F" w:themeColor="accent2"/>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较年初预算数减少4.71万元，下降65.4%</w:t>
      </w:r>
      <w:r>
        <w:rPr>
          <w:rFonts w:hint="eastAsia" w:ascii="Times New Roman" w:hAnsi="Times New Roman" w:eastAsia="方正仿宋_GBK"/>
          <w:color w:val="000000"/>
          <w:sz w:val="32"/>
          <w:szCs w:val="32"/>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进一步加强管理，严格控制公务用车出行次数。</w:t>
      </w:r>
      <w:r>
        <w:rPr>
          <w:rFonts w:hint="default" w:ascii="Times New Roman" w:hAnsi="Times New Roman" w:eastAsia="方正仿宋_GBK"/>
          <w:sz w:val="32"/>
          <w:szCs w:val="32"/>
          <w:shd w:val="clear" w:color="auto" w:fill="FFFFFF"/>
        </w:rPr>
        <w:t>较上年支出数减少2.99万元，下降54.6%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进一步加强管理，严格控制公务用车出行次数。</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eastAsia" w:ascii="Times New Roman" w:hAnsi="Times New Roman" w:eastAsia="方正仿宋_GBK"/>
          <w:color w:val="auto"/>
          <w:sz w:val="32"/>
          <w:szCs w:val="32"/>
          <w:shd w:val="clear" w:color="auto" w:fill="FFFFFF"/>
          <w:lang w:eastAsia="zh-CN"/>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因公出国（境）费用</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万元，费用支出</w:t>
      </w:r>
      <w:r>
        <w:rPr>
          <w:rFonts w:hint="default" w:ascii="Times New Roman" w:hAnsi="Times New Roman" w:eastAsia="方正仿宋_GBK"/>
          <w:color w:val="auto"/>
          <w:sz w:val="32"/>
          <w:szCs w:val="32"/>
          <w:shd w:val="clear" w:color="auto" w:fill="FFFFFF"/>
        </w:rPr>
        <w:t>较年初预算数</w:t>
      </w:r>
      <w:r>
        <w:rPr>
          <w:rFonts w:hint="eastAsia" w:ascii="Times New Roman" w:hAnsi="Times New Roman" w:eastAsia="方正仿宋_GBK"/>
          <w:color w:val="auto"/>
          <w:sz w:val="32"/>
          <w:szCs w:val="32"/>
          <w:shd w:val="clear" w:color="auto" w:fill="FFFFFF"/>
          <w:lang w:eastAsia="zh-CN"/>
        </w:rPr>
        <w:t>和</w:t>
      </w:r>
      <w:r>
        <w:rPr>
          <w:rFonts w:hint="default" w:ascii="Times New Roman" w:hAnsi="Times New Roman" w:eastAsia="方正仿宋_GBK"/>
          <w:color w:val="auto"/>
          <w:sz w:val="32"/>
          <w:szCs w:val="32"/>
          <w:shd w:val="clear" w:color="auto" w:fill="FFFFFF"/>
        </w:rPr>
        <w:t>上年支出数无增减</w:t>
      </w:r>
      <w:r>
        <w:rPr>
          <w:rFonts w:hint="eastAsia" w:ascii="Times New Roman" w:hAnsi="Times New Roman" w:eastAsia="方正仿宋_GBK"/>
          <w:color w:val="auto"/>
          <w:sz w:val="32"/>
          <w:szCs w:val="32"/>
          <w:shd w:val="clear" w:color="auto" w:fill="FFFFFF"/>
          <w:lang w:eastAsia="zh-CN"/>
        </w:rPr>
        <w:t>。</w:t>
      </w:r>
      <w:r>
        <w:rPr>
          <w:rFonts w:hint="eastAsia" w:ascii="方正仿宋_GBK" w:hAnsi="方正仿宋_GBK" w:eastAsia="方正仿宋_GBK" w:cs="方正仿宋_GBK"/>
          <w:color w:val="000000" w:themeColor="text1"/>
          <w:kern w:val="2"/>
          <w:sz w:val="32"/>
          <w:szCs w:val="32"/>
          <w:lang w:val="en-US" w:eastAsia="zh-CN"/>
        </w:rPr>
        <w:t>与上年</w:t>
      </w:r>
      <w:r>
        <w:rPr>
          <w:rFonts w:hint="eastAsia" w:ascii="方正仿宋_GBK" w:hAnsi="方正仿宋_GBK" w:eastAsia="方正仿宋_GBK" w:cs="方正仿宋_GBK"/>
          <w:b w:val="0"/>
          <w:bCs w:val="0"/>
          <w:color w:val="000000" w:themeColor="text1"/>
          <w:kern w:val="2"/>
          <w:sz w:val="32"/>
          <w:szCs w:val="32"/>
        </w:rPr>
        <w:t>决算数</w:t>
      </w:r>
      <w:r>
        <w:rPr>
          <w:rFonts w:hint="eastAsia" w:ascii="方正仿宋_GBK" w:hAnsi="方正仿宋_GBK" w:eastAsia="方正仿宋_GBK" w:cs="方正仿宋_GBK"/>
          <w:b w:val="0"/>
          <w:bCs w:val="0"/>
          <w:color w:val="000000" w:themeColor="text1"/>
          <w:kern w:val="2"/>
          <w:sz w:val="32"/>
          <w:szCs w:val="32"/>
          <w:lang w:val="en-US" w:eastAsia="zh-CN"/>
        </w:rPr>
        <w:t>持</w:t>
      </w:r>
      <w:r>
        <w:rPr>
          <w:rFonts w:hint="eastAsia" w:ascii="方正仿宋_GBK" w:hAnsi="方正仿宋_GBK" w:eastAsia="方正仿宋_GBK" w:cs="方正仿宋_GBK"/>
          <w:color w:val="000000" w:themeColor="text1"/>
          <w:kern w:val="2"/>
          <w:sz w:val="32"/>
          <w:szCs w:val="32"/>
          <w:lang w:val="en-US" w:eastAsia="zh-CN"/>
        </w:rPr>
        <w:t>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95" w:lineRule="exact"/>
        <w:ind w:righ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w:t>
      </w:r>
      <w:r>
        <w:rPr>
          <w:rFonts w:hint="eastAsia" w:ascii="Times New Roman" w:hAnsi="Times New Roman" w:eastAsia="方正仿宋_GBK"/>
          <w:color w:val="auto"/>
          <w:sz w:val="32"/>
          <w:szCs w:val="32"/>
          <w:shd w:val="clear" w:color="auto" w:fill="FFFFFF"/>
          <w:lang w:eastAsia="zh-CN"/>
        </w:rPr>
        <w:t>和</w:t>
      </w:r>
      <w:r>
        <w:rPr>
          <w:rFonts w:hint="default" w:ascii="Times New Roman" w:hAnsi="Times New Roman" w:eastAsia="方正仿宋_GBK"/>
          <w:color w:val="auto"/>
          <w:sz w:val="32"/>
          <w:szCs w:val="32"/>
          <w:shd w:val="clear" w:color="auto" w:fill="FFFFFF"/>
        </w:rPr>
        <w:t>上年支出数无增减</w:t>
      </w:r>
      <w:r>
        <w:rPr>
          <w:rFonts w:hint="eastAsia" w:ascii="Times New Roman" w:hAnsi="Times New Roman" w:eastAsia="方正仿宋_GBK"/>
          <w:color w:val="auto"/>
          <w:sz w:val="32"/>
          <w:szCs w:val="32"/>
          <w:shd w:val="clear" w:color="auto" w:fill="FFFFFF"/>
          <w:lang w:eastAsia="zh-CN"/>
        </w:rPr>
        <w:t>。</w:t>
      </w:r>
      <w:r>
        <w:rPr>
          <w:rFonts w:hint="eastAsia" w:ascii="方正仿宋_GBK" w:hAnsi="方正仿宋_GBK" w:eastAsia="方正仿宋_GBK" w:cs="方正仿宋_GBK"/>
          <w:color w:val="000000" w:themeColor="text1"/>
          <w:kern w:val="2"/>
          <w:sz w:val="32"/>
          <w:szCs w:val="32"/>
          <w:lang w:val="en-US" w:eastAsia="zh-CN"/>
        </w:rPr>
        <w:t>与上年</w:t>
      </w:r>
      <w:r>
        <w:rPr>
          <w:rFonts w:hint="eastAsia" w:ascii="方正仿宋_GBK" w:hAnsi="方正仿宋_GBK" w:eastAsia="方正仿宋_GBK" w:cs="方正仿宋_GBK"/>
          <w:b w:val="0"/>
          <w:bCs w:val="0"/>
          <w:color w:val="000000" w:themeColor="text1"/>
          <w:kern w:val="2"/>
          <w:sz w:val="32"/>
          <w:szCs w:val="32"/>
        </w:rPr>
        <w:t>决算数</w:t>
      </w:r>
      <w:r>
        <w:rPr>
          <w:rFonts w:hint="eastAsia" w:ascii="方正仿宋_GBK" w:hAnsi="方正仿宋_GBK" w:eastAsia="方正仿宋_GBK" w:cs="方正仿宋_GBK"/>
          <w:b w:val="0"/>
          <w:bCs w:val="0"/>
          <w:color w:val="000000" w:themeColor="text1"/>
          <w:kern w:val="2"/>
          <w:sz w:val="32"/>
          <w:szCs w:val="32"/>
          <w:lang w:val="en-US" w:eastAsia="zh-CN"/>
        </w:rPr>
        <w:t>持</w:t>
      </w:r>
      <w:r>
        <w:rPr>
          <w:rFonts w:hint="eastAsia" w:ascii="方正仿宋_GBK" w:hAnsi="方正仿宋_GBK" w:eastAsia="方正仿宋_GBK" w:cs="方正仿宋_GBK"/>
          <w:color w:val="000000" w:themeColor="text1"/>
          <w:kern w:val="2"/>
          <w:sz w:val="32"/>
          <w:szCs w:val="32"/>
          <w:lang w:val="en-US" w:eastAsia="zh-CN"/>
        </w:rPr>
        <w:t>平。</w:t>
      </w:r>
    </w:p>
    <w:p>
      <w:pPr>
        <w:keepNext w:val="0"/>
        <w:keepLines w:val="0"/>
        <w:pageBreakBefore w:val="0"/>
        <w:widowControl/>
        <w:kinsoku/>
        <w:overflowPunct/>
        <w:topLinePunct w:val="0"/>
        <w:autoSpaceDE/>
        <w:autoSpaceDN/>
        <w:bidi w:val="0"/>
        <w:adjustRightInd/>
        <w:snapToGrid/>
        <w:spacing w:line="595" w:lineRule="exact"/>
        <w:ind w:left="0" w:firstLine="640" w:firstLineChars="200"/>
        <w:textAlignment w:val="auto"/>
        <w:rPr>
          <w:rFonts w:ascii="Times New Roman" w:hAnsi="Times New Roman" w:eastAsia="方正仿宋_GBK"/>
          <w:color w:val="EE822F" w:themeColor="accent2"/>
          <w:sz w:val="32"/>
          <w:szCs w:val="32"/>
          <w:highlight w:val="none"/>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2.49</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themeColor="text1"/>
          <w:sz w:val="32"/>
          <w:szCs w:val="32"/>
          <w:shd w:val="clear" w:color="auto" w:fill="FFFFFF"/>
        </w:rPr>
        <w:t>主要用于</w:t>
      </w:r>
      <w:r>
        <w:rPr>
          <w:rFonts w:ascii="Times New Roman" w:hAnsi="Times New Roman" w:eastAsia="方正仿宋_GBK"/>
          <w:color w:val="000000" w:themeColor="text1"/>
          <w:sz w:val="32"/>
          <w:szCs w:val="32"/>
        </w:rPr>
        <w:t>工作所需车辆的燃料费、维修费、过桥过路费、保险费等</w:t>
      </w:r>
      <w:r>
        <w:rPr>
          <w:rFonts w:hint="eastAsia" w:ascii="Times New Roman" w:hAnsi="Times New Roman" w:eastAsia="方正仿宋_GBK"/>
          <w:color w:val="000000" w:themeColor="text1"/>
          <w:sz w:val="32"/>
          <w:szCs w:val="32"/>
        </w:rPr>
        <w:t>费用。</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较年初预算数减少4.21万元，下降62.8%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进一步加强管理，严格控制公务用车出行次数。</w:t>
      </w:r>
      <w:r>
        <w:rPr>
          <w:rFonts w:hint="default" w:ascii="Times New Roman" w:hAnsi="Times New Roman" w:eastAsia="方正仿宋_GBK"/>
          <w:sz w:val="32"/>
          <w:szCs w:val="32"/>
          <w:shd w:val="clear" w:color="auto" w:fill="FFFFFF"/>
        </w:rPr>
        <w:t>较上年支出数减少2.99万元，下降54.6%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根据资金使用情况，进行合理调配。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95" w:lineRule="exact"/>
        <w:ind w:right="0" w:firstLine="640" w:firstLineChars="200"/>
        <w:jc w:val="both"/>
        <w:textAlignment w:val="auto"/>
        <w:rPr>
          <w:rFonts w:ascii="Times New Roman" w:hAnsi="Times New Roman" w:eastAsia="方正仿宋_GBK"/>
          <w:color w:val="000000" w:themeColor="text1"/>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w:t>
      </w:r>
      <w:r>
        <w:rPr>
          <w:rFonts w:hint="eastAsia" w:ascii="Times New Roman" w:hAnsi="Times New Roman" w:eastAsia="方正仿宋_GBK"/>
          <w:color w:val="auto"/>
          <w:sz w:val="32"/>
          <w:szCs w:val="32"/>
          <w:shd w:val="clear" w:color="auto" w:fill="FFFFFF"/>
          <w:lang w:eastAsia="zh-CN"/>
        </w:rPr>
        <w:t>和</w:t>
      </w:r>
      <w:r>
        <w:rPr>
          <w:rFonts w:hint="default" w:ascii="Times New Roman" w:hAnsi="Times New Roman" w:eastAsia="方正仿宋_GBK"/>
          <w:color w:val="auto"/>
          <w:sz w:val="32"/>
          <w:szCs w:val="32"/>
          <w:shd w:val="clear" w:color="auto" w:fill="FFFFFF"/>
        </w:rPr>
        <w:t>上年支出数无增减</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s="Times New Roman"/>
          <w:color w:val="000000"/>
          <w:kern w:val="2"/>
          <w:sz w:val="32"/>
          <w:szCs w:val="32"/>
          <w:lang w:val="en-US" w:eastAsia="zh-CN"/>
        </w:rPr>
        <w:t>与上</w:t>
      </w:r>
      <w:r>
        <w:rPr>
          <w:rFonts w:hint="eastAsia" w:ascii="Times New Roman" w:hAnsi="Times New Roman" w:eastAsia="方正仿宋_GBK" w:cs="Times New Roman"/>
          <w:b w:val="0"/>
          <w:bCs w:val="0"/>
          <w:color w:val="000000" w:themeColor="text1"/>
          <w:kern w:val="2"/>
          <w:sz w:val="32"/>
          <w:szCs w:val="32"/>
          <w:lang w:val="en-US" w:eastAsia="zh-CN"/>
        </w:rPr>
        <w:t>年</w:t>
      </w:r>
      <w:r>
        <w:rPr>
          <w:rFonts w:hint="eastAsia" w:ascii="Times New Roman" w:hAnsi="Times New Roman" w:eastAsia="方正仿宋_GBK" w:cs="Times New Roman"/>
          <w:b w:val="0"/>
          <w:bCs w:val="0"/>
          <w:color w:val="000000" w:themeColor="text1"/>
          <w:kern w:val="2"/>
          <w:sz w:val="32"/>
          <w:szCs w:val="32"/>
        </w:rPr>
        <w:t>决算数</w:t>
      </w:r>
      <w:r>
        <w:rPr>
          <w:rFonts w:hint="eastAsia" w:ascii="Times New Roman" w:hAnsi="Times New Roman" w:eastAsia="方正仿宋_GBK" w:cs="Times New Roman"/>
          <w:color w:val="000000"/>
          <w:kern w:val="2"/>
          <w:sz w:val="32"/>
          <w:szCs w:val="32"/>
          <w:lang w:val="en-US" w:eastAsia="zh-CN"/>
        </w:rPr>
        <w:t>持平。</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（三）“三公”经费实物量情况</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1.24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keepNext w:val="0"/>
        <w:keepLines w:val="0"/>
        <w:pageBreakBefore w:val="0"/>
        <w:kinsoku/>
        <w:overflowPunct/>
        <w:topLinePunct w:val="0"/>
        <w:autoSpaceDN/>
        <w:bidi w:val="0"/>
        <w:adjustRightInd/>
        <w:spacing w:line="595" w:lineRule="exact"/>
        <w:ind w:left="0" w:firstLine="640" w:firstLineChars="200"/>
        <w:textAlignment w:val="auto"/>
        <w:rPr>
          <w:rFonts w:hint="default" w:ascii="Times New Roman" w:hAnsi="Times New Roman" w:eastAsia="方正楷体_GBK"/>
          <w:color w:val="000000"/>
          <w:sz w:val="32"/>
          <w:szCs w:val="32"/>
        </w:rPr>
      </w:pPr>
      <w:r>
        <w:rPr>
          <w:rFonts w:hint="eastAsia" w:ascii="Times New Roman" w:hAnsi="Times New Roman" w:eastAsia="方正楷体_GBK"/>
          <w:color w:val="000000"/>
          <w:sz w:val="32"/>
          <w:szCs w:val="32"/>
        </w:rPr>
        <w:t>（一）财政拨款会议费、培训费和差旅费情况说明</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与主管单位合署</w:t>
      </w:r>
      <w:bookmarkStart w:id="0" w:name="_GoBack"/>
      <w:bookmarkEnd w:id="0"/>
      <w:r>
        <w:rPr>
          <w:rFonts w:hint="eastAsia" w:ascii="方正仿宋_GBK" w:hAnsi="方正仿宋_GBK" w:eastAsia="方正仿宋_GBK" w:cs="方正仿宋_GBK"/>
          <w:sz w:val="32"/>
          <w:szCs w:val="32"/>
          <w:shd w:val="clear" w:color="auto" w:fill="FFFFFF"/>
          <w:lang w:eastAsia="zh-CN"/>
        </w:rPr>
        <w:t>办公场所</w:t>
      </w:r>
      <w:r>
        <w:rPr>
          <w:rFonts w:hint="default"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未使用财政资金保障</w:t>
      </w:r>
      <w:r>
        <w:rPr>
          <w:rFonts w:hint="default" w:ascii="方正仿宋_GBK" w:hAnsi="方正仿宋_GBK" w:eastAsia="方正仿宋_GBK" w:cs="方正仿宋_GBK"/>
          <w:b w:val="0"/>
          <w:bCs w:val="0"/>
          <w:color w:val="auto"/>
          <w:sz w:val="32"/>
          <w:szCs w:val="32"/>
          <w:highlight w:val="none"/>
        </w:rPr>
        <w:t>会议费</w:t>
      </w:r>
      <w:r>
        <w:rPr>
          <w:rFonts w:ascii="方正仿宋_GBK" w:hAnsi="方正仿宋_GBK" w:eastAsia="方正仿宋_GBK" w:cs="方正仿宋_GBK"/>
          <w:b w:val="0"/>
          <w:bCs w:val="0"/>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本年度在职职工在岗培训人次增加，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2.67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与2023年度相比，减少2.31万元，下降46.4%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进一步加强管理，严格执行内控制度管理。</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（二）机关运行经费情况说明</w:t>
      </w:r>
    </w:p>
    <w:p>
      <w:pPr>
        <w:pStyle w:val="14"/>
        <w:keepNext w:val="0"/>
        <w:keepLines w:val="0"/>
        <w:pageBreakBefore w:val="0"/>
        <w:widowControl/>
        <w:kinsoku/>
        <w:wordWrap/>
        <w:overflowPunct/>
        <w:topLinePunct w:val="0"/>
        <w:autoSpaceDE w:val="0"/>
        <w:autoSpaceDN/>
        <w:bidi w:val="0"/>
        <w:adjustRightInd/>
        <w:snapToGrid/>
        <w:spacing w:line="595" w:lineRule="exact"/>
        <w:ind w:left="0" w:firstLine="640" w:firstLineChars="200"/>
        <w:textAlignment w:val="auto"/>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按照部门决算列报口径，我单位不在机关运行经费统计范围之内。</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（三）国有资产占用情况说明</w:t>
      </w:r>
    </w:p>
    <w:p>
      <w:pPr>
        <w:pStyle w:val="9"/>
        <w:keepNext w:val="0"/>
        <w:keepLines w:val="0"/>
        <w:pageBreakBefore w:val="0"/>
        <w:kinsoku/>
        <w:overflowPunct/>
        <w:topLinePunct w:val="0"/>
        <w:autoSpaceDN/>
        <w:bidi w:val="0"/>
        <w:adjustRightInd/>
        <w:snapToGrid w:val="0"/>
        <w:spacing w:before="0" w:beforeAutospacing="0" w:after="0" w:afterAutospacing="0" w:line="595" w:lineRule="exact"/>
        <w:ind w:lef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jc w:val="both"/>
        <w:textAlignment w:val="auto"/>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（四）政府采购支出情况说明</w:t>
      </w:r>
    </w:p>
    <w:p>
      <w:pPr>
        <w:keepNext w:val="0"/>
        <w:keepLines w:val="0"/>
        <w:pageBreakBefore w:val="0"/>
        <w:widowControl w:val="0"/>
        <w:kinsoku/>
        <w:overflowPunct/>
        <w:topLinePunct w:val="0"/>
        <w:autoSpaceDN/>
        <w:bidi w:val="0"/>
        <w:adjustRightInd/>
        <w:spacing w:line="595" w:lineRule="exact"/>
        <w:ind w:left="0" w:firstLine="640" w:firstLineChars="200"/>
        <w:jc w:val="both"/>
        <w:textAlignment w:val="auto"/>
        <w:rPr>
          <w:rFonts w:ascii="方正仿宋_GBK" w:hAnsi="方正仿宋_GBK" w:eastAsia="方正仿宋_GBK" w:cs="方正仿宋_GBK"/>
          <w:b/>
          <w:bCs/>
          <w:color w:val="auto"/>
          <w:sz w:val="32"/>
          <w:szCs w:val="32"/>
          <w:highlight w:val="yellow"/>
          <w:shd w:val="clear" w:color="auto" w:fill="FFFFFF"/>
        </w:r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rPr>
        <w:t>年度我单位未发生政府采购事项，无相关经费支出。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left="0"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五、预算绩效管理情况说明</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（一）</w:t>
      </w:r>
      <w:r>
        <w:rPr>
          <w:rFonts w:hint="eastAsia" w:ascii="Times New Roman" w:hAnsi="Times New Roman" w:eastAsia="方正楷体_GBK" w:cs="宋体"/>
          <w:color w:val="000000"/>
          <w:sz w:val="32"/>
          <w:szCs w:val="32"/>
          <w:lang w:val="en-US" w:eastAsia="zh-CN" w:bidi="ar-SA"/>
        </w:rPr>
        <w:t>单位自评情况</w:t>
      </w:r>
    </w:p>
    <w:p>
      <w:pPr>
        <w:pStyle w:val="9"/>
        <w:keepNext w:val="0"/>
        <w:keepLines w:val="0"/>
        <w:pageBreakBefore w:val="0"/>
        <w:shd w:val="clear" w:color="auto" w:fill="FFFFFF"/>
        <w:kinsoku/>
        <w:overflowPunct/>
        <w:topLinePunct w:val="0"/>
        <w:autoSpaceDN/>
        <w:bidi w:val="0"/>
        <w:adjustRightInd/>
        <w:spacing w:before="0" w:beforeAutospacing="0" w:after="0" w:afterAutospacing="0" w:line="595"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eastAsia="zh-CN"/>
        </w:rPr>
      </w:pPr>
      <w:r>
        <w:rPr>
          <w:rFonts w:hint="eastAsia" w:ascii="Times New Roman" w:hAnsi="Times New Roman" w:eastAsia="方正仿宋_GBK" w:cs="Times New Roman"/>
          <w:color w:val="000000" w:themeColor="text1"/>
          <w:kern w:val="2"/>
          <w:sz w:val="32"/>
          <w:szCs w:val="32"/>
        </w:rPr>
        <w:t>根据</w:t>
      </w:r>
      <w:r>
        <w:rPr>
          <w:rFonts w:hint="default" w:ascii="Times New Roman" w:hAnsi="Times New Roman" w:eastAsia="方正仿宋_GBK" w:cs="Times New Roman"/>
          <w:color w:val="000000" w:themeColor="text1"/>
          <w:kern w:val="2"/>
          <w:sz w:val="32"/>
          <w:szCs w:val="32"/>
        </w:rPr>
        <w:t>预算绩效管理要求，我单位对</w:t>
      </w:r>
      <w:r>
        <w:rPr>
          <w:rFonts w:hint="eastAsia" w:ascii="Times New Roman" w:hAnsi="Times New Roman" w:eastAsia="方正仿宋_GBK" w:cs="Times New Roman"/>
          <w:color w:val="000000" w:themeColor="text1"/>
          <w:kern w:val="2"/>
          <w:sz w:val="32"/>
          <w:szCs w:val="32"/>
          <w:lang w:eastAsia="zh-CN"/>
        </w:rPr>
        <w:t>单位</w:t>
      </w:r>
      <w:r>
        <w:rPr>
          <w:rFonts w:hint="eastAsia" w:ascii="Times New Roman" w:hAnsi="Times New Roman" w:eastAsia="方正仿宋_GBK" w:cs="Times New Roman"/>
          <w:color w:val="000000" w:themeColor="text1"/>
          <w:kern w:val="2"/>
          <w:sz w:val="32"/>
          <w:szCs w:val="32"/>
          <w:lang w:val="en-US" w:eastAsia="zh-CN"/>
        </w:rPr>
        <w:t>1</w:t>
      </w:r>
      <w:r>
        <w:rPr>
          <w:rFonts w:hint="default" w:ascii="Times New Roman" w:hAnsi="Times New Roman" w:eastAsia="方正仿宋_GBK" w:cs="Times New Roman"/>
          <w:color w:val="000000" w:themeColor="text1"/>
          <w:kern w:val="2"/>
          <w:sz w:val="32"/>
          <w:szCs w:val="32"/>
        </w:rPr>
        <w:t>个项目开展了绩效自评，涉及财政拨款项目支出资金</w:t>
      </w:r>
      <w:r>
        <w:rPr>
          <w:rFonts w:hint="default" w:ascii="Times New Roman" w:hAnsi="Times New Roman" w:eastAsia="方正仿宋_GBK" w:cs="Times New Roman"/>
          <w:color w:val="000000" w:themeColor="text1"/>
          <w:kern w:val="2"/>
          <w:sz w:val="32"/>
          <w:szCs w:val="32"/>
          <w:lang w:val="en-US" w:eastAsia="zh-CN"/>
        </w:rPr>
        <w:t>1</w:t>
      </w:r>
      <w:r>
        <w:rPr>
          <w:rFonts w:hint="eastAsia" w:ascii="Times New Roman" w:hAnsi="Times New Roman" w:eastAsia="方正仿宋_GBK" w:cs="Times New Roman"/>
          <w:color w:val="000000" w:themeColor="text1"/>
          <w:kern w:val="2"/>
          <w:sz w:val="32"/>
          <w:szCs w:val="32"/>
          <w:lang w:val="en-US" w:eastAsia="zh-CN"/>
        </w:rPr>
        <w:t>5</w:t>
      </w:r>
      <w:r>
        <w:rPr>
          <w:rFonts w:hint="default" w:ascii="Times New Roman" w:hAnsi="Times New Roman" w:eastAsia="方正仿宋_GBK" w:cs="Times New Roman"/>
          <w:color w:val="000000" w:themeColor="text1"/>
          <w:kern w:val="2"/>
          <w:sz w:val="32"/>
          <w:szCs w:val="32"/>
        </w:rPr>
        <w:t>万元</w:t>
      </w:r>
      <w:r>
        <w:rPr>
          <w:rFonts w:hint="default" w:ascii="Times New Roman" w:hAnsi="Times New Roman" w:eastAsia="方正仿宋_GBK" w:cs="Times New Roman"/>
          <w:color w:val="000000" w:themeColor="text1"/>
          <w:kern w:val="2"/>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CN"/>
        </w:rPr>
      </w:pPr>
      <w:r>
        <w:rPr>
          <w:rFonts w:hint="eastAsia" w:ascii="Times New Roman" w:hAnsi="Times New Roman" w:eastAsia="方正仿宋_GBK" w:cs="Times New Roman"/>
          <w:color w:val="000000" w:themeColor="text1"/>
          <w:kern w:val="2"/>
          <w:sz w:val="32"/>
          <w:szCs w:val="32"/>
          <w:lang w:val="en-US" w:eastAsia="zh-CN"/>
        </w:rPr>
        <w:t>项目绩效自评表</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897"/>
        <w:gridCol w:w="895"/>
        <w:gridCol w:w="776"/>
        <w:gridCol w:w="616"/>
        <w:gridCol w:w="695"/>
        <w:gridCol w:w="736"/>
        <w:gridCol w:w="614"/>
        <w:gridCol w:w="536"/>
        <w:gridCol w:w="696"/>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廉政教育中心运行经费</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50023022T000000143821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105-中国共产党丰都县纪律检查委员会</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001-行政政法科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李莲</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13512318330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45"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45"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45"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43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开展全县党员干部警示教育、廉洁文化建设等工作，协助委机关开展纪检监察信息化建设，确保全年高质量完成各项工作。</w:t>
            </w:r>
          </w:p>
        </w:tc>
        <w:tc>
          <w:tcPr>
            <w:tcW w:w="155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开展全县党员干部警示教育、廉洁文化建设等工作，协助委机关开展纪检监察信息化建设，确保全年高质量完成各项工作。</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深入开展“家风助廉”“青春倡廉”“社区创廉”三大品牌行动，深入挖掘杨孟瑛等本土文化廉洁元素，重点打造双桂山公园、革命烈士纪念馆、廉政教育基地等廉洁文化阵地群不断厚植廉洁文化土壤，制作并拍摄警示教育片1部，协助县委召开“以案四说”警示教育大会，推动全县开展警示教育300余场次、受教育对象2万余人次，高质量完成2024年纪检监察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拍摄警示教育宣传片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推动廉洁文化建设的覆盖率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开展全县党员干部警示教育场次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5" w:lineRule="exact"/>
        <w:ind w:firstLine="640" w:firstLineChars="200"/>
        <w:jc w:val="both"/>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（二）</w:t>
      </w:r>
      <w:r>
        <w:rPr>
          <w:rFonts w:hint="eastAsia" w:ascii="Times New Roman" w:hAnsi="Times New Roman" w:eastAsia="方正楷体_GBK" w:cs="宋体"/>
          <w:color w:val="000000"/>
          <w:sz w:val="32"/>
          <w:szCs w:val="32"/>
          <w:lang w:val="en-US" w:eastAsia="zh-CN" w:bidi="ar-SA"/>
        </w:rPr>
        <w:t>单位绩效评价情况</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rPr>
      </w:pPr>
      <w:r>
        <w:rPr>
          <w:rFonts w:hint="eastAsia" w:ascii="Times New Roman" w:hAnsi="Times New Roman" w:eastAsia="方正仿宋_GBK" w:cs="Times New Roman"/>
          <w:color w:val="000000" w:themeColor="text1"/>
          <w:kern w:val="2"/>
          <w:sz w:val="32"/>
          <w:szCs w:val="32"/>
          <w:lang w:val="en-US" w:eastAsia="zh-CN" w:bidi="ar-SA"/>
        </w:rPr>
        <w:t>我单位未组织开展绩效评价。</w:t>
      </w:r>
    </w:p>
    <w:p>
      <w:pPr>
        <w:pStyle w:val="17"/>
        <w:keepNext w:val="0"/>
        <w:keepLines w:val="0"/>
        <w:pageBreakBefore w:val="0"/>
        <w:kinsoku/>
        <w:overflowPunct/>
        <w:topLinePunct w:val="0"/>
        <w:autoSpaceDE w:val="0"/>
        <w:autoSpaceDN/>
        <w:bidi w:val="0"/>
        <w:adjustRightInd/>
        <w:spacing w:line="595" w:lineRule="exact"/>
        <w:ind w:left="0"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pPr>
        <w:keepNext w:val="0"/>
        <w:keepLines w:val="0"/>
        <w:pageBreakBefore w:val="0"/>
        <w:kinsoku/>
        <w:overflowPunct/>
        <w:topLinePunct w:val="0"/>
        <w:autoSpaceDN/>
        <w:bidi w:val="0"/>
        <w:adjustRightInd/>
        <w:spacing w:line="595" w:lineRule="exact"/>
        <w:ind w:left="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六、专有名词解释</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黑体_GBK"/>
          <w:color w:val="000000"/>
          <w:sz w:val="32"/>
          <w:szCs w:val="32"/>
        </w:rPr>
      </w:pPr>
      <w:r>
        <w:rPr>
          <w:rFonts w:ascii="方正楷体_GBK" w:hAnsi="Times New Roman" w:eastAsia="方正楷体_GBK"/>
          <w:color w:val="000000"/>
          <w:sz w:val="32"/>
          <w:szCs w:val="32"/>
        </w:rPr>
        <w:t>（一）财政拨款收入：</w:t>
      </w:r>
      <w:r>
        <w:rPr>
          <w:rFonts w:ascii="Times New Roman" w:hAnsi="Times New Roman" w:eastAsia="方正仿宋_GBK"/>
          <w:color w:val="000000"/>
          <w:sz w:val="32"/>
          <w:szCs w:val="32"/>
        </w:rPr>
        <w:t>指本年度从本级财政部门取得的财政拨款，包括一般公共预算财政拨款和政府性基金预算财政拨款。</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（二）事业收入：</w:t>
      </w:r>
      <w:r>
        <w:rPr>
          <w:rFonts w:ascii="Times New Roman" w:hAnsi="Times New Roman" w:eastAsia="方正仿宋_GBK"/>
          <w:color w:val="000000"/>
          <w:sz w:val="32"/>
          <w:szCs w:val="32"/>
        </w:rPr>
        <w:t>指事业单位开展专业业务活动及其辅助活动取得的现金流入；事业单位收到的财政专户实际核拨的教育收费等资金在此反映。</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（三）经营收入：</w:t>
      </w:r>
      <w:r>
        <w:rPr>
          <w:rFonts w:ascii="Times New Roman" w:hAnsi="Times New Roman" w:eastAsia="方正仿宋_GBK"/>
          <w:color w:val="000000"/>
          <w:sz w:val="32"/>
          <w:szCs w:val="32"/>
        </w:rPr>
        <w:t>指事业单位在专业业务活动及其辅助活动之外开展非独立核算经营活动取得的现金流入。</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ascii="方正楷体_GBK" w:hAnsi="Times New Roman" w:eastAsia="方正楷体_GBK"/>
          <w:color w:val="000000"/>
          <w:sz w:val="32"/>
          <w:szCs w:val="32"/>
        </w:rPr>
        <w:t>（四）其他收入：</w:t>
      </w:r>
      <w:r>
        <w:rPr>
          <w:rFonts w:ascii="Times New Roman" w:hAnsi="Times New Roman" w:eastAsia="方正仿宋_GBK"/>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ascii="方正楷体_GBK" w:hAnsi="Times New Roman" w:eastAsia="方正楷体_GBK"/>
          <w:color w:val="000000"/>
          <w:sz w:val="32"/>
          <w:szCs w:val="32"/>
        </w:rPr>
        <w:t>（五）用事业基金弥补收支差额：</w:t>
      </w:r>
      <w:r>
        <w:rPr>
          <w:rFonts w:ascii="Times New Roman" w:hAnsi="Times New Roman" w:eastAsia="方正仿宋_GBK"/>
          <w:color w:val="00000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ascii="方正楷体_GBK" w:hAnsi="Times New Roman" w:eastAsia="方正楷体_GBK"/>
          <w:color w:val="000000"/>
          <w:sz w:val="32"/>
          <w:szCs w:val="32"/>
        </w:rPr>
        <w:t>（六）年初结转和结余：</w:t>
      </w:r>
      <w:r>
        <w:rPr>
          <w:rFonts w:ascii="Times New Roman" w:hAnsi="Times New Roman" w:eastAsia="方正仿宋_GBK"/>
          <w:color w:val="000000"/>
          <w:sz w:val="32"/>
          <w:szCs w:val="32"/>
        </w:rPr>
        <w:t>指单位上年结转本年使用的基本支出结转、项目支出结转和结余、经营结余。</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ascii="方正楷体_GBK" w:hAnsi="Times New Roman" w:eastAsia="方正楷体_GBK"/>
          <w:color w:val="000000"/>
          <w:sz w:val="32"/>
          <w:szCs w:val="32"/>
        </w:rPr>
        <w:t> （七）结余分配：</w:t>
      </w:r>
      <w:r>
        <w:rPr>
          <w:rFonts w:ascii="Times New Roman" w:hAnsi="Times New Roman" w:eastAsia="方正仿宋_GBK"/>
          <w:color w:val="000000"/>
          <w:sz w:val="32"/>
          <w:szCs w:val="32"/>
        </w:rPr>
        <w:t>指单位按照国家有关规定，缴纳所得税、提取专用基金、转入事业基金等当年结余的分配情况。</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（八）年末结转和结余：</w:t>
      </w:r>
      <w:r>
        <w:rPr>
          <w:rFonts w:ascii="Times New Roman" w:hAnsi="Times New Roman" w:eastAsia="方正仿宋_GBK"/>
          <w:color w:val="000000"/>
          <w:sz w:val="32"/>
          <w:szCs w:val="32"/>
        </w:rPr>
        <w:t>指单位结转下年的基本支出结转、项目支出结转和结余、经营结余。</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（九）基本支出：</w:t>
      </w:r>
      <w:r>
        <w:rPr>
          <w:rFonts w:ascii="Times New Roman" w:hAnsi="Times New Roman" w:eastAsia="方正仿宋_GBK"/>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（十）项目支出：</w:t>
      </w:r>
      <w:r>
        <w:rPr>
          <w:rFonts w:ascii="Times New Roman" w:hAnsi="Times New Roman" w:eastAsia="方正仿宋_GBK"/>
          <w:color w:val="000000"/>
          <w:sz w:val="32"/>
          <w:szCs w:val="32"/>
        </w:rPr>
        <w:t>指在基本支出之外为完成特定行政任务和事业发展目标所发生的支出。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（十一）经营支出：</w:t>
      </w:r>
      <w:r>
        <w:rPr>
          <w:rFonts w:ascii="Times New Roman" w:hAnsi="Times New Roman" w:eastAsia="方正仿宋_GBK"/>
          <w:color w:val="000000"/>
          <w:sz w:val="32"/>
          <w:szCs w:val="32"/>
        </w:rPr>
        <w:t>指事业单位在专业业务活动及其辅助活动之外开展非独立核算经营活动发生的支出。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（十二）“三公”经费：</w:t>
      </w:r>
      <w:r>
        <w:rPr>
          <w:rFonts w:ascii="Times New Roman" w:hAnsi="Times New Roman" w:eastAsia="方正仿宋_GBK"/>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（十三）机关运行经费：</w:t>
      </w:r>
      <w:r>
        <w:rPr>
          <w:rFonts w:ascii="Times New Roman" w:hAnsi="Times New Roman" w:eastAsia="方正仿宋_GBK"/>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（十四）工资福利支出（支出经济分类科目类级）：</w:t>
      </w:r>
      <w:r>
        <w:rPr>
          <w:rFonts w:ascii="Times New Roman" w:hAnsi="Times New Roman" w:eastAsia="方正仿宋_GBK"/>
          <w:color w:val="000000"/>
          <w:sz w:val="32"/>
          <w:szCs w:val="32"/>
        </w:rPr>
        <w:t>反映单位开支的在职职工和编制外长期聘用人员的各类劳动报酬，以及为上述人员缴纳的各项社会保险费等。</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（十五）商品和服务支出（支出经济分类科目类级）：</w:t>
      </w:r>
      <w:r>
        <w:rPr>
          <w:rFonts w:ascii="Times New Roman" w:hAnsi="Times New Roman" w:eastAsia="方正仿宋_GBK"/>
          <w:color w:val="000000"/>
          <w:sz w:val="32"/>
          <w:szCs w:val="32"/>
        </w:rPr>
        <w:t>反映单位购买商品和服务的支出（不包括用于购置固定资产的支出、战略性和应急储备支出）。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（十六）对个人和家庭的补助（支出经济分类科目类级）：</w:t>
      </w:r>
      <w:r>
        <w:rPr>
          <w:rFonts w:ascii="Times New Roman" w:hAnsi="Times New Roman" w:eastAsia="方正仿宋_GBK"/>
          <w:color w:val="000000"/>
          <w:sz w:val="32"/>
          <w:szCs w:val="32"/>
        </w:rPr>
        <w:t>反映用于对个人和家庭的补助支出。</w:t>
      </w:r>
    </w:p>
    <w:p>
      <w:pPr>
        <w:keepNext w:val="0"/>
        <w:keepLines w:val="0"/>
        <w:pageBreakBefore w:val="0"/>
        <w:kinsoku/>
        <w:overflowPunct/>
        <w:topLinePunct w:val="0"/>
        <w:autoSpaceDN/>
        <w:bidi w:val="0"/>
        <w:adjustRightInd/>
        <w:spacing w:line="595" w:lineRule="exact"/>
        <w:ind w:left="0" w:firstLine="643" w:firstLineChars="200"/>
        <w:textAlignment w:val="auto"/>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（十七）其他资本性支出（支出经济分类科目类级）：</w:t>
      </w:r>
      <w:r>
        <w:rPr>
          <w:rFonts w:ascii="Times New Roman" w:hAnsi="Times New Roman" w:eastAsia="方正仿宋_GBK"/>
          <w:color w:val="00000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黑体_GBK"/>
          <w:color w:val="000000"/>
          <w:sz w:val="32"/>
          <w:szCs w:val="32"/>
        </w:rPr>
      </w:pPr>
      <w:r>
        <w:rPr>
          <w:rFonts w:ascii="Times New Roman" w:hAnsi="Times New Roman" w:eastAsia="方正黑体_GBK"/>
          <w:color w:val="000000"/>
          <w:sz w:val="32"/>
          <w:szCs w:val="32"/>
        </w:rPr>
        <w:t>七、决算公开联系方式及信息反馈渠道</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本单位决算公开信息反馈和联系方式：</w:t>
      </w:r>
    </w:p>
    <w:p>
      <w:pPr>
        <w:keepNext w:val="0"/>
        <w:keepLines w:val="0"/>
        <w:pageBreakBefore w:val="0"/>
        <w:kinsoku/>
        <w:overflowPunct/>
        <w:topLinePunct w:val="0"/>
        <w:autoSpaceDN/>
        <w:bidi w:val="0"/>
        <w:adjustRightInd/>
        <w:spacing w:line="595" w:lineRule="exact"/>
        <w:ind w:left="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李玲媛      </w:t>
      </w:r>
      <w:r>
        <w:rPr>
          <w:rFonts w:ascii="Times New Roman" w:hAnsi="Times New Roman" w:eastAsia="方正仿宋_GBK"/>
          <w:color w:val="000000"/>
          <w:sz w:val="32"/>
          <w:szCs w:val="32"/>
        </w:rPr>
        <w:t>023-</w:t>
      </w:r>
      <w:r>
        <w:rPr>
          <w:rFonts w:hint="eastAsia" w:ascii="Times New Roman" w:hAnsi="Times New Roman" w:eastAsia="方正仿宋_GBK"/>
          <w:color w:val="000000"/>
          <w:sz w:val="32"/>
          <w:szCs w:val="32"/>
        </w:rPr>
        <w:t>70605621</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丰都县廉政教育中心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211.59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丰都县廉政教育中心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211.59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211.59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丰都县廉政教育中心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211.59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196.59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丰都县廉政教育中心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丰都县廉政教育中心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丰都县廉政教育中心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177.95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丰都县廉政教育中心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丰都县廉政教育中心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丰都县廉政教育中心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387330"/>
    <w:rsid w:val="03B87EA0"/>
    <w:rsid w:val="03E3214F"/>
    <w:rsid w:val="044C50BA"/>
    <w:rsid w:val="05BC6D49"/>
    <w:rsid w:val="06194FF1"/>
    <w:rsid w:val="06A2550B"/>
    <w:rsid w:val="06F80EE2"/>
    <w:rsid w:val="07001CCA"/>
    <w:rsid w:val="075678DB"/>
    <w:rsid w:val="076E5FAB"/>
    <w:rsid w:val="077B465F"/>
    <w:rsid w:val="079D7CC7"/>
    <w:rsid w:val="08051BCA"/>
    <w:rsid w:val="086C12F4"/>
    <w:rsid w:val="08705944"/>
    <w:rsid w:val="08BA052C"/>
    <w:rsid w:val="08DB07BA"/>
    <w:rsid w:val="0969353F"/>
    <w:rsid w:val="09695749"/>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27CE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1A6E2E"/>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TotalTime>
  <ScaleCrop>false</ScaleCrop>
  <LinksUpToDate>false</LinksUpToDate>
  <CharactersWithSpaces>26313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2025-09-09T06:42:56Z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BB46EABDBB2749749395447164B066B3_12</vt:lpwstr>
  </property>
</Properties>
</file>