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丰都县党政信息中心</w:t>
      </w:r>
    </w:p>
    <w:p>
      <w:pPr>
        <w:pStyle w:val="9"/>
        <w:spacing w:before="0" w:beforeAutospacing="0" w:after="0" w:afterAutospacing="0" w:line="596"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2024年度决算公开说明</w:t>
      </w:r>
    </w:p>
    <w:p>
      <w:pPr>
        <w:pStyle w:val="9"/>
        <w:shd w:val="clear" w:color="auto" w:fill="FFFFFF"/>
        <w:spacing w:before="0" w:beforeAutospacing="0" w:after="0" w:afterAutospacing="0" w:line="596" w:lineRule="exact"/>
        <w:ind w:firstLine="642"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一、单位基本情况</w:t>
      </w:r>
    </w:p>
    <w:p>
      <w:pPr>
        <w:pStyle w:val="9"/>
        <w:shd w:val="clear" w:color="auto" w:fill="FFFFFF"/>
        <w:spacing w:before="0" w:beforeAutospacing="0" w:after="0" w:afterAutospacing="0" w:line="596" w:lineRule="exact"/>
        <w:ind w:firstLine="642" w:firstLineChars="200"/>
        <w:rPr>
          <w:rFonts w:hint="default" w:ascii="Times New Roman" w:hAnsi="Times New Roman" w:eastAsia="方正仿宋_GBK"/>
          <w:sz w:val="32"/>
          <w:szCs w:val="32"/>
        </w:rPr>
      </w:pPr>
      <w:r>
        <w:rPr>
          <w:rStyle w:val="13"/>
          <w:rFonts w:hint="default" w:ascii="Times New Roman" w:hAnsi="Times New Roman" w:eastAsia="楷体"/>
          <w:sz w:val="32"/>
          <w:szCs w:val="32"/>
          <w:shd w:val="clear" w:color="auto" w:fill="FFFFFF"/>
        </w:rPr>
        <w:t>（一）职能职责</w:t>
      </w:r>
    </w:p>
    <w:p>
      <w:pPr>
        <w:pStyle w:val="9"/>
        <w:shd w:val="clear" w:color="auto" w:fill="FFFFFF"/>
        <w:wordWrap w:val="0"/>
        <w:spacing w:before="0" w:beforeAutospacing="0" w:after="0" w:afterAutospacing="0" w:line="420" w:lineRule="atLeast"/>
        <w:ind w:firstLine="640" w:firstLineChars="200"/>
        <w:jc w:val="both"/>
        <w:rPr>
          <w:rFonts w:hint="default" w:ascii="Times New Roman" w:hAnsi="Times New Roman" w:eastAsia="仿宋_GB2312"/>
          <w:kern w:val="2"/>
          <w:sz w:val="32"/>
          <w:szCs w:val="22"/>
        </w:rPr>
      </w:pPr>
      <w:r>
        <w:rPr>
          <w:rFonts w:hint="default" w:ascii="Times New Roman" w:hAnsi="Times New Roman" w:eastAsia="仿宋_GB2312"/>
          <w:kern w:val="2"/>
          <w:sz w:val="32"/>
          <w:szCs w:val="22"/>
        </w:rPr>
        <w:t>1.负责全县党政信息网络的建设、管理、维护和使用；负责推进、指导、协调、监督全县的政府信息公开工作；负责规划、协调和管理全县政务业务网、视频会议系统建设及运行维护工作等。2．承办县委和政府领导交办的其他工作。</w:t>
      </w:r>
    </w:p>
    <w:p>
      <w:pPr>
        <w:pStyle w:val="9"/>
        <w:shd w:val="clear" w:color="auto" w:fill="FFFFFF"/>
        <w:spacing w:before="0" w:beforeAutospacing="0" w:after="0" w:afterAutospacing="0" w:line="596" w:lineRule="exact"/>
        <w:ind w:firstLine="642" w:firstLineChars="200"/>
        <w:rPr>
          <w:rFonts w:hint="default" w:ascii="Times New Roman" w:hAnsi="Times New Roman" w:eastAsia="楷体"/>
          <w:sz w:val="32"/>
          <w:szCs w:val="32"/>
        </w:rPr>
      </w:pPr>
      <w:r>
        <w:rPr>
          <w:rStyle w:val="13"/>
          <w:rFonts w:hint="default" w:ascii="Times New Roman" w:hAnsi="Times New Roman" w:eastAsia="楷体"/>
          <w:sz w:val="32"/>
          <w:szCs w:val="32"/>
          <w:shd w:val="clear" w:color="auto" w:fill="FFFFFF"/>
        </w:rPr>
        <w:t>（二）机构设置</w:t>
      </w:r>
    </w:p>
    <w:p>
      <w:pPr>
        <w:pStyle w:val="9"/>
        <w:shd w:val="clear" w:color="auto" w:fill="FFFFFF"/>
        <w:spacing w:before="0" w:beforeAutospacing="0" w:after="0" w:afterAutospacing="0" w:line="596" w:lineRule="exact"/>
        <w:ind w:firstLine="640" w:firstLineChars="200"/>
        <w:rPr>
          <w:rStyle w:val="13"/>
          <w:rFonts w:hint="default" w:ascii="Times New Roman" w:hAnsi="Times New Roman" w:eastAsia="黑体"/>
          <w:sz w:val="32"/>
          <w:szCs w:val="32"/>
          <w:shd w:val="clear" w:color="auto" w:fill="FFFFFF"/>
        </w:rPr>
      </w:pPr>
      <w:r>
        <w:rPr>
          <w:rFonts w:hint="default" w:ascii="Times New Roman" w:hAnsi="Times New Roman" w:eastAsia="仿宋_GB2312"/>
          <w:kern w:val="2"/>
          <w:sz w:val="32"/>
          <w:szCs w:val="22"/>
        </w:rPr>
        <w:t>丰都县党政信息中心属于全额事业单位，编制为12名，下设3个科室，分别为综合科、网站管理科、网络技术科。</w:t>
      </w:r>
      <w:r>
        <w:rPr>
          <w:rStyle w:val="13"/>
          <w:rFonts w:hint="default" w:ascii="Times New Roman" w:hAnsi="Times New Roman" w:eastAsia="黑体"/>
          <w:sz w:val="32"/>
          <w:szCs w:val="32"/>
          <w:shd w:val="clear" w:color="auto" w:fill="FFFFFF"/>
        </w:rPr>
        <w:t>二、单位决算收支情况说明</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2024年度收、支总计均为888.91万元。收、支与2023年度相比，增加351.93万元，增长65.5%，主要原因是2024年增加了一项专项资金。</w:t>
      </w:r>
    </w:p>
    <w:p>
      <w:pPr>
        <w:pStyle w:val="9"/>
        <w:shd w:val="clear" w:color="auto" w:fill="FFFFFF"/>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收入合计888.16万元，与2023年度相比，增加351.22万元，增长65.4%，主要原因是2024年增加了一项专项资金。其中：财政拨款收入888.16万元，占100.0%；事业收入0.00万元，占0.0%；经营收入0.00万元，占0.0%；其他收入0.00万元，占0.0%。此外，使用非财政拨款结余（含专用结余）0.00万元，年初结转和结余0.75万元。</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2024年度支出合计888.62万元，与2023年度相比，增加352.38万元，增长65.7%，主要原因是2024年增加了一项专项资金支出。其中：基本支出270.29万元，占30.4%；项目支出618.34万元，占69.6%；经营支出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万元，占0.0%。此外，结余分配0.00万元。</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2024年度年末结转和结余0.28万元，与2023年度相比，减少0.47万元，下降62.7%，主要原因是按规定结余资金已支出。</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2024年度财政拨款收、支总计均为888.91万元。与2023年度相比，财政拨款收、支总计各增加351.93万元，增长65.5%。主要原因是2024年增加了一项专项资金。</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888.16万元，与2023年度相比，增加351.22万元，增长65.4%。主要原因是2024年增加了一项专项资金。较年初预算数增加34.47万元，增长4.0%。主要原因是补缴了2024年的新标准社保。此外，年初财政拨款结转和结余0.75万元。</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2024年度一般公共预算财政拨款支出888.62万元，与2023年度相比，增加352.38万元，增长65.7%。主要原因是2024年增加了一项专项资金。较年初预算数增加34.93万元，增长4.1%。主要原因是补缴了2024年的新标准社保。</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一般公共预算财政拨款支出主要用途如下：</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（1）一般公共服务支出831.66万元，占93.6%，较年初预算数增加22.49万元，增长2.8%，主要原因是有</w:t>
      </w:r>
      <w:r>
        <w:rPr>
          <w:rFonts w:hint="default" w:ascii="Times New Roman" w:hAnsi="Times New Roman" w:eastAsia="方正仿宋_GBK"/>
          <w:sz w:val="32"/>
          <w:szCs w:val="32"/>
        </w:rPr>
        <w:t>人员调入</w:t>
      </w:r>
      <w:r>
        <w:rPr>
          <w:rFonts w:hint="default" w:ascii="Times New Roman" w:hAnsi="Times New Roman" w:eastAsia="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（2）社会保障和就业支出33.25万元，占3.7%，较年初预算数增加11.08万元，增长50.0%，主要原因是补缴了2024年的新标准社保。</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（3）卫生健康支出11.90万元，占1.3%，较年初预算数增加0.63万元，增长5.6%，主要原因是补缴了2024年的新标准医保。</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w:t>
      </w:r>
      <w:r>
        <w:rPr>
          <w:rFonts w:hint="default" w:ascii="Times New Roman" w:hAnsi="Times New Roman" w:eastAsia="方正仿宋_GBK"/>
          <w:sz w:val="32"/>
          <w:szCs w:val="32"/>
          <w:shd w:val="clear" w:color="auto" w:fill="FFFFFF"/>
        </w:rPr>
        <w:t>11.81万元，占1.3%，较年初预算数增加0.73万元，增长6.6%，主要原因是有</w:t>
      </w:r>
      <w:r>
        <w:rPr>
          <w:rFonts w:hint="default" w:ascii="Times New Roman" w:hAnsi="Times New Roman" w:eastAsia="方正仿宋_GBK"/>
          <w:sz w:val="32"/>
          <w:szCs w:val="32"/>
        </w:rPr>
        <w:t>人员调入</w:t>
      </w:r>
      <w:r>
        <w:rPr>
          <w:rFonts w:hint="default" w:ascii="Times New Roman" w:hAnsi="Times New Roman" w:eastAsia="方正仿宋_GBK"/>
          <w:sz w:val="32"/>
          <w:szCs w:val="32"/>
          <w:shd w:val="clear" w:color="auto" w:fill="FFFFFF"/>
        </w:rPr>
        <w:t>。</w:t>
      </w:r>
    </w:p>
    <w:p>
      <w:pPr>
        <w:spacing w:line="596" w:lineRule="exact"/>
        <w:ind w:firstLine="642"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2024年度年末一般公共预算财政拨款结转和结余0.28万元，与2023年度相比，减少0.47万元，下降62.7%，主要原因是按规定支出了结余资金。</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2024年度一般公共财政拨款基本支出270.29万元。</w:t>
      </w:r>
    </w:p>
    <w:p>
      <w:pPr>
        <w:pStyle w:val="9"/>
        <w:snapToGrid w:val="0"/>
        <w:spacing w:before="0" w:beforeAutospacing="0" w:after="0" w:afterAutospacing="0" w:line="596" w:lineRule="exact"/>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人员经费253.13万元，与2023年度相比，增加19.22万元，增长8.2%，主要原因是有</w:t>
      </w:r>
      <w:r>
        <w:rPr>
          <w:rFonts w:hint="default" w:ascii="Times New Roman" w:hAnsi="Times New Roman" w:eastAsia="方正仿宋_GBK"/>
          <w:sz w:val="32"/>
          <w:szCs w:val="32"/>
        </w:rPr>
        <w:t>人员调入</w:t>
      </w:r>
      <w:r>
        <w:rPr>
          <w:rFonts w:hint="default" w:ascii="Times New Roman" w:hAnsi="Times New Roman" w:eastAsia="方正仿宋_GBK"/>
          <w:sz w:val="32"/>
          <w:szCs w:val="32"/>
          <w:shd w:val="clear" w:color="auto" w:fill="FFFFFF"/>
        </w:rPr>
        <w:t>。人员经费用途主要包括</w:t>
      </w:r>
      <w:r>
        <w:rPr>
          <w:rFonts w:hint="default" w:ascii="Times New Roman" w:hAnsi="Times New Roman" w:eastAsia="方正仿宋_GBK"/>
          <w:sz w:val="32"/>
          <w:szCs w:val="32"/>
        </w:rPr>
        <w:t>基本工资、绩效工资、社会保障费、公积金等。</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公用经费17.15万元，与2023年度相比，增加4.43万元，增长34.8%，主要原因是有</w:t>
      </w:r>
      <w:r>
        <w:rPr>
          <w:rFonts w:hint="default" w:ascii="Times New Roman" w:hAnsi="Times New Roman" w:eastAsia="方正仿宋_GBK"/>
          <w:sz w:val="32"/>
          <w:szCs w:val="32"/>
        </w:rPr>
        <w:t>人员调入</w:t>
      </w:r>
      <w:r>
        <w:rPr>
          <w:rFonts w:hint="default" w:ascii="Times New Roman" w:hAnsi="Times New Roman" w:eastAsia="方正仿宋_GBK"/>
          <w:sz w:val="32"/>
          <w:szCs w:val="32"/>
          <w:shd w:val="clear" w:color="auto" w:fill="FFFFFF"/>
        </w:rPr>
        <w:t>。公用经费用途主要包括</w:t>
      </w:r>
      <w:r>
        <w:rPr>
          <w:rFonts w:hint="default" w:ascii="Times New Roman" w:hAnsi="Times New Roman" w:eastAsia="方正仿宋_GBK"/>
          <w:sz w:val="32"/>
          <w:szCs w:val="32"/>
        </w:rPr>
        <w:t>办公费、差旅费、工会经费等支出。</w:t>
      </w:r>
    </w:p>
    <w:p>
      <w:pPr>
        <w:pStyle w:val="9"/>
        <w:snapToGrid w:val="0"/>
        <w:spacing w:before="0" w:beforeAutospacing="0" w:after="0" w:afterAutospacing="0" w:line="596" w:lineRule="exact"/>
        <w:ind w:firstLine="642" w:firstLineChars="200"/>
        <w:jc w:val="both"/>
        <w:rPr>
          <w:rFonts w:hint="default" w:ascii="Times New Roman" w:hAnsi="Times New Roman" w:eastAsia="楷体"/>
          <w:b/>
          <w:bCs/>
          <w:sz w:val="32"/>
          <w:szCs w:val="32"/>
          <w:shd w:val="clear" w:color="auto" w:fill="FFFFFF"/>
        </w:rPr>
      </w:pPr>
      <w:r>
        <w:rPr>
          <w:rFonts w:hint="default" w:ascii="Times New Roman" w:hAnsi="Times New Roman" w:eastAsia="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rPr>
        <w:t>本单位2024年度无政府性基金预算财政拨款收支。</w:t>
      </w:r>
    </w:p>
    <w:p>
      <w:pPr>
        <w:pStyle w:val="14"/>
        <w:autoSpaceDE w:val="0"/>
        <w:spacing w:line="596" w:lineRule="exact"/>
        <w:ind w:firstLine="643"/>
        <w:rPr>
          <w:rFonts w:ascii="Times New Roman" w:hAnsi="Times New Roman" w:eastAsia="楷体"/>
          <w:b/>
          <w:bCs/>
          <w:sz w:val="32"/>
          <w:szCs w:val="32"/>
        </w:rPr>
      </w:pPr>
      <w:r>
        <w:rPr>
          <w:rFonts w:ascii="Times New Roman" w:hAnsi="Times New Roman" w:eastAsia="楷体"/>
          <w:b/>
          <w:bCs/>
          <w:sz w:val="32"/>
          <w:szCs w:val="32"/>
        </w:rPr>
        <w:t>（六）国有资本经营预算财政拨款支出决算情况说明</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rPr>
        <w:t>本单位2024年度无国有资本经营预算财政拨款支出。</w:t>
      </w:r>
    </w:p>
    <w:p>
      <w:pPr>
        <w:pStyle w:val="9"/>
        <w:shd w:val="clear" w:color="auto" w:fill="FFFFFF"/>
        <w:spacing w:before="0" w:beforeAutospacing="0" w:after="0" w:afterAutospacing="0" w:line="596" w:lineRule="exact"/>
        <w:ind w:firstLine="642"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三、财政拨款“三公”经费情况说明</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pPr>
        <w:pStyle w:val="9"/>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本单位2024年度未发生“三公”经费支出，较年初预算数与上年支出数均无增减，与上年决算数持平。</w:t>
      </w:r>
    </w:p>
    <w:p>
      <w:pPr>
        <w:pStyle w:val="9"/>
        <w:snapToGrid w:val="0"/>
        <w:spacing w:before="0" w:beforeAutospacing="0" w:after="0" w:afterAutospacing="0" w:line="596" w:lineRule="exact"/>
        <w:ind w:firstLine="642" w:firstLineChars="200"/>
        <w:jc w:val="both"/>
        <w:rPr>
          <w:rFonts w:hint="default" w:ascii="Times New Roman" w:hAnsi="Times New Roman" w:eastAsia="楷体"/>
          <w:b/>
          <w:bCs/>
          <w:sz w:val="32"/>
          <w:szCs w:val="32"/>
        </w:rPr>
      </w:pPr>
      <w:r>
        <w:rPr>
          <w:rFonts w:hint="default" w:ascii="Times New Roman" w:hAnsi="Times New Roman" w:eastAsia="楷体"/>
          <w:b/>
          <w:bCs/>
          <w:sz w:val="32"/>
          <w:szCs w:val="32"/>
        </w:rPr>
        <w:t>（二）“三公”经费分项支出情况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2024年度本单位未发生因公出国（境）支出，与上年决算数持平。</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2024年度本单位未发生公务用车购置支出，与上年决算数持平。</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2024年度本单位未发生公务用车运行维护支出，与上年决算数持平。</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2024年度本单位未发生公务接待支出，与上年决算数持平。</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pStyle w:val="9"/>
        <w:shd w:val="clear" w:color="auto" w:fill="FFFFFF"/>
        <w:spacing w:before="0" w:beforeAutospacing="0" w:after="0" w:afterAutospacing="0" w:line="596" w:lineRule="exact"/>
        <w:ind w:firstLine="642"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四、其他需要说明的事项</w:t>
      </w:r>
    </w:p>
    <w:p>
      <w:pPr>
        <w:pStyle w:val="9"/>
        <w:shd w:val="clear" w:color="auto" w:fill="FFFFFF"/>
        <w:spacing w:before="0" w:beforeAutospacing="0" w:after="0" w:afterAutospacing="0" w:line="596" w:lineRule="exact"/>
        <w:ind w:firstLine="642" w:firstLineChars="200"/>
        <w:jc w:val="both"/>
        <w:rPr>
          <w:rFonts w:hint="default" w:ascii="Times New Roman" w:hAnsi="Times New Roman" w:eastAsia="楷体"/>
          <w:b/>
          <w:bCs/>
          <w:sz w:val="32"/>
          <w:szCs w:val="32"/>
          <w:shd w:val="clear" w:color="auto" w:fill="FFFFFF"/>
        </w:rPr>
      </w:pPr>
      <w:r>
        <w:rPr>
          <w:rFonts w:hint="default" w:ascii="Times New Roman" w:hAnsi="Times New Roman" w:eastAsia="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0.00万元，与2023年度相比，无增减。因2024年没有开展线下培训会议，未使用财政资金保障会议费。本年度培训费支出0.13万元，与2023年度相比，增加0.08万元，增长160.0%，主要原因是根据市人社局要求，增加了职员培训。本年度差旅费支出0.37</w:t>
      </w:r>
      <w:r>
        <w:rPr>
          <w:rFonts w:hint="default" w:ascii="Times New Roman" w:hAnsi="Times New Roman" w:eastAsia="方正仿宋_GBK"/>
          <w:sz w:val="32"/>
          <w:szCs w:val="32"/>
        </w:rPr>
        <w:t>万元，</w:t>
      </w:r>
      <w:r>
        <w:rPr>
          <w:rFonts w:hint="default" w:ascii="Times New Roman" w:hAnsi="Times New Roman" w:eastAsia="方正仿宋_GBK"/>
          <w:sz w:val="32"/>
          <w:szCs w:val="32"/>
          <w:shd w:val="clear" w:color="auto" w:fill="FFFFFF"/>
        </w:rPr>
        <w:t>与2023年度相比，减少0.28万元，下降43.1%，主要原因是出差减少。</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按照部门决算列报口径，我单位不在机关运行经费统计范围之内。</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9"/>
        <w:snapToGrid w:val="0"/>
        <w:spacing w:before="0" w:beforeAutospacing="0" w:after="0" w:afterAutospacing="0" w:line="596" w:lineRule="exact"/>
        <w:ind w:firstLine="803" w:firstLineChars="250"/>
        <w:jc w:val="both"/>
        <w:rPr>
          <w:rFonts w:hint="default" w:ascii="Times New Roman" w:hAnsi="Times New Roman" w:eastAsia="方正仿宋_GBK"/>
          <w:b/>
          <w:bCs/>
          <w:sz w:val="32"/>
          <w:szCs w:val="32"/>
          <w:shd w:val="clear" w:color="auto" w:fill="FFFFFF"/>
        </w:rPr>
      </w:pPr>
      <w:r>
        <w:rPr>
          <w:rFonts w:hint="default" w:ascii="Times New Roman" w:hAnsi="Times New Roman" w:eastAsia="方正仿宋_GBK"/>
          <w:b/>
          <w:bCs/>
          <w:sz w:val="32"/>
          <w:szCs w:val="32"/>
          <w:shd w:val="clear" w:color="auto" w:fill="FFFFFF"/>
        </w:rPr>
        <w:t>2024年度我单位未发生政府采购事项，无相关经费支出。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2" w:firstLineChars="200"/>
        <w:jc w:val="both"/>
        <w:textAlignment w:val="auto"/>
        <w:rPr>
          <w:rStyle w:val="13"/>
          <w:rFonts w:ascii="Times New Roman" w:hAnsi="Times New Roman" w:eastAsia="黑体"/>
          <w:sz w:val="32"/>
          <w:szCs w:val="32"/>
          <w:shd w:val="clear" w:color="auto" w:fill="FFFFFF"/>
        </w:rPr>
      </w:pPr>
      <w:bookmarkStart w:id="0" w:name="_GoBack"/>
      <w:bookmarkEnd w:id="0"/>
      <w:r>
        <w:rPr>
          <w:rStyle w:val="13"/>
          <w:rFonts w:ascii="Times New Roman" w:hAnsi="Times New Roman" w:eastAsia="黑体"/>
          <w:sz w:val="32"/>
          <w:szCs w:val="32"/>
          <w:shd w:val="clear" w:color="auto" w:fill="FFFFFF"/>
        </w:rPr>
        <w:t>五、2024年度预算绩效管理情况说明</w:t>
      </w:r>
    </w:p>
    <w:p>
      <w:pPr>
        <w:pStyle w:val="15"/>
        <w:autoSpaceDE w:val="0"/>
        <w:spacing w:before="0" w:beforeAutospacing="0" w:after="0" w:afterAutospacing="0" w:line="596" w:lineRule="exact"/>
        <w:ind w:firstLine="642" w:firstLineChars="20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（一）单位自评情况</w:t>
      </w:r>
    </w:p>
    <w:p>
      <w:pPr>
        <w:pStyle w:val="15"/>
        <w:autoSpaceDE w:val="0"/>
        <w:spacing w:before="0" w:beforeAutospacing="0" w:after="0" w:afterAutospacing="0" w:line="596" w:lineRule="exact"/>
        <w:ind w:firstLine="640" w:firstLineChars="200"/>
        <w:rPr>
          <w:rFonts w:ascii="Times New Roman" w:hAnsi="Times New Roman" w:eastAsia="方正仿宋_GBK"/>
          <w:b/>
          <w:bCs/>
          <w:sz w:val="32"/>
          <w:szCs w:val="32"/>
          <w:shd w:val="clear" w:color="auto" w:fill="FFFFFF"/>
        </w:rPr>
      </w:pPr>
      <w:r>
        <w:rPr>
          <w:rFonts w:ascii="Times New Roman" w:hAnsi="Times New Roman" w:eastAsia="方正仿宋_GBK"/>
          <w:sz w:val="32"/>
          <w:szCs w:val="32"/>
          <w:shd w:val="clear" w:color="auto" w:fill="FFFFFF"/>
        </w:rPr>
        <w:t>根据预算绩效管理要求，我单位对8个项目开展了绩效自评，涉及财政拨款项目支出资金618.34万元。</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2024年度项目支出绩效自评情况表见附件。</w:t>
      </w:r>
    </w:p>
    <w:p>
      <w:pPr>
        <w:pStyle w:val="15"/>
        <w:autoSpaceDE w:val="0"/>
        <w:spacing w:before="0" w:beforeAutospacing="0" w:after="0" w:afterAutospacing="0" w:line="596" w:lineRule="exact"/>
        <w:ind w:firstLine="642" w:firstLineChars="20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（二）部门绩效评价情况</w:t>
      </w:r>
    </w:p>
    <w:p>
      <w:pPr>
        <w:pStyle w:val="19"/>
        <w:autoSpaceDE w:val="0"/>
        <w:spacing w:line="596" w:lineRule="exact"/>
        <w:ind w:firstLine="64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我单位未开展部门绩效评价。</w:t>
      </w:r>
    </w:p>
    <w:p>
      <w:pPr>
        <w:pStyle w:val="19"/>
        <w:autoSpaceDE w:val="0"/>
        <w:spacing w:line="596" w:lineRule="exact"/>
        <w:ind w:firstLine="643"/>
        <w:rPr>
          <w:rFonts w:hint="default" w:ascii="Times New Roman" w:hAnsi="Times New Roman" w:eastAsia="方正仿宋_GBK"/>
          <w:sz w:val="32"/>
          <w:szCs w:val="32"/>
          <w:shd w:val="clear" w:color="auto" w:fill="FFFFFF"/>
        </w:rPr>
      </w:pPr>
      <w:r>
        <w:rPr>
          <w:rFonts w:hint="default" w:ascii="Times New Roman" w:hAnsi="Times New Roman" w:eastAsia="楷体"/>
          <w:b/>
          <w:bCs/>
          <w:sz w:val="32"/>
          <w:szCs w:val="32"/>
          <w:shd w:val="clear" w:color="auto" w:fill="FFFFFF"/>
          <w:lang w:bidi="ar"/>
        </w:rPr>
        <w:t>（三）财政绩效评价情况</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县财政局未委托第三方对我单位开展绩效评价。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2" w:firstLineChars="200"/>
        <w:jc w:val="both"/>
        <w:textAlignment w:val="auto"/>
        <w:rPr>
          <w:rFonts w:ascii="Times New Roman" w:hAnsi="Times New Roman" w:eastAsia="方正仿宋_GBK"/>
          <w:sz w:val="32"/>
          <w:szCs w:val="32"/>
        </w:rPr>
      </w:pPr>
      <w:r>
        <w:rPr>
          <w:rStyle w:val="13"/>
          <w:rFonts w:ascii="Times New Roman" w:hAnsi="Times New Roman" w:eastAsia="黑体"/>
          <w:sz w:val="32"/>
          <w:szCs w:val="32"/>
          <w:shd w:val="clear" w:color="auto" w:fill="FFFFFF"/>
        </w:rPr>
        <w:t>六、专业名词解释</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（一）财政拨款收入：</w:t>
      </w:r>
      <w:r>
        <w:rPr>
          <w:rFonts w:hint="default" w:ascii="Times New Roman" w:hAnsi="Times New Roman" w:eastAsia="方正仿宋_GBK"/>
          <w:sz w:val="32"/>
          <w:szCs w:val="32"/>
        </w:rPr>
        <w:t>指本年度从本级财政部门取得的财政拨款，包括一般公共预算财政拨款和政府性基金预算财政拨款。</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（二）事业收入：</w:t>
      </w:r>
      <w:r>
        <w:rPr>
          <w:rFonts w:hint="default" w:ascii="Times New Roman" w:hAnsi="Times New Roman" w:eastAsia="方正仿宋_GBK"/>
          <w:sz w:val="32"/>
          <w:szCs w:val="32"/>
        </w:rPr>
        <w:t>指事业单位开展专业业务活动及其辅助活动取得的现金流入；事业单位收到的财政专户实际核拨的教育收费等资金在此反映。</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（三）经营收入：</w:t>
      </w:r>
      <w:r>
        <w:rPr>
          <w:rFonts w:hint="default" w:ascii="Times New Roman" w:hAnsi="Times New Roman" w:eastAsia="方正仿宋_GBK"/>
          <w:sz w:val="32"/>
          <w:szCs w:val="32"/>
        </w:rPr>
        <w:t>指事业单位在专业业务活动及其辅助活动之外开展非独立核算经营活动取得的现金流入。</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（四）年初结转和结余：</w:t>
      </w:r>
      <w:r>
        <w:rPr>
          <w:rFonts w:hint="default" w:ascii="Times New Roman" w:hAnsi="Times New Roman" w:eastAsia="方正仿宋_GBK"/>
          <w:sz w:val="32"/>
          <w:szCs w:val="32"/>
        </w:rPr>
        <w:t>指单位上年结转本年使用的基本支出结转、项目支出结转和结余、经营结余。</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（五）年末结转和结余：</w:t>
      </w:r>
      <w:r>
        <w:rPr>
          <w:rFonts w:hint="default" w:ascii="Times New Roman" w:hAnsi="Times New Roman" w:eastAsia="方正仿宋_GBK"/>
          <w:sz w:val="32"/>
          <w:szCs w:val="32"/>
        </w:rPr>
        <w:t>指单位结转下年的基本支出结转、项目支出结转和结余、经营结余。</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（六）基本支出：</w:t>
      </w:r>
      <w:r>
        <w:rPr>
          <w:rFonts w:hint="default"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（七）项目支出：</w:t>
      </w:r>
      <w:r>
        <w:rPr>
          <w:rFonts w:hint="default" w:ascii="Times New Roman" w:hAnsi="Times New Roman" w:eastAsia="方正仿宋_GBK"/>
          <w:sz w:val="32"/>
          <w:szCs w:val="32"/>
        </w:rPr>
        <w:t>指在基本支出之外为完成特定行政任务和事业发展目标所发生的支出。</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（八）“三公”经费：</w:t>
      </w:r>
      <w:r>
        <w:rPr>
          <w:rFonts w:hint="default"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（九）工资福利支出（支出经济分类科目类级）：</w:t>
      </w:r>
      <w:r>
        <w:rPr>
          <w:rFonts w:hint="default" w:ascii="Times New Roman" w:hAnsi="Times New Roman" w:eastAsia="方正仿宋_GBK"/>
          <w:sz w:val="32"/>
          <w:szCs w:val="32"/>
        </w:rPr>
        <w:t>反映单位开支的在职职工和编制外长期聘用人员的各类劳动报酬，以及为上述人员缴纳的各项社会保险费等。</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（十）商品和服务支出（支出经济分类科目类级）：</w:t>
      </w:r>
      <w:r>
        <w:rPr>
          <w:rFonts w:hint="default" w:ascii="Times New Roman" w:hAnsi="Times New Roman" w:eastAsia="方正仿宋_GBK"/>
          <w:sz w:val="32"/>
          <w:szCs w:val="32"/>
        </w:rPr>
        <w:t>反映单位购买商品和服务的支出（不包括用于购置固定资产的支出、战略性和应急储备支出）。</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（十一）对个人和家庭的补助（支出经济分类科目类级）：</w:t>
      </w:r>
      <w:r>
        <w:rPr>
          <w:rFonts w:hint="default" w:ascii="Times New Roman" w:hAnsi="Times New Roman" w:eastAsia="方正仿宋_GBK"/>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黑体_GBK"/>
          <w:sz w:val="32"/>
          <w:szCs w:val="32"/>
        </w:rPr>
      </w:pPr>
      <w:r>
        <w:rPr>
          <w:rFonts w:hint="default" w:ascii="Times New Roman" w:hAnsi="Times New Roman" w:eastAsia="方正黑体_GBK"/>
          <w:sz w:val="32"/>
          <w:szCs w:val="32"/>
        </w:rPr>
        <w:t>七、决算公开联系方式及信息反馈渠道</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本单位决算公开信息反馈和联系方式：</w:t>
      </w:r>
    </w:p>
    <w:p>
      <w:pPr>
        <w:spacing w:line="54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秦老师      023-70606052</w:t>
      </w:r>
    </w:p>
    <w:p>
      <w:pPr>
        <w:spacing w:line="540" w:lineRule="exact"/>
        <w:ind w:firstLine="640" w:firstLineChars="200"/>
        <w:rPr>
          <w:rFonts w:hint="default" w:ascii="Times New Roman" w:hAnsi="Times New Roman" w:eastAsia="方正仿宋_GBK"/>
          <w:sz w:val="32"/>
          <w:szCs w:val="32"/>
        </w:rPr>
      </w:pPr>
    </w:p>
    <w:p>
      <w:pPr>
        <w:pStyle w:val="14"/>
        <w:autoSpaceDE w:val="0"/>
        <w:spacing w:line="596" w:lineRule="exact"/>
        <w:ind w:firstLine="643"/>
        <w:jc w:val="both"/>
        <w:rPr>
          <w:rStyle w:val="13"/>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2"/>
                <w:szCs w:val="22"/>
              </w:rPr>
            </w:pPr>
            <w:r>
              <w:rPr>
                <w:rFonts w:hint="default" w:ascii="Times New Roman" w:hAnsi="Times New Roman"/>
                <w:sz w:val="20"/>
                <w:szCs w:val="20"/>
              </w:rPr>
              <w:t>单位：</w:t>
            </w:r>
            <w:r>
              <w:rPr>
                <w:rFonts w:hint="default" w:ascii="Times New Roman" w:hAnsi="Times New Roman"/>
                <w:sz w:val="20"/>
              </w:rPr>
              <w:t>丰都县党政信息中心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888.16</w:t>
            </w: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831.66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33.25</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888.16</w:t>
            </w: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888.62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0.75</w:t>
            </w: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888.91</w:t>
            </w: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888.91</w:t>
            </w:r>
            <w:r>
              <w:rPr>
                <w:rFonts w:hint="default" w:ascii="Times New Roman" w:hAnsi="Times New Roman"/>
                <w:color w:val="000000"/>
                <w:sz w:val="20"/>
              </w:rPr>
              <w:t xml:space="preserve"> </w:t>
            </w:r>
          </w:p>
        </w:tc>
      </w:tr>
    </w:tbl>
    <w:p>
      <w:pPr>
        <w:rPr>
          <w:rFonts w:hint="default" w:ascii="Times New Roman" w:hAnsi="Times New Roman"/>
          <w:sz w:val="21"/>
          <w:szCs w:val="21"/>
        </w:rPr>
      </w:pPr>
    </w:p>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sz w:val="20"/>
              </w:rPr>
              <w:t>丰都县党政信息中心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185"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140"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888.16</w:t>
            </w:r>
            <w:r>
              <w:rPr>
                <w:rFonts w:hint="default"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888.16</w:t>
            </w:r>
            <w:r>
              <w:rPr>
                <w:rFonts w:hint="default"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831.19</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831.19</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党委办公厅（室）及相关机构事务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831.19</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831.19</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212.74</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212.74</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其他党委办公厅（室）及相关机构事务支出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618.45</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618.45</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33.25</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33.25</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33.25</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33.25</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582"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22.17</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22.17</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1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8.37</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8.37</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hint="default"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146"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hint="default"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 xml:space="preserve">丰都县党政信息中心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171"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169"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888.62</w:t>
            </w:r>
            <w:r>
              <w:rPr>
                <w:rFonts w:hint="default"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270.29</w:t>
            </w:r>
            <w:r>
              <w:rPr>
                <w:rFonts w:hint="default"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618.34</w:t>
            </w:r>
            <w:r>
              <w:rPr>
                <w:rFonts w:hint="default"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831.66</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213.33</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618.34</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6"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党委办公厅（室）及相关机构事务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831.66</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213.33</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618.34</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241"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213.21</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213.21</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488"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其他党委办公厅（室）及相关机构事务支出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618.45</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618.34</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71"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33.25</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33.25</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33.25</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33.25</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22.17</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22.17</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8.37</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8.37</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hint="default"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hint="default"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110"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hint="default"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hint="default"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丰都县党政信息中心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888.16</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831.66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831.66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888.16</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888.62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888.62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888.91</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888.91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888.91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丰都县党政信息中心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888.62</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270.29</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618.34</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831.66</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213.33</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618.34</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831.66</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213.33</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618.34</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213.21</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213.21</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其他党委办公厅（室）及相关机构事务支出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618.45</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618.34</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33.25</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33.25</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33.25</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33.25</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22.17</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22.17</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11.08</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11.08</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11.90</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11.90</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8.37</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8.37</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11.81</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11.81</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丰都县党政信息中心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245.51</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59.27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116.40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22.31</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253.13</w:t>
            </w:r>
            <w:r>
              <w:rPr>
                <w:rFonts w:hint="default"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17.15</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丰都县党政信息中心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丰都县党政信息中心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ascii="Times New Roman" w:hAnsi="Times New Roman"/>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r>
              <w:rPr>
                <w:rFonts w:hint="default" w:ascii="Times New Roman" w:hAnsi="Times New Roman"/>
                <w:kern w:val="2"/>
                <w:sz w:val="20"/>
                <w:szCs w:val="20"/>
              </w:rPr>
              <w:t>单位</w:t>
            </w:r>
            <w:r>
              <w:rPr>
                <w:rFonts w:hint="default" w:ascii="Times New Roman" w:hAnsi="Times New Roman"/>
                <w:color w:val="000000"/>
                <w:kern w:val="2"/>
                <w:sz w:val="20"/>
                <w:szCs w:val="20"/>
              </w:rPr>
              <w:t>：</w:t>
            </w:r>
            <w:r>
              <w:rPr>
                <w:rFonts w:hint="default" w:ascii="Times New Roman" w:hAnsi="Times New Roman"/>
                <w:color w:val="000000"/>
                <w:sz w:val="20"/>
              </w:rPr>
              <w:t>丰都县党政信息中心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0.13</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0.37</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16"/>
                <w:szCs w:val="16"/>
              </w:rPr>
            </w:pPr>
          </w:p>
        </w:tc>
      </w:tr>
    </w:tbl>
    <w:p>
      <w:pPr>
        <w:rPr>
          <w:rFonts w:hint="default" w:ascii="Times New Roman" w:hAnsi="Times New Roman"/>
          <w:sz w:val="18"/>
          <w:szCs w:val="18"/>
        </w:rPr>
      </w:pPr>
      <w:r>
        <w:rPr>
          <w:rFonts w:hint="default" w:ascii="Times New Roman" w:hAnsi="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o:allowoverlap="f">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75A3C"/>
    <w:rsid w:val="00195B3D"/>
    <w:rsid w:val="001A581B"/>
    <w:rsid w:val="001D3BB7"/>
    <w:rsid w:val="002B254B"/>
    <w:rsid w:val="0034050A"/>
    <w:rsid w:val="00410458"/>
    <w:rsid w:val="0044504F"/>
    <w:rsid w:val="00466C9B"/>
    <w:rsid w:val="00472910"/>
    <w:rsid w:val="00486CFC"/>
    <w:rsid w:val="00491DDD"/>
    <w:rsid w:val="00497289"/>
    <w:rsid w:val="004A539B"/>
    <w:rsid w:val="00550ABE"/>
    <w:rsid w:val="00606B0A"/>
    <w:rsid w:val="00616F46"/>
    <w:rsid w:val="00623A85"/>
    <w:rsid w:val="00634959"/>
    <w:rsid w:val="00655745"/>
    <w:rsid w:val="00656C06"/>
    <w:rsid w:val="00770383"/>
    <w:rsid w:val="007819D4"/>
    <w:rsid w:val="00786138"/>
    <w:rsid w:val="007B419D"/>
    <w:rsid w:val="007B7C4B"/>
    <w:rsid w:val="007D3D39"/>
    <w:rsid w:val="008B3F8A"/>
    <w:rsid w:val="009116F7"/>
    <w:rsid w:val="00984C6A"/>
    <w:rsid w:val="00994AF7"/>
    <w:rsid w:val="009B67B8"/>
    <w:rsid w:val="009C14C9"/>
    <w:rsid w:val="009D2B67"/>
    <w:rsid w:val="009E1452"/>
    <w:rsid w:val="00A566F9"/>
    <w:rsid w:val="00AC53EA"/>
    <w:rsid w:val="00AF2751"/>
    <w:rsid w:val="00B03CCD"/>
    <w:rsid w:val="00BC4292"/>
    <w:rsid w:val="00BE2B89"/>
    <w:rsid w:val="00BF0D89"/>
    <w:rsid w:val="00C10E9E"/>
    <w:rsid w:val="00C20C3E"/>
    <w:rsid w:val="00C4153F"/>
    <w:rsid w:val="00C5163E"/>
    <w:rsid w:val="00CF2ACF"/>
    <w:rsid w:val="00D03AAF"/>
    <w:rsid w:val="00D30873"/>
    <w:rsid w:val="00D90C09"/>
    <w:rsid w:val="00DD0539"/>
    <w:rsid w:val="00E07662"/>
    <w:rsid w:val="00E15874"/>
    <w:rsid w:val="00E368E9"/>
    <w:rsid w:val="00E54DB9"/>
    <w:rsid w:val="00EE1E33"/>
    <w:rsid w:val="00F63CAA"/>
    <w:rsid w:val="00F73F90"/>
    <w:rsid w:val="00FB4B3B"/>
    <w:rsid w:val="00FD4E0F"/>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91870"/>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F52833"/>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99"/>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4"/>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1810</Words>
  <Characters>10321</Characters>
  <Lines>86</Lines>
  <Paragraphs>24</Paragraphs>
  <TotalTime>15</TotalTime>
  <ScaleCrop>false</ScaleCrop>
  <LinksUpToDate>false</LinksUpToDate>
  <CharactersWithSpaces>12107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2025-09-11T16:18:16Z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eyJoZGlkIjoiNjc0MTY4YTI4NjVjOTVkNzJiMzllMzU1MDMwYmEzNGQifQ==</vt:lpwstr>
  </property>
</Properties>
</file>