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7" w:lineRule="exact"/>
        <w:ind w:firstLine="880" w:firstLineChars="200"/>
        <w:jc w:val="center"/>
        <w:rPr>
          <w:rFonts w:ascii="Times New Roman" w:hAnsi="Times New Roman" w:eastAsia="方正黑体_GBK" w:cs="Times New Roman"/>
          <w:color w:val="000000"/>
          <w:kern w:val="2"/>
          <w:sz w:val="44"/>
          <w:szCs w:val="44"/>
        </w:rPr>
      </w:pPr>
      <w:r>
        <w:rPr>
          <w:rFonts w:hint="eastAsia" w:ascii="Times New Roman" w:hAnsi="Times New Roman" w:eastAsia="方正黑体_GBK" w:cs="Times New Roman"/>
          <w:color w:val="000000"/>
          <w:kern w:val="2"/>
          <w:sz w:val="44"/>
          <w:szCs w:val="44"/>
        </w:rPr>
        <w:t>丰都县廉政教育中心</w:t>
      </w:r>
    </w:p>
    <w:p>
      <w:pPr>
        <w:widowControl w:val="0"/>
        <w:spacing w:line="587" w:lineRule="exact"/>
        <w:ind w:firstLine="880" w:firstLineChars="200"/>
        <w:jc w:val="center"/>
        <w:rPr>
          <w:rFonts w:ascii="Times New Roman" w:hAnsi="Times New Roman" w:eastAsia="方正黑体_GBK" w:cs="Times New Roman"/>
          <w:color w:val="000000"/>
          <w:kern w:val="2"/>
          <w:sz w:val="44"/>
          <w:szCs w:val="44"/>
        </w:rPr>
      </w:pPr>
      <w:r>
        <w:rPr>
          <w:rFonts w:hint="eastAsia" w:ascii="Times New Roman" w:hAnsi="Times New Roman" w:eastAsia="方正黑体_GBK" w:cs="Times New Roman"/>
          <w:color w:val="000000"/>
          <w:kern w:val="2"/>
          <w:sz w:val="44"/>
          <w:szCs w:val="44"/>
        </w:rPr>
        <w:t>202</w:t>
      </w:r>
      <w:r>
        <w:rPr>
          <w:rFonts w:ascii="Times New Roman" w:hAnsi="Times New Roman" w:eastAsia="方正黑体_GBK" w:cs="Times New Roman"/>
          <w:color w:val="000000"/>
          <w:kern w:val="2"/>
          <w:sz w:val="44"/>
          <w:szCs w:val="44"/>
        </w:rPr>
        <w:t>2</w:t>
      </w:r>
      <w:r>
        <w:rPr>
          <w:rFonts w:hint="eastAsia" w:ascii="Times New Roman" w:hAnsi="Times New Roman" w:eastAsia="方正黑体_GBK" w:cs="Times New Roman"/>
          <w:color w:val="000000"/>
          <w:kern w:val="2"/>
          <w:sz w:val="44"/>
          <w:szCs w:val="44"/>
        </w:rPr>
        <w:t>年度部门决算</w:t>
      </w:r>
      <w:r>
        <w:rPr>
          <w:rFonts w:hint="eastAsia" w:ascii="Times New Roman" w:hAnsi="Times New Roman" w:eastAsia="方正黑体_GBK" w:cs="Times New Roman"/>
          <w:color w:val="000000"/>
          <w:kern w:val="2"/>
          <w:sz w:val="44"/>
          <w:szCs w:val="44"/>
          <w:lang w:eastAsia="zh-CN"/>
        </w:rPr>
        <w:t>情况</w:t>
      </w:r>
      <w:r>
        <w:rPr>
          <w:rFonts w:hint="eastAsia" w:ascii="Times New Roman" w:hAnsi="Times New Roman" w:eastAsia="方正黑体_GBK" w:cs="Times New Roman"/>
          <w:color w:val="000000"/>
          <w:kern w:val="2"/>
          <w:sz w:val="44"/>
          <w:szCs w:val="44"/>
        </w:rPr>
        <w:t>说明</w:t>
      </w:r>
    </w:p>
    <w:p>
      <w:pPr>
        <w:widowControl w:val="0"/>
        <w:spacing w:line="587" w:lineRule="exact"/>
        <w:ind w:firstLine="880" w:firstLineChars="200"/>
        <w:jc w:val="center"/>
        <w:rPr>
          <w:rFonts w:ascii="Times New Roman" w:hAnsi="Times New Roman" w:eastAsia="方正黑体_GBK" w:cs="Times New Roman"/>
          <w:color w:val="000000"/>
          <w:kern w:val="2"/>
          <w:sz w:val="44"/>
          <w:szCs w:val="44"/>
        </w:rPr>
      </w:pPr>
    </w:p>
    <w:p>
      <w:pPr>
        <w:spacing w:line="587"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一、部门基本情况</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（一）职能职责。</w:t>
      </w:r>
    </w:p>
    <w:p>
      <w:pPr>
        <w:spacing w:line="587" w:lineRule="exact"/>
        <w:ind w:firstLine="640" w:firstLineChars="200"/>
        <w:jc w:val="both"/>
        <w:rPr>
          <w:rFonts w:ascii="Times New Roman" w:hAnsi="Times New Roman" w:eastAsia="方正楷体_GBK"/>
          <w:color w:val="000000"/>
          <w:sz w:val="32"/>
          <w:szCs w:val="32"/>
        </w:rPr>
      </w:pPr>
      <w:r>
        <w:rPr>
          <w:rFonts w:ascii="Times New Roman" w:hAnsi="Times New Roman" w:eastAsia="方正仿宋_GBK" w:cs="Times New Roman"/>
          <w:sz w:val="32"/>
          <w:szCs w:val="32"/>
        </w:rPr>
        <w:t>开展廉政教育、廉洁文化建设等工作。受中共丰都县纪律检查委员会、丰都县监察委员会委托，开展党员干部廉政教育；承担丰都廉洁文化挖掘、创建、推广工作；承担全县相关部门行政审批、公共资源交易等电子监察事务性工作；参与纪检监察信息化建设；</w:t>
      </w:r>
      <w:r>
        <w:rPr>
          <w:rFonts w:ascii="Times New Roman" w:hAnsi="Times New Roman" w:eastAsia="方正仿宋_GBK" w:cs="Times New Roman"/>
          <w:color w:val="000000"/>
          <w:sz w:val="32"/>
          <w:szCs w:val="32"/>
        </w:rPr>
        <w:t>负责县委巡察组日常事务性工作</w:t>
      </w:r>
      <w:r>
        <w:rPr>
          <w:rFonts w:ascii="Times New Roman" w:hAnsi="Times New Roman" w:eastAsia="方正仿宋_GBK" w:cs="Times New Roman"/>
          <w:sz w:val="32"/>
          <w:szCs w:val="32"/>
        </w:rPr>
        <w:t>等。盘点承载廉洁文化资源的文物古迹、红色遗迹、名人故居、清官廉吏、家风家教、文艺作品、非遗技艺等，并做好廉洁文化的挖掘创建和宣传推广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开展清廉典型人物选树，廉洁示范村居、小区打造和评选工作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协助县纪委监委开展全县党员干部、公职人员廉政教育、警示教育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负责全县廉洁文化阵地、县廉政教育基地的建设、日常运行和管理维护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承担全县相关部门行政审批、公共资源交易等电子监察事务性工作，受理电子监察范围内相关投诉，对违反规定的相关单位和个人提出处理建议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负责为县纪检监察系统信息化工作及相关信息数据平台的建设、管理和维护提供技术保障，为案件调查提供信息技术支持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完成县纪委监委交办事项的督办催办、回访复核及结果运用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承担县委巡察组上下联络，县委巡察报告等材料撰写及资料归档、巡察单机系统录入管理，</w:t>
      </w:r>
      <w:r>
        <w:rPr>
          <w:rFonts w:ascii="Times New Roman" w:hAnsi="Times New Roman" w:eastAsia="方正仿宋_GBK" w:cs="Times New Roman"/>
          <w:color w:val="000000"/>
          <w:sz w:val="32"/>
          <w:szCs w:val="32"/>
        </w:rPr>
        <w:t>县委巡察工作的调查研究，参与巡察综合文字材料的起草和相关巡察信息的报送，巡察数据统计分析，巡察问题底稿资料收集、整理等工作</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协助开展县委巡察工作中的过程指导，承办落实县委巡察办和巡察组决定事项，协助开展县委巡察问题反馈和整改督导等工作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完成县纪委监委交办的其它工作。</w:t>
      </w:r>
    </w:p>
    <w:p>
      <w:pPr>
        <w:spacing w:line="594" w:lineRule="exact"/>
        <w:ind w:firstLine="542" w:firstLineChars="200"/>
        <w:rPr>
          <w:rFonts w:ascii="Times New Roman" w:hAnsi="Times New Roman" w:eastAsia="方正楷体_GBK"/>
          <w:sz w:val="32"/>
          <w:szCs w:val="32"/>
        </w:rPr>
      </w:pPr>
      <w:r>
        <w:rPr>
          <w:rStyle w:val="7"/>
          <w:rFonts w:hint="eastAsia"/>
          <w:sz w:val="27"/>
          <w:szCs w:val="27"/>
        </w:rPr>
        <w:t> </w:t>
      </w:r>
      <w:r>
        <w:rPr>
          <w:rFonts w:ascii="Times New Roman" w:hAnsi="Times New Roman" w:eastAsia="方正楷体_GBK"/>
          <w:sz w:val="32"/>
          <w:szCs w:val="32"/>
        </w:rPr>
        <w:t>（二）机构设置。</w:t>
      </w:r>
    </w:p>
    <w:p>
      <w:pPr>
        <w:spacing w:line="587"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丰都县廉政教育中心设</w:t>
      </w:r>
      <w:r>
        <w:rPr>
          <w:rFonts w:ascii="Times New Roman" w:hAnsi="Times New Roman" w:eastAsia="方正仿宋_GBK"/>
          <w:color w:val="000000"/>
          <w:sz w:val="32"/>
          <w:szCs w:val="32"/>
        </w:rPr>
        <w:t>4个内设机构：综合科、</w:t>
      </w:r>
      <w:r>
        <w:rPr>
          <w:rFonts w:hint="eastAsia" w:ascii="Times New Roman" w:hAnsi="Times New Roman" w:eastAsia="方正仿宋_GBK"/>
          <w:color w:val="000000"/>
          <w:sz w:val="32"/>
          <w:szCs w:val="32"/>
        </w:rPr>
        <w:t>信息技术保障科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督察督办科、宣传教育科（巡察事务科）。</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（三）单位构成。</w:t>
      </w:r>
    </w:p>
    <w:p>
      <w:pPr>
        <w:spacing w:line="587" w:lineRule="exact"/>
        <w:jc w:val="both"/>
        <w:rPr>
          <w:rFonts w:hint="eastAsia" w:ascii="Times New Roman" w:hAnsi="Times New Roman" w:eastAsia="方正仿宋_GBK"/>
          <w:color w:val="000000"/>
          <w:sz w:val="32"/>
          <w:szCs w:val="32"/>
          <w:highlight w:val="none"/>
        </w:rPr>
      </w:pPr>
      <w:r>
        <w:rPr>
          <w:rFonts w:hint="eastAsia" w:ascii="Times New Roman" w:hAnsi="Times New Roman" w:eastAsia="方正楷体_GBK"/>
          <w:sz w:val="32"/>
          <w:szCs w:val="32"/>
        </w:rPr>
        <w:t xml:space="preserve">    </w:t>
      </w:r>
      <w:r>
        <w:rPr>
          <w:rFonts w:hint="eastAsia" w:ascii="Times New Roman" w:hAnsi="Times New Roman" w:eastAsia="方正楷体_GBK"/>
          <w:sz w:val="32"/>
          <w:szCs w:val="32"/>
          <w:highlight w:val="none"/>
        </w:rPr>
        <w:t xml:space="preserve"> </w:t>
      </w:r>
      <w:r>
        <w:rPr>
          <w:rFonts w:hint="eastAsia" w:ascii="Times New Roman" w:hAnsi="Times New Roman" w:eastAsia="方正仿宋_GBK"/>
          <w:color w:val="000000"/>
          <w:sz w:val="32"/>
          <w:szCs w:val="32"/>
          <w:highlight w:val="none"/>
        </w:rPr>
        <w:t>从预算单位构成看，无纳入本部门2022年度决算编制的</w:t>
      </w:r>
      <w:r>
        <w:rPr>
          <w:rFonts w:hint="eastAsia" w:ascii="Times New Roman" w:hAnsi="Times New Roman" w:eastAsia="方正仿宋_GBK"/>
          <w:color w:val="000000"/>
          <w:sz w:val="32"/>
          <w:szCs w:val="32"/>
          <w:highlight w:val="none"/>
          <w:lang w:eastAsia="zh-CN"/>
        </w:rPr>
        <w:t>下</w:t>
      </w:r>
      <w:r>
        <w:rPr>
          <w:rFonts w:hint="eastAsia" w:ascii="Times New Roman" w:hAnsi="Times New Roman" w:eastAsia="方正仿宋_GBK"/>
          <w:color w:val="000000"/>
          <w:sz w:val="32"/>
          <w:szCs w:val="32"/>
          <w:highlight w:val="none"/>
        </w:rPr>
        <w:t>级预算单位。</w:t>
      </w:r>
    </w:p>
    <w:p>
      <w:pPr>
        <w:widowControl w:val="0"/>
        <w:spacing w:line="587" w:lineRule="exact"/>
        <w:ind w:firstLine="640" w:firstLineChars="200"/>
        <w:jc w:val="both"/>
        <w:rPr>
          <w:rFonts w:ascii="Times New Roman" w:hAnsi="Times New Roman" w:eastAsia="方正黑体_GBK" w:cs="Times New Roman"/>
          <w:color w:val="000000"/>
          <w:kern w:val="2"/>
          <w:sz w:val="32"/>
          <w:szCs w:val="32"/>
        </w:rPr>
      </w:pPr>
      <w:r>
        <w:rPr>
          <w:rFonts w:hint="eastAsia" w:ascii="Times New Roman" w:hAnsi="Times New Roman" w:eastAsia="方正黑体_GBK" w:cs="Times New Roman"/>
          <w:color w:val="000000"/>
          <w:kern w:val="2"/>
          <w:sz w:val="32"/>
          <w:szCs w:val="32"/>
        </w:rPr>
        <w:t>二、部门决算情况说明</w:t>
      </w:r>
    </w:p>
    <w:p>
      <w:pPr>
        <w:widowControl w:val="0"/>
        <w:spacing w:line="587" w:lineRule="exact"/>
        <w:ind w:firstLine="640" w:firstLineChars="200"/>
        <w:jc w:val="both"/>
        <w:rPr>
          <w:rFonts w:ascii="Times New Roman" w:hAnsi="Times New Roman" w:eastAsia="方正楷体_GBK" w:cs="Times New Roman"/>
          <w:color w:val="000000"/>
          <w:kern w:val="2"/>
          <w:sz w:val="32"/>
          <w:szCs w:val="32"/>
        </w:rPr>
      </w:pPr>
      <w:r>
        <w:rPr>
          <w:rFonts w:hint="eastAsia" w:ascii="Times New Roman" w:hAnsi="Times New Roman" w:eastAsia="方正楷体_GBK" w:cs="Times New Roman"/>
          <w:color w:val="000000"/>
          <w:kern w:val="2"/>
          <w:sz w:val="32"/>
          <w:szCs w:val="32"/>
        </w:rPr>
        <w:t>（一）收入支出决算总体情况说明</w:t>
      </w:r>
    </w:p>
    <w:p>
      <w:pPr>
        <w:widowControl w:val="0"/>
        <w:spacing w:line="587" w:lineRule="exact"/>
        <w:ind w:firstLine="800" w:firstLineChars="250"/>
        <w:jc w:val="both"/>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bCs/>
          <w:color w:val="000000"/>
          <w:kern w:val="2"/>
          <w:sz w:val="32"/>
          <w:szCs w:val="32"/>
        </w:rPr>
        <w:t>1. 总体情况。202</w:t>
      </w:r>
      <w:r>
        <w:rPr>
          <w:rFonts w:ascii="Times New Roman" w:hAnsi="Times New Roman" w:eastAsia="方正仿宋_GBK" w:cs="Times New Roman"/>
          <w:bCs/>
          <w:color w:val="000000"/>
          <w:kern w:val="2"/>
          <w:sz w:val="32"/>
          <w:szCs w:val="32"/>
        </w:rPr>
        <w:t>2</w:t>
      </w:r>
      <w:r>
        <w:rPr>
          <w:rFonts w:hint="eastAsia" w:ascii="Times New Roman" w:hAnsi="Times New Roman" w:eastAsia="方正仿宋_GBK" w:cs="Times New Roman"/>
          <w:bCs/>
          <w:color w:val="000000"/>
          <w:kern w:val="2"/>
          <w:sz w:val="32"/>
          <w:szCs w:val="32"/>
        </w:rPr>
        <w:t>年度收入总计22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bCs/>
          <w:color w:val="000000"/>
          <w:kern w:val="2"/>
          <w:sz w:val="32"/>
          <w:szCs w:val="32"/>
        </w:rPr>
        <w:t>万元，支出总计22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bCs/>
          <w:color w:val="000000"/>
          <w:kern w:val="2"/>
          <w:sz w:val="32"/>
          <w:szCs w:val="32"/>
        </w:rPr>
        <w:t>万元。收支较上年决算数增加</w:t>
      </w:r>
      <w:r>
        <w:rPr>
          <w:rFonts w:ascii="Times New Roman" w:hAnsi="Times New Roman" w:eastAsia="方正仿宋_GBK" w:cs="Times New Roman"/>
          <w:bCs/>
          <w:color w:val="000000"/>
          <w:kern w:val="2"/>
          <w:sz w:val="32"/>
          <w:szCs w:val="32"/>
        </w:rPr>
        <w:t>3.3</w:t>
      </w:r>
      <w:r>
        <w:rPr>
          <w:rFonts w:hint="eastAsia" w:ascii="Times New Roman" w:hAnsi="Times New Roman" w:eastAsia="方正仿宋_GBK" w:cs="Times New Roman"/>
          <w:bCs/>
          <w:color w:val="000000"/>
          <w:kern w:val="2"/>
          <w:sz w:val="32"/>
          <w:szCs w:val="32"/>
        </w:rPr>
        <w:t>万元、增</w:t>
      </w:r>
      <w:r>
        <w:rPr>
          <w:rFonts w:hint="eastAsia" w:ascii="Times New Roman" w:hAnsi="Times New Roman" w:eastAsia="方正仿宋_GBK" w:cs="Times New Roman"/>
          <w:bCs/>
          <w:color w:val="000000"/>
          <w:kern w:val="2"/>
          <w:sz w:val="32"/>
          <w:szCs w:val="32"/>
          <w:lang w:eastAsia="zh-CN"/>
        </w:rPr>
        <w:t>长</w:t>
      </w:r>
      <w:r>
        <w:rPr>
          <w:rFonts w:ascii="Times New Roman" w:hAnsi="Times New Roman" w:eastAsia="方正仿宋_GBK" w:cs="Times New Roman"/>
          <w:bCs/>
          <w:color w:val="000000"/>
          <w:kern w:val="2"/>
          <w:sz w:val="32"/>
          <w:szCs w:val="32"/>
        </w:rPr>
        <w:t>1.5</w:t>
      </w:r>
      <w:r>
        <w:rPr>
          <w:rFonts w:hint="eastAsia" w:ascii="Times New Roman" w:hAnsi="Times New Roman" w:eastAsia="方正仿宋_GBK" w:cs="Times New Roman"/>
          <w:bCs/>
          <w:color w:val="000000"/>
          <w:kern w:val="2"/>
          <w:sz w:val="32"/>
          <w:szCs w:val="32"/>
        </w:rPr>
        <w:t>%，主要原因是</w:t>
      </w:r>
      <w:r>
        <w:rPr>
          <w:rFonts w:hint="eastAsia" w:ascii="Times New Roman" w:hAnsi="Times New Roman" w:eastAsia="方正仿宋_GBK" w:cs="Times New Roman"/>
          <w:color w:val="000000"/>
          <w:kern w:val="2"/>
          <w:sz w:val="32"/>
          <w:szCs w:val="32"/>
        </w:rPr>
        <w:t>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w:t>
      </w:r>
    </w:p>
    <w:p>
      <w:pPr>
        <w:widowControl w:val="0"/>
        <w:spacing w:line="587" w:lineRule="exact"/>
        <w:ind w:firstLine="800" w:firstLineChars="250"/>
        <w:jc w:val="both"/>
        <w:rPr>
          <w:rFonts w:ascii="Times New Roman" w:hAnsi="Times New Roman" w:eastAsia="方正仿宋_GBK" w:cs="Times New Roman"/>
          <w:bCs/>
          <w:color w:val="000000"/>
          <w:kern w:val="2"/>
          <w:sz w:val="32"/>
          <w:szCs w:val="32"/>
        </w:rPr>
      </w:pPr>
      <w:r>
        <w:rPr>
          <w:rFonts w:hint="eastAsia" w:ascii="Times New Roman" w:hAnsi="Times New Roman" w:eastAsia="方正仿宋_GBK" w:cs="Times New Roman"/>
          <w:bCs/>
          <w:color w:val="000000"/>
          <w:kern w:val="2"/>
          <w:sz w:val="32"/>
          <w:szCs w:val="32"/>
        </w:rPr>
        <w:t>2. 收入情况。202</w:t>
      </w:r>
      <w:r>
        <w:rPr>
          <w:rFonts w:ascii="Times New Roman" w:hAnsi="Times New Roman" w:eastAsia="方正仿宋_GBK" w:cs="Times New Roman"/>
          <w:bCs/>
          <w:color w:val="000000"/>
          <w:kern w:val="2"/>
          <w:sz w:val="32"/>
          <w:szCs w:val="32"/>
        </w:rPr>
        <w:t>2</w:t>
      </w:r>
      <w:r>
        <w:rPr>
          <w:rFonts w:hint="eastAsia" w:ascii="Times New Roman" w:hAnsi="Times New Roman" w:eastAsia="方正仿宋_GBK" w:cs="Times New Roman"/>
          <w:bCs/>
          <w:color w:val="000000"/>
          <w:kern w:val="2"/>
          <w:sz w:val="32"/>
          <w:szCs w:val="32"/>
        </w:rPr>
        <w:t>年度收入合计22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bCs/>
          <w:color w:val="000000"/>
          <w:kern w:val="2"/>
          <w:sz w:val="32"/>
          <w:szCs w:val="32"/>
        </w:rPr>
        <w:t>万元，较上年决算数增加</w:t>
      </w:r>
      <w:r>
        <w:rPr>
          <w:rFonts w:ascii="Times New Roman" w:hAnsi="Times New Roman" w:eastAsia="方正仿宋_GBK" w:cs="Times New Roman"/>
          <w:bCs/>
          <w:color w:val="000000"/>
          <w:kern w:val="2"/>
          <w:sz w:val="32"/>
          <w:szCs w:val="32"/>
        </w:rPr>
        <w:t>3.3</w:t>
      </w:r>
      <w:r>
        <w:rPr>
          <w:rFonts w:hint="eastAsia" w:ascii="Times New Roman" w:hAnsi="Times New Roman" w:eastAsia="方正仿宋_GBK" w:cs="Times New Roman"/>
          <w:bCs/>
          <w:color w:val="000000"/>
          <w:kern w:val="2"/>
          <w:sz w:val="32"/>
          <w:szCs w:val="32"/>
        </w:rPr>
        <w:t>万元，增长1.</w:t>
      </w:r>
      <w:r>
        <w:rPr>
          <w:rFonts w:ascii="Times New Roman" w:hAnsi="Times New Roman" w:eastAsia="方正仿宋_GBK" w:cs="Times New Roman"/>
          <w:bCs/>
          <w:color w:val="000000"/>
          <w:kern w:val="2"/>
          <w:sz w:val="32"/>
          <w:szCs w:val="32"/>
        </w:rPr>
        <w:t>5</w:t>
      </w:r>
      <w:r>
        <w:rPr>
          <w:rFonts w:hint="eastAsia" w:ascii="Times New Roman" w:hAnsi="Times New Roman" w:eastAsia="方正仿宋_GBK" w:cs="Times New Roman"/>
          <w:bCs/>
          <w:color w:val="000000"/>
          <w:kern w:val="2"/>
          <w:sz w:val="32"/>
          <w:szCs w:val="32"/>
        </w:rPr>
        <w:t>%，主要原因是</w:t>
      </w:r>
      <w:r>
        <w:rPr>
          <w:rFonts w:hint="eastAsia" w:ascii="Times New Roman" w:hAnsi="Times New Roman" w:eastAsia="方正仿宋_GBK" w:cs="Times New Roman"/>
          <w:color w:val="000000"/>
          <w:kern w:val="2"/>
          <w:sz w:val="32"/>
          <w:szCs w:val="32"/>
        </w:rPr>
        <w:t>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w:t>
      </w:r>
      <w:r>
        <w:rPr>
          <w:rFonts w:hint="eastAsia" w:ascii="Times New Roman" w:hAnsi="Times New Roman" w:eastAsia="方正仿宋_GBK" w:cs="Times New Roman"/>
          <w:bCs/>
          <w:color w:val="000000"/>
          <w:kern w:val="2"/>
          <w:sz w:val="32"/>
          <w:szCs w:val="32"/>
        </w:rPr>
        <w:t>其中：财政拨款收入22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bCs/>
          <w:color w:val="000000"/>
          <w:kern w:val="2"/>
          <w:sz w:val="32"/>
          <w:szCs w:val="32"/>
        </w:rPr>
        <w:t>万元，占100%。</w:t>
      </w:r>
      <w:r>
        <w:rPr>
          <w:rFonts w:ascii="Times New Roman" w:hAnsi="Times New Roman" w:eastAsia="方正仿宋_GBK"/>
          <w:sz w:val="32"/>
          <w:szCs w:val="32"/>
        </w:rPr>
        <w:t>此外，使用非财政拨款结余</w:t>
      </w:r>
      <w:r>
        <w:rPr>
          <w:rFonts w:hint="eastAsia" w:ascii="Times New Roman" w:hAnsi="Times New Roman" w:eastAsia="方正仿宋_GBK"/>
          <w:sz w:val="32"/>
          <w:szCs w:val="32"/>
        </w:rPr>
        <w:t>0.00</w:t>
      </w:r>
      <w:r>
        <w:rPr>
          <w:rFonts w:ascii="Times New Roman" w:hAnsi="Times New Roman" w:eastAsia="方正仿宋_GBK"/>
          <w:sz w:val="32"/>
          <w:szCs w:val="32"/>
        </w:rPr>
        <w:t>万元，</w:t>
      </w:r>
      <w:r>
        <w:rPr>
          <w:rFonts w:hint="eastAsia" w:ascii="Times New Roman" w:hAnsi="Times New Roman" w:eastAsia="方正仿宋_GBK" w:cs="Times New Roman"/>
          <w:bCs/>
          <w:color w:val="000000"/>
          <w:kern w:val="2"/>
          <w:sz w:val="32"/>
          <w:szCs w:val="32"/>
        </w:rPr>
        <w:t>年初结转和结余</w:t>
      </w:r>
      <w:r>
        <w:rPr>
          <w:rFonts w:ascii="Times New Roman" w:hAnsi="Times New Roman" w:eastAsia="方正仿宋_GBK" w:cs="Times New Roman"/>
          <w:bCs/>
          <w:color w:val="000000"/>
          <w:kern w:val="2"/>
          <w:sz w:val="32"/>
          <w:szCs w:val="32"/>
        </w:rPr>
        <w:t>0.00</w:t>
      </w:r>
      <w:r>
        <w:rPr>
          <w:rFonts w:hint="eastAsia" w:ascii="Times New Roman" w:hAnsi="Times New Roman" w:eastAsia="方正仿宋_GBK" w:cs="Times New Roman"/>
          <w:bCs/>
          <w:color w:val="000000"/>
          <w:kern w:val="2"/>
          <w:sz w:val="32"/>
          <w:szCs w:val="32"/>
        </w:rPr>
        <w:t>万元。</w:t>
      </w:r>
    </w:p>
    <w:p>
      <w:pPr>
        <w:widowControl w:val="0"/>
        <w:spacing w:line="587" w:lineRule="exact"/>
        <w:ind w:firstLine="800" w:firstLineChars="250"/>
        <w:jc w:val="both"/>
        <w:rPr>
          <w:rFonts w:ascii="Times New Roman" w:hAnsi="Times New Roman" w:eastAsia="方正仿宋_GBK" w:cs="Times New Roman"/>
          <w:bCs/>
          <w:color w:val="000000"/>
          <w:kern w:val="2"/>
          <w:sz w:val="32"/>
          <w:szCs w:val="32"/>
        </w:rPr>
      </w:pPr>
      <w:r>
        <w:rPr>
          <w:rFonts w:hint="eastAsia" w:ascii="Times New Roman" w:hAnsi="Times New Roman" w:eastAsia="方正仿宋_GBK" w:cs="Times New Roman"/>
          <w:bCs/>
          <w:color w:val="000000"/>
          <w:kern w:val="2"/>
          <w:sz w:val="32"/>
          <w:szCs w:val="32"/>
        </w:rPr>
        <w:t>3. 支出情况。202</w:t>
      </w:r>
      <w:r>
        <w:rPr>
          <w:rFonts w:ascii="Times New Roman" w:hAnsi="Times New Roman" w:eastAsia="方正仿宋_GBK" w:cs="Times New Roman"/>
          <w:bCs/>
          <w:color w:val="000000"/>
          <w:kern w:val="2"/>
          <w:sz w:val="32"/>
          <w:szCs w:val="32"/>
        </w:rPr>
        <w:t>2</w:t>
      </w:r>
      <w:r>
        <w:rPr>
          <w:rFonts w:hint="eastAsia" w:ascii="Times New Roman" w:hAnsi="Times New Roman" w:eastAsia="方正仿宋_GBK" w:cs="Times New Roman"/>
          <w:bCs/>
          <w:color w:val="000000"/>
          <w:kern w:val="2"/>
          <w:sz w:val="32"/>
          <w:szCs w:val="32"/>
        </w:rPr>
        <w:t>年度支出合计22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bCs/>
          <w:color w:val="000000"/>
          <w:kern w:val="2"/>
          <w:sz w:val="32"/>
          <w:szCs w:val="32"/>
        </w:rPr>
        <w:t>万元，较上年决算数增加</w:t>
      </w:r>
      <w:r>
        <w:rPr>
          <w:rFonts w:ascii="Times New Roman" w:hAnsi="Times New Roman" w:eastAsia="方正仿宋_GBK" w:cs="Times New Roman"/>
          <w:bCs/>
          <w:color w:val="000000"/>
          <w:kern w:val="2"/>
          <w:sz w:val="32"/>
          <w:szCs w:val="32"/>
        </w:rPr>
        <w:t>3.3</w:t>
      </w:r>
      <w:r>
        <w:rPr>
          <w:rFonts w:hint="eastAsia" w:ascii="Times New Roman" w:hAnsi="Times New Roman" w:eastAsia="方正仿宋_GBK" w:cs="Times New Roman"/>
          <w:bCs/>
          <w:color w:val="000000"/>
          <w:kern w:val="2"/>
          <w:sz w:val="32"/>
          <w:szCs w:val="32"/>
        </w:rPr>
        <w:t>万元，增长1.</w:t>
      </w:r>
      <w:r>
        <w:rPr>
          <w:rFonts w:ascii="Times New Roman" w:hAnsi="Times New Roman" w:eastAsia="方正仿宋_GBK" w:cs="Times New Roman"/>
          <w:bCs/>
          <w:color w:val="000000"/>
          <w:kern w:val="2"/>
          <w:sz w:val="32"/>
          <w:szCs w:val="32"/>
        </w:rPr>
        <w:t>5</w:t>
      </w:r>
      <w:r>
        <w:rPr>
          <w:rFonts w:hint="eastAsia" w:ascii="Times New Roman" w:hAnsi="Times New Roman" w:eastAsia="方正仿宋_GBK" w:cs="Times New Roman"/>
          <w:bCs/>
          <w:color w:val="000000"/>
          <w:kern w:val="2"/>
          <w:sz w:val="32"/>
          <w:szCs w:val="32"/>
        </w:rPr>
        <w:t>%，主要原因是</w:t>
      </w:r>
      <w:r>
        <w:rPr>
          <w:rFonts w:hint="eastAsia" w:ascii="Times New Roman" w:hAnsi="Times New Roman" w:eastAsia="方正仿宋_GBK" w:cs="Times New Roman"/>
          <w:color w:val="000000"/>
          <w:kern w:val="2"/>
          <w:sz w:val="32"/>
          <w:szCs w:val="32"/>
        </w:rPr>
        <w:t>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w:t>
      </w:r>
      <w:r>
        <w:rPr>
          <w:rFonts w:hint="eastAsia" w:ascii="Times New Roman" w:hAnsi="Times New Roman" w:eastAsia="方正仿宋_GBK" w:cs="Times New Roman"/>
          <w:bCs/>
          <w:color w:val="000000"/>
          <w:kern w:val="2"/>
          <w:sz w:val="32"/>
          <w:szCs w:val="32"/>
        </w:rPr>
        <w:t>其中：基本支出</w:t>
      </w:r>
      <w:r>
        <w:rPr>
          <w:rFonts w:ascii="Times New Roman" w:hAnsi="Times New Roman" w:eastAsia="方正仿宋_GBK" w:cs="Times New Roman"/>
          <w:bCs/>
          <w:color w:val="000000"/>
          <w:kern w:val="2"/>
          <w:sz w:val="32"/>
          <w:szCs w:val="32"/>
        </w:rPr>
        <w:t>212.28</w:t>
      </w:r>
      <w:r>
        <w:rPr>
          <w:rFonts w:hint="eastAsia" w:ascii="Times New Roman" w:hAnsi="Times New Roman" w:eastAsia="方正仿宋_GBK" w:cs="Times New Roman"/>
          <w:bCs/>
          <w:color w:val="000000"/>
          <w:kern w:val="2"/>
          <w:sz w:val="32"/>
          <w:szCs w:val="32"/>
        </w:rPr>
        <w:t>万元，占9</w:t>
      </w:r>
      <w:r>
        <w:rPr>
          <w:rFonts w:ascii="Times New Roman" w:hAnsi="Times New Roman" w:eastAsia="方正仿宋_GBK" w:cs="Times New Roman"/>
          <w:bCs/>
          <w:color w:val="000000"/>
          <w:kern w:val="2"/>
          <w:sz w:val="32"/>
          <w:szCs w:val="32"/>
        </w:rPr>
        <w:t>3</w:t>
      </w:r>
      <w:r>
        <w:rPr>
          <w:rFonts w:hint="eastAsia" w:ascii="Times New Roman" w:hAnsi="Times New Roman" w:eastAsia="方正仿宋_GBK" w:cs="Times New Roman"/>
          <w:bCs/>
          <w:color w:val="000000"/>
          <w:kern w:val="2"/>
          <w:sz w:val="32"/>
          <w:szCs w:val="32"/>
        </w:rPr>
        <w:t>%；项目支出1</w:t>
      </w:r>
      <w:r>
        <w:rPr>
          <w:rFonts w:ascii="Times New Roman" w:hAnsi="Times New Roman" w:eastAsia="方正仿宋_GBK" w:cs="Times New Roman"/>
          <w:bCs/>
          <w:color w:val="000000"/>
          <w:kern w:val="2"/>
          <w:sz w:val="32"/>
          <w:szCs w:val="32"/>
        </w:rPr>
        <w:t>6.00</w:t>
      </w:r>
      <w:r>
        <w:rPr>
          <w:rFonts w:hint="eastAsia" w:ascii="Times New Roman" w:hAnsi="Times New Roman" w:eastAsia="方正仿宋_GBK" w:cs="Times New Roman"/>
          <w:bCs/>
          <w:color w:val="000000"/>
          <w:kern w:val="2"/>
          <w:sz w:val="32"/>
          <w:szCs w:val="32"/>
        </w:rPr>
        <w:t>万元，占</w:t>
      </w:r>
      <w:r>
        <w:rPr>
          <w:rFonts w:ascii="Times New Roman" w:hAnsi="Times New Roman" w:eastAsia="方正仿宋_GBK" w:cs="Times New Roman"/>
          <w:bCs/>
          <w:color w:val="000000"/>
          <w:kern w:val="2"/>
          <w:sz w:val="32"/>
          <w:szCs w:val="32"/>
        </w:rPr>
        <w:t>7</w:t>
      </w:r>
      <w:r>
        <w:rPr>
          <w:rFonts w:hint="eastAsia" w:ascii="Times New Roman" w:hAnsi="Times New Roman" w:eastAsia="方正仿宋_GBK" w:cs="Times New Roman"/>
          <w:bCs/>
          <w:color w:val="000000"/>
          <w:kern w:val="2"/>
          <w:sz w:val="32"/>
          <w:szCs w:val="32"/>
        </w:rPr>
        <w:t>%。</w:t>
      </w:r>
      <w:r>
        <w:rPr>
          <w:rFonts w:ascii="Times New Roman" w:hAnsi="Times New Roman" w:eastAsia="方正仿宋_GBK"/>
          <w:sz w:val="32"/>
          <w:szCs w:val="32"/>
        </w:rPr>
        <w:t>此外，结余分配</w:t>
      </w:r>
      <w:r>
        <w:rPr>
          <w:rFonts w:hint="eastAsia" w:ascii="Times New Roman" w:hAnsi="Times New Roman" w:eastAsia="方正仿宋_GBK"/>
          <w:sz w:val="32"/>
          <w:szCs w:val="32"/>
        </w:rPr>
        <w:t>0.00</w:t>
      </w:r>
      <w:r>
        <w:rPr>
          <w:rFonts w:ascii="Times New Roman" w:hAnsi="Times New Roman" w:eastAsia="方正仿宋_GBK"/>
          <w:sz w:val="32"/>
          <w:szCs w:val="32"/>
        </w:rPr>
        <w:t>万元。</w:t>
      </w:r>
    </w:p>
    <w:p>
      <w:pPr>
        <w:spacing w:line="587"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结转结余情况。</w:t>
      </w:r>
      <w:r>
        <w:rPr>
          <w:rFonts w:ascii="Times New Roman" w:hAnsi="Times New Roman" w:eastAsia="方正仿宋_GBK"/>
          <w:sz w:val="32"/>
          <w:szCs w:val="32"/>
        </w:rPr>
        <w:t>2022年度年末一般公共预算财政拨款结转和结余</w:t>
      </w:r>
      <w:r>
        <w:rPr>
          <w:rFonts w:hint="eastAsia" w:ascii="Times New Roman" w:hAnsi="Times New Roman" w:eastAsia="方正仿宋_GBK"/>
          <w:sz w:val="32"/>
          <w:szCs w:val="32"/>
        </w:rPr>
        <w:t>0.00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p>
    <w:p>
      <w:pPr>
        <w:spacing w:line="587" w:lineRule="exact"/>
        <w:ind w:firstLine="640" w:firstLineChars="200"/>
        <w:rPr>
          <w:rFonts w:ascii="Times New Roman" w:hAnsi="Times New Roman" w:eastAsia="方正楷体_GBK" w:cs="Times New Roman"/>
          <w:color w:val="000000"/>
          <w:kern w:val="2"/>
          <w:sz w:val="32"/>
          <w:szCs w:val="32"/>
        </w:rPr>
      </w:pPr>
      <w:r>
        <w:rPr>
          <w:rFonts w:ascii="Times New Roman" w:hAnsi="Times New Roman" w:eastAsia="方正楷体_GBK" w:cs="Times New Roman"/>
          <w:color w:val="000000"/>
          <w:kern w:val="2"/>
          <w:sz w:val="32"/>
          <w:szCs w:val="32"/>
        </w:rPr>
        <w:t>（二）财政拨款收入支出决算总体情况说明</w:t>
      </w:r>
    </w:p>
    <w:p>
      <w:pPr>
        <w:widowControl w:val="0"/>
        <w:spacing w:line="587" w:lineRule="exact"/>
        <w:ind w:firstLine="800" w:firstLineChars="250"/>
        <w:jc w:val="both"/>
        <w:rPr>
          <w:rFonts w:hint="eastAsia"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202</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年度财政拨款收、支总计</w:t>
      </w:r>
      <w:r>
        <w:rPr>
          <w:rFonts w:hint="eastAsia" w:ascii="Times New Roman" w:hAnsi="Times New Roman" w:eastAsia="方正仿宋_GBK" w:cs="Times New Roman"/>
          <w:bCs/>
          <w:color w:val="000000"/>
          <w:kern w:val="2"/>
          <w:sz w:val="32"/>
          <w:szCs w:val="32"/>
        </w:rPr>
        <w:t>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color w:val="000000"/>
          <w:kern w:val="2"/>
          <w:sz w:val="32"/>
          <w:szCs w:val="32"/>
        </w:rPr>
        <w:t>万元。与202</w:t>
      </w:r>
      <w:r>
        <w:rPr>
          <w:rFonts w:ascii="Times New Roman" w:hAnsi="Times New Roman" w:eastAsia="方正仿宋_GBK" w:cs="Times New Roman"/>
          <w:color w:val="000000"/>
          <w:kern w:val="2"/>
          <w:sz w:val="32"/>
          <w:szCs w:val="32"/>
        </w:rPr>
        <w:t>1</w:t>
      </w:r>
      <w:r>
        <w:rPr>
          <w:rFonts w:hint="eastAsia" w:ascii="Times New Roman" w:hAnsi="Times New Roman" w:eastAsia="方正仿宋_GBK" w:cs="Times New Roman"/>
          <w:color w:val="000000"/>
          <w:kern w:val="2"/>
          <w:sz w:val="32"/>
          <w:szCs w:val="32"/>
        </w:rPr>
        <w:t>年相比，财政拨款收、支总计各增加</w:t>
      </w:r>
      <w:r>
        <w:rPr>
          <w:rFonts w:ascii="Times New Roman" w:hAnsi="Times New Roman" w:eastAsia="方正仿宋_GBK" w:cs="Times New Roman"/>
          <w:color w:val="000000"/>
          <w:kern w:val="2"/>
          <w:sz w:val="32"/>
          <w:szCs w:val="32"/>
        </w:rPr>
        <w:t>3.3</w:t>
      </w:r>
      <w:r>
        <w:rPr>
          <w:rFonts w:hint="eastAsia" w:ascii="Times New Roman" w:hAnsi="Times New Roman" w:eastAsia="方正仿宋_GBK" w:cs="Times New Roman"/>
          <w:color w:val="000000"/>
          <w:kern w:val="2"/>
          <w:sz w:val="32"/>
          <w:szCs w:val="32"/>
        </w:rPr>
        <w:t>万元，增长</w:t>
      </w:r>
      <w:r>
        <w:rPr>
          <w:rFonts w:ascii="Times New Roman" w:hAnsi="Times New Roman" w:eastAsia="方正仿宋_GBK" w:cs="Times New Roman"/>
          <w:bCs/>
          <w:color w:val="000000"/>
          <w:kern w:val="2"/>
          <w:sz w:val="32"/>
          <w:szCs w:val="32"/>
        </w:rPr>
        <w:t>1.5</w:t>
      </w:r>
      <w:r>
        <w:rPr>
          <w:rFonts w:hint="eastAsia" w:ascii="Times New Roman" w:hAnsi="Times New Roman" w:eastAsia="方正仿宋_GBK" w:cs="Times New Roman"/>
          <w:bCs/>
          <w:color w:val="000000"/>
          <w:kern w:val="2"/>
          <w:sz w:val="32"/>
          <w:szCs w:val="32"/>
        </w:rPr>
        <w:t>%，主要原因是</w:t>
      </w:r>
      <w:r>
        <w:rPr>
          <w:rFonts w:hint="eastAsia" w:ascii="Times New Roman" w:hAnsi="Times New Roman" w:eastAsia="方正仿宋_GBK" w:cs="Times New Roman"/>
          <w:color w:val="000000"/>
          <w:kern w:val="2"/>
          <w:sz w:val="32"/>
          <w:szCs w:val="32"/>
        </w:rPr>
        <w:t>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w:t>
      </w:r>
    </w:p>
    <w:p>
      <w:pPr>
        <w:spacing w:line="587" w:lineRule="exact"/>
        <w:ind w:firstLine="640" w:firstLineChars="200"/>
        <w:rPr>
          <w:rFonts w:ascii="Times New Roman" w:hAnsi="Times New Roman" w:eastAsia="方正楷体_GBK" w:cs="Times New Roman"/>
          <w:color w:val="000000"/>
          <w:kern w:val="2"/>
          <w:sz w:val="32"/>
          <w:szCs w:val="32"/>
        </w:rPr>
      </w:pPr>
      <w:r>
        <w:rPr>
          <w:rFonts w:ascii="Times New Roman" w:hAnsi="Times New Roman" w:eastAsia="方正楷体_GBK" w:cs="Times New Roman"/>
          <w:color w:val="000000"/>
          <w:kern w:val="2"/>
          <w:sz w:val="32"/>
          <w:szCs w:val="32"/>
        </w:rPr>
        <w:t>（三）一般公共预算财政拨款支出决算情况说明</w:t>
      </w:r>
    </w:p>
    <w:p>
      <w:pPr>
        <w:spacing w:line="594" w:lineRule="exact"/>
        <w:ind w:firstLine="640" w:firstLineChars="200"/>
        <w:rPr>
          <w:rFonts w:hint="eastAsia" w:ascii="Times New Roman" w:hAnsi="Times New Roman" w:eastAsia="方正仿宋_GBK" w:cs="Times New Roman"/>
          <w:color w:val="000000"/>
          <w:kern w:val="2"/>
          <w:sz w:val="32"/>
          <w:szCs w:val="32"/>
          <w:highlight w:val="none"/>
        </w:rPr>
      </w:pPr>
      <w:r>
        <w:rPr>
          <w:rFonts w:hint="eastAsia" w:ascii="Times New Roman" w:hAnsi="Times New Roman" w:eastAsia="方正仿宋_GBK" w:cs="Times New Roman"/>
          <w:color w:val="000000"/>
          <w:kern w:val="2"/>
          <w:sz w:val="32"/>
          <w:szCs w:val="32"/>
        </w:rPr>
        <w:t>1. 收入情况。202</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年度一般公共预算财政拨款收入</w:t>
      </w:r>
      <w:r>
        <w:rPr>
          <w:rFonts w:hint="eastAsia" w:ascii="Times New Roman" w:hAnsi="Times New Roman" w:eastAsia="方正仿宋_GBK" w:cs="Times New Roman"/>
          <w:bCs/>
          <w:color w:val="000000"/>
          <w:kern w:val="2"/>
          <w:sz w:val="32"/>
          <w:szCs w:val="32"/>
        </w:rPr>
        <w:t>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color w:val="000000"/>
          <w:kern w:val="2"/>
          <w:sz w:val="32"/>
          <w:szCs w:val="32"/>
        </w:rPr>
        <w:t>万元，较上年决算数增加</w:t>
      </w:r>
      <w:r>
        <w:rPr>
          <w:rFonts w:ascii="Times New Roman" w:hAnsi="Times New Roman" w:eastAsia="方正仿宋_GBK" w:cs="Times New Roman"/>
          <w:color w:val="000000"/>
          <w:kern w:val="2"/>
          <w:sz w:val="32"/>
          <w:szCs w:val="32"/>
        </w:rPr>
        <w:t>3.3</w:t>
      </w:r>
      <w:r>
        <w:rPr>
          <w:rFonts w:hint="eastAsia" w:ascii="Times New Roman" w:hAnsi="Times New Roman" w:eastAsia="方正仿宋_GBK" w:cs="Times New Roman"/>
          <w:color w:val="000000"/>
          <w:kern w:val="2"/>
          <w:sz w:val="32"/>
          <w:szCs w:val="32"/>
        </w:rPr>
        <w:t>万元，增长</w:t>
      </w:r>
      <w:r>
        <w:rPr>
          <w:rFonts w:ascii="Times New Roman" w:hAnsi="Times New Roman" w:eastAsia="方正仿宋_GBK" w:cs="Times New Roman"/>
          <w:bCs/>
          <w:color w:val="000000"/>
          <w:kern w:val="2"/>
          <w:sz w:val="32"/>
          <w:szCs w:val="32"/>
        </w:rPr>
        <w:t>1.5</w:t>
      </w:r>
      <w:r>
        <w:rPr>
          <w:rFonts w:hint="eastAsia" w:ascii="Times New Roman" w:hAnsi="Times New Roman" w:eastAsia="方正仿宋_GBK" w:cs="Times New Roman"/>
          <w:bCs/>
          <w:color w:val="000000"/>
          <w:kern w:val="2"/>
          <w:sz w:val="32"/>
          <w:szCs w:val="32"/>
        </w:rPr>
        <w:t>%</w:t>
      </w:r>
      <w:r>
        <w:rPr>
          <w:rFonts w:hint="eastAsia" w:ascii="Times New Roman" w:hAnsi="Times New Roman" w:eastAsia="方正仿宋_GBK" w:cs="Times New Roman"/>
          <w:color w:val="000000"/>
          <w:kern w:val="2"/>
          <w:sz w:val="32"/>
          <w:szCs w:val="32"/>
        </w:rPr>
        <w:t>。</w:t>
      </w:r>
      <w:r>
        <w:rPr>
          <w:rFonts w:hint="eastAsia" w:ascii="Times New Roman" w:hAnsi="Times New Roman" w:eastAsia="方正仿宋_GBK" w:cs="Times New Roman"/>
          <w:bCs/>
          <w:color w:val="000000"/>
          <w:kern w:val="2"/>
          <w:sz w:val="32"/>
          <w:szCs w:val="32"/>
        </w:rPr>
        <w:t>主要原因是</w:t>
      </w:r>
      <w:r>
        <w:rPr>
          <w:rFonts w:hint="eastAsia" w:ascii="Times New Roman" w:hAnsi="Times New Roman" w:eastAsia="方正仿宋_GBK" w:cs="Times New Roman"/>
          <w:color w:val="000000"/>
          <w:kern w:val="2"/>
          <w:sz w:val="32"/>
          <w:szCs w:val="32"/>
        </w:rPr>
        <w:t>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职工每月绩效工资增加。较年初预算数增加</w:t>
      </w:r>
      <w:r>
        <w:rPr>
          <w:rFonts w:ascii="Times New Roman" w:hAnsi="Times New Roman" w:eastAsia="方正仿宋_GBK" w:cs="Times New Roman"/>
          <w:color w:val="000000"/>
          <w:kern w:val="2"/>
          <w:sz w:val="32"/>
          <w:szCs w:val="32"/>
        </w:rPr>
        <w:t>35.08</w:t>
      </w:r>
      <w:r>
        <w:rPr>
          <w:rFonts w:hint="eastAsia" w:ascii="Times New Roman" w:hAnsi="Times New Roman" w:eastAsia="方正仿宋_GBK" w:cs="Times New Roman"/>
          <w:color w:val="000000"/>
          <w:kern w:val="2"/>
          <w:sz w:val="32"/>
          <w:szCs w:val="32"/>
        </w:rPr>
        <w:t>万元，增长</w:t>
      </w:r>
      <w:r>
        <w:rPr>
          <w:rFonts w:ascii="Times New Roman" w:hAnsi="Times New Roman" w:eastAsia="方正仿宋_GBK" w:cs="Times New Roman"/>
          <w:color w:val="000000"/>
          <w:kern w:val="2"/>
          <w:sz w:val="32"/>
          <w:szCs w:val="32"/>
        </w:rPr>
        <w:t>18</w:t>
      </w:r>
      <w:r>
        <w:rPr>
          <w:rFonts w:hint="eastAsia" w:ascii="Times New Roman" w:hAnsi="Times New Roman" w:eastAsia="方正仿宋_GBK" w:cs="Times New Roman"/>
          <w:color w:val="000000"/>
          <w:kern w:val="2"/>
          <w:sz w:val="32"/>
          <w:szCs w:val="32"/>
        </w:rPr>
        <w:t>%。</w:t>
      </w:r>
      <w:r>
        <w:rPr>
          <w:rFonts w:hint="eastAsia" w:ascii="Times New Roman" w:hAnsi="Times New Roman" w:eastAsia="方正仿宋_GBK" w:cs="Times New Roman"/>
          <w:bCs/>
          <w:color w:val="000000"/>
          <w:kern w:val="2"/>
          <w:sz w:val="32"/>
          <w:szCs w:val="32"/>
        </w:rPr>
        <w:t>主要原因是</w:t>
      </w:r>
      <w:r>
        <w:rPr>
          <w:rFonts w:hint="eastAsia" w:ascii="Times New Roman" w:hAnsi="Times New Roman" w:eastAsia="方正仿宋_GBK" w:cs="Times New Roman"/>
          <w:color w:val="000000"/>
          <w:kern w:val="2"/>
          <w:sz w:val="32"/>
          <w:szCs w:val="32"/>
        </w:rPr>
        <w:t>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w:t>
      </w:r>
      <w:r>
        <w:rPr>
          <w:rFonts w:ascii="Times New Roman" w:hAnsi="Times New Roman" w:eastAsia="方正仿宋_GBK"/>
          <w:sz w:val="32"/>
          <w:szCs w:val="32"/>
          <w:highlight w:val="none"/>
        </w:rPr>
        <w:t>此外，年初财政拨款结转和结余</w:t>
      </w:r>
      <w:r>
        <w:rPr>
          <w:rFonts w:hint="eastAsia" w:ascii="Times New Roman" w:hAnsi="Times New Roman" w:eastAsia="方正仿宋_GBK"/>
          <w:sz w:val="32"/>
          <w:szCs w:val="32"/>
          <w:highlight w:val="none"/>
          <w:lang w:val="en-US" w:eastAsia="zh-CN"/>
        </w:rPr>
        <w:t>0</w:t>
      </w:r>
      <w:r>
        <w:rPr>
          <w:rFonts w:ascii="Times New Roman" w:hAnsi="Times New Roman" w:eastAsia="方正仿宋_GBK"/>
          <w:sz w:val="32"/>
          <w:szCs w:val="32"/>
          <w:highlight w:val="none"/>
        </w:rPr>
        <w:t>万元。</w:t>
      </w:r>
    </w:p>
    <w:p>
      <w:pPr>
        <w:widowControl w:val="0"/>
        <w:spacing w:line="587" w:lineRule="exact"/>
        <w:ind w:firstLine="800" w:firstLineChars="250"/>
        <w:jc w:val="both"/>
        <w:rPr>
          <w:rFonts w:ascii="Times New Roman" w:hAnsi="Times New Roman" w:eastAsia="方正仿宋_GBK" w:cs="Times New Roman"/>
          <w:bCs/>
          <w:color w:val="000000"/>
          <w:kern w:val="2"/>
          <w:sz w:val="32"/>
          <w:szCs w:val="32"/>
        </w:rPr>
      </w:pPr>
      <w:r>
        <w:rPr>
          <w:rFonts w:hint="eastAsia" w:ascii="Times New Roman" w:hAnsi="Times New Roman" w:eastAsia="方正仿宋_GBK" w:cs="Times New Roman"/>
          <w:color w:val="000000"/>
          <w:kern w:val="2"/>
          <w:sz w:val="32"/>
          <w:szCs w:val="32"/>
        </w:rPr>
        <w:t>2. 支出情况。202</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年度一般公共预算财政拨款支出</w:t>
      </w:r>
      <w:r>
        <w:rPr>
          <w:rFonts w:hint="eastAsia" w:ascii="Times New Roman" w:hAnsi="Times New Roman" w:eastAsia="方正仿宋_GBK" w:cs="Times New Roman"/>
          <w:bCs/>
          <w:color w:val="000000"/>
          <w:kern w:val="2"/>
          <w:sz w:val="32"/>
          <w:szCs w:val="32"/>
        </w:rPr>
        <w:t>22</w:t>
      </w:r>
      <w:r>
        <w:rPr>
          <w:rFonts w:ascii="Times New Roman" w:hAnsi="Times New Roman" w:eastAsia="方正仿宋_GBK" w:cs="Times New Roman"/>
          <w:bCs/>
          <w:color w:val="000000"/>
          <w:kern w:val="2"/>
          <w:sz w:val="32"/>
          <w:szCs w:val="32"/>
        </w:rPr>
        <w:t>8.28</w:t>
      </w:r>
      <w:r>
        <w:rPr>
          <w:rFonts w:hint="eastAsia" w:ascii="Times New Roman" w:hAnsi="Times New Roman" w:eastAsia="方正仿宋_GBK" w:cs="Times New Roman"/>
          <w:color w:val="000000"/>
          <w:kern w:val="2"/>
          <w:sz w:val="32"/>
          <w:szCs w:val="32"/>
        </w:rPr>
        <w:t>万元，较上年决算数增加</w:t>
      </w:r>
      <w:r>
        <w:rPr>
          <w:rFonts w:ascii="Times New Roman" w:hAnsi="Times New Roman" w:eastAsia="方正仿宋_GBK" w:cs="Times New Roman"/>
          <w:color w:val="000000"/>
          <w:kern w:val="2"/>
          <w:sz w:val="32"/>
          <w:szCs w:val="32"/>
        </w:rPr>
        <w:t>3.3</w:t>
      </w:r>
      <w:r>
        <w:rPr>
          <w:rFonts w:hint="eastAsia" w:ascii="Times New Roman" w:hAnsi="Times New Roman" w:eastAsia="方正仿宋_GBK" w:cs="Times New Roman"/>
          <w:color w:val="000000"/>
          <w:kern w:val="2"/>
          <w:sz w:val="32"/>
          <w:szCs w:val="32"/>
        </w:rPr>
        <w:t>万元，</w:t>
      </w:r>
      <w:r>
        <w:rPr>
          <w:rFonts w:hint="eastAsia" w:ascii="Times New Roman" w:hAnsi="Times New Roman" w:eastAsia="方正仿宋_GBK" w:cs="Times New Roman"/>
          <w:color w:val="000000"/>
          <w:kern w:val="2"/>
          <w:sz w:val="32"/>
          <w:szCs w:val="32"/>
          <w:lang w:eastAsia="zh-CN"/>
        </w:rPr>
        <w:t>增长</w:t>
      </w:r>
      <w:r>
        <w:rPr>
          <w:rFonts w:hint="eastAsia" w:ascii="Times New Roman" w:hAnsi="Times New Roman" w:eastAsia="方正仿宋_GBK" w:cs="Times New Roman"/>
          <w:bCs/>
          <w:color w:val="000000"/>
          <w:kern w:val="2"/>
          <w:sz w:val="32"/>
          <w:szCs w:val="32"/>
        </w:rPr>
        <w:t>1</w:t>
      </w:r>
      <w:r>
        <w:rPr>
          <w:rFonts w:ascii="Times New Roman" w:hAnsi="Times New Roman" w:eastAsia="方正仿宋_GBK" w:cs="Times New Roman"/>
          <w:bCs/>
          <w:color w:val="000000"/>
          <w:kern w:val="2"/>
          <w:sz w:val="32"/>
          <w:szCs w:val="32"/>
        </w:rPr>
        <w:t>.</w:t>
      </w:r>
      <w:r>
        <w:rPr>
          <w:rFonts w:hint="eastAsia" w:ascii="Times New Roman" w:hAnsi="Times New Roman" w:eastAsia="方正仿宋_GBK" w:cs="Times New Roman"/>
          <w:bCs/>
          <w:color w:val="000000"/>
          <w:kern w:val="2"/>
          <w:sz w:val="32"/>
          <w:szCs w:val="32"/>
        </w:rPr>
        <w:t>5%。主要原因是</w:t>
      </w:r>
      <w:r>
        <w:rPr>
          <w:rFonts w:hint="eastAsia" w:ascii="Times New Roman" w:hAnsi="Times New Roman" w:eastAsia="方正仿宋_GBK" w:cs="Times New Roman"/>
          <w:color w:val="000000"/>
          <w:kern w:val="2"/>
          <w:sz w:val="32"/>
          <w:szCs w:val="32"/>
        </w:rPr>
        <w:t>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职工每月绩效工资增加。较年初预算数增加</w:t>
      </w:r>
      <w:r>
        <w:rPr>
          <w:rFonts w:ascii="Times New Roman" w:hAnsi="Times New Roman" w:eastAsia="方正仿宋_GBK" w:cs="Times New Roman"/>
          <w:color w:val="000000"/>
          <w:kern w:val="2"/>
          <w:sz w:val="32"/>
          <w:szCs w:val="32"/>
        </w:rPr>
        <w:t>35.08</w:t>
      </w:r>
      <w:r>
        <w:rPr>
          <w:rFonts w:hint="eastAsia" w:ascii="Times New Roman" w:hAnsi="Times New Roman" w:eastAsia="方正仿宋_GBK" w:cs="Times New Roman"/>
          <w:color w:val="000000"/>
          <w:kern w:val="2"/>
          <w:sz w:val="32"/>
          <w:szCs w:val="32"/>
        </w:rPr>
        <w:t>万元，增长</w:t>
      </w:r>
      <w:r>
        <w:rPr>
          <w:rFonts w:ascii="Times New Roman" w:hAnsi="Times New Roman" w:eastAsia="方正仿宋_GBK" w:cs="Times New Roman"/>
          <w:color w:val="000000"/>
          <w:kern w:val="2"/>
          <w:sz w:val="32"/>
          <w:szCs w:val="32"/>
        </w:rPr>
        <w:t>18</w:t>
      </w:r>
      <w:r>
        <w:rPr>
          <w:rFonts w:hint="eastAsia" w:ascii="Times New Roman" w:hAnsi="Times New Roman" w:eastAsia="方正仿宋_GBK" w:cs="Times New Roman"/>
          <w:color w:val="000000"/>
          <w:kern w:val="2"/>
          <w:sz w:val="32"/>
          <w:szCs w:val="32"/>
        </w:rPr>
        <w:t>%，</w:t>
      </w:r>
      <w:r>
        <w:rPr>
          <w:rFonts w:hint="eastAsia" w:ascii="Times New Roman" w:hAnsi="Times New Roman" w:eastAsia="方正仿宋_GBK" w:cs="Times New Roman"/>
          <w:bCs/>
          <w:color w:val="000000"/>
          <w:kern w:val="2"/>
          <w:sz w:val="32"/>
          <w:szCs w:val="32"/>
        </w:rPr>
        <w:t>主要原因是</w:t>
      </w:r>
      <w:r>
        <w:rPr>
          <w:rFonts w:hint="eastAsia" w:ascii="Times New Roman" w:hAnsi="Times New Roman" w:eastAsia="方正仿宋_GBK" w:cs="Times New Roman"/>
          <w:color w:val="000000"/>
          <w:kern w:val="2"/>
          <w:sz w:val="32"/>
          <w:szCs w:val="32"/>
        </w:rPr>
        <w:t>本年度职工每月绩效工资增加。</w:t>
      </w:r>
    </w:p>
    <w:p>
      <w:pPr>
        <w:spacing w:line="587"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3</w:t>
      </w:r>
      <w:r>
        <w:rPr>
          <w:rFonts w:hint="eastAsia" w:ascii="Times New Roman" w:hAnsi="Times New Roman" w:eastAsia="方正仿宋_GBK"/>
          <w:bCs/>
          <w:color w:val="000000"/>
          <w:sz w:val="32"/>
          <w:szCs w:val="32"/>
        </w:rPr>
        <w:t>．</w:t>
      </w:r>
      <w:r>
        <w:rPr>
          <w:rFonts w:ascii="Times New Roman" w:hAnsi="Times New Roman" w:eastAsia="方正仿宋_GBK"/>
          <w:bCs/>
          <w:color w:val="000000"/>
          <w:sz w:val="32"/>
          <w:szCs w:val="32"/>
        </w:rPr>
        <w:t>结转结余情况。</w:t>
      </w:r>
      <w:r>
        <w:rPr>
          <w:rFonts w:ascii="Times New Roman" w:hAnsi="Times New Roman" w:eastAsia="方正仿宋_GBK"/>
          <w:sz w:val="32"/>
          <w:szCs w:val="32"/>
        </w:rPr>
        <w:t>2022年度年末一般公共预算财政拨款结转和结余</w:t>
      </w:r>
      <w:r>
        <w:rPr>
          <w:rFonts w:hint="eastAsia" w:ascii="Times New Roman" w:hAnsi="Times New Roman" w:eastAsia="方正仿宋_GBK"/>
          <w:sz w:val="32"/>
          <w:szCs w:val="32"/>
        </w:rPr>
        <w:t>0.00</w:t>
      </w:r>
      <w:r>
        <w:rPr>
          <w:rFonts w:ascii="Times New Roman" w:hAnsi="Times New Roman" w:eastAsia="方正仿宋_GBK"/>
          <w:sz w:val="32"/>
          <w:szCs w:val="32"/>
        </w:rPr>
        <w:t>万元，</w:t>
      </w:r>
      <w:r>
        <w:rPr>
          <w:rFonts w:hint="eastAsia" w:ascii="Times New Roman" w:hAnsi="Times New Roman" w:eastAsia="方正仿宋_GBK"/>
          <w:sz w:val="32"/>
          <w:szCs w:val="32"/>
        </w:rPr>
        <w:t>与上年持平</w:t>
      </w:r>
      <w:r>
        <w:rPr>
          <w:rFonts w:ascii="Times New Roman" w:hAnsi="Times New Roman" w:eastAsia="方正仿宋_GBK"/>
          <w:color w:val="000000"/>
          <w:sz w:val="32"/>
          <w:szCs w:val="32"/>
        </w:rPr>
        <w:t>。</w:t>
      </w:r>
    </w:p>
    <w:p>
      <w:pPr>
        <w:widowControl w:val="0"/>
        <w:spacing w:line="587" w:lineRule="exact"/>
        <w:ind w:firstLine="640" w:firstLineChars="200"/>
        <w:jc w:val="both"/>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4. 比较情况。本部门202</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年度一般公共预算财政拨款支出主要用于以下几个方面：</w:t>
      </w:r>
    </w:p>
    <w:p>
      <w:pPr>
        <w:widowControl w:val="0"/>
        <w:spacing w:line="587" w:lineRule="exact"/>
        <w:ind w:firstLine="640" w:firstLineChars="200"/>
        <w:jc w:val="both"/>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（1）一般公共服务支出</w:t>
      </w:r>
      <w:r>
        <w:rPr>
          <w:rFonts w:ascii="Times New Roman" w:hAnsi="Times New Roman" w:eastAsia="方正仿宋_GBK" w:cs="Times New Roman"/>
          <w:color w:val="000000"/>
          <w:kern w:val="2"/>
          <w:sz w:val="32"/>
          <w:szCs w:val="32"/>
        </w:rPr>
        <w:t>194.21</w:t>
      </w:r>
      <w:r>
        <w:rPr>
          <w:rFonts w:hint="eastAsia" w:ascii="Times New Roman" w:hAnsi="Times New Roman" w:eastAsia="方正仿宋_GBK" w:cs="Times New Roman"/>
          <w:color w:val="000000"/>
          <w:kern w:val="2"/>
          <w:sz w:val="32"/>
          <w:szCs w:val="32"/>
        </w:rPr>
        <w:t>万元，占85.</w:t>
      </w:r>
      <w:r>
        <w:rPr>
          <w:rFonts w:ascii="Times New Roman" w:hAnsi="Times New Roman" w:eastAsia="方正仿宋_GBK" w:cs="Times New Roman"/>
          <w:color w:val="000000"/>
          <w:kern w:val="2"/>
          <w:sz w:val="32"/>
          <w:szCs w:val="32"/>
        </w:rPr>
        <w:t>1</w:t>
      </w:r>
      <w:r>
        <w:rPr>
          <w:rFonts w:hint="eastAsia" w:ascii="Times New Roman" w:hAnsi="Times New Roman" w:eastAsia="方正仿宋_GBK" w:cs="Times New Roman"/>
          <w:color w:val="000000"/>
          <w:kern w:val="2"/>
          <w:sz w:val="32"/>
          <w:szCs w:val="32"/>
        </w:rPr>
        <w:t>%，较年初预算数增加3</w:t>
      </w:r>
      <w:r>
        <w:rPr>
          <w:rFonts w:ascii="Times New Roman" w:hAnsi="Times New Roman" w:eastAsia="方正仿宋_GBK" w:cs="Times New Roman"/>
          <w:color w:val="000000"/>
          <w:kern w:val="2"/>
          <w:sz w:val="32"/>
          <w:szCs w:val="32"/>
        </w:rPr>
        <w:t>5.09</w:t>
      </w:r>
      <w:r>
        <w:rPr>
          <w:rFonts w:hint="eastAsia" w:ascii="Times New Roman" w:hAnsi="Times New Roman" w:eastAsia="方正仿宋_GBK" w:cs="Times New Roman"/>
          <w:color w:val="000000"/>
          <w:kern w:val="2"/>
          <w:sz w:val="32"/>
          <w:szCs w:val="32"/>
        </w:rPr>
        <w:t>万元，增长2</w:t>
      </w:r>
      <w:r>
        <w:rPr>
          <w:rFonts w:ascii="Times New Roman" w:hAnsi="Times New Roman" w:eastAsia="方正仿宋_GBK" w:cs="Times New Roman"/>
          <w:color w:val="000000"/>
          <w:kern w:val="2"/>
          <w:sz w:val="32"/>
          <w:szCs w:val="32"/>
        </w:rPr>
        <w:t>2.1</w:t>
      </w:r>
      <w:r>
        <w:rPr>
          <w:rFonts w:hint="eastAsia" w:ascii="Times New Roman" w:hAnsi="Times New Roman" w:eastAsia="方正仿宋_GBK" w:cs="Times New Roman"/>
          <w:color w:val="000000"/>
          <w:kern w:val="2"/>
          <w:sz w:val="32"/>
          <w:szCs w:val="32"/>
        </w:rPr>
        <w:t>%，主要原因是本年度</w:t>
      </w:r>
      <w:r>
        <w:rPr>
          <w:rFonts w:hint="eastAsia" w:ascii="Times New Roman" w:hAnsi="Times New Roman" w:eastAsia="方正仿宋_GBK" w:cs="Times New Roman"/>
          <w:color w:val="000000"/>
          <w:kern w:val="2"/>
          <w:sz w:val="32"/>
          <w:szCs w:val="32"/>
          <w:lang w:eastAsia="zh-CN"/>
        </w:rPr>
        <w:t>增加一个内设机构科室运行经费增加及</w:t>
      </w:r>
      <w:r>
        <w:rPr>
          <w:rFonts w:hint="eastAsia" w:ascii="Times New Roman" w:hAnsi="Times New Roman" w:eastAsia="方正仿宋_GBK" w:cs="Times New Roman"/>
          <w:color w:val="000000"/>
          <w:kern w:val="2"/>
          <w:sz w:val="32"/>
          <w:szCs w:val="32"/>
        </w:rPr>
        <w:t>职工每月绩效工资增加。</w:t>
      </w:r>
    </w:p>
    <w:p>
      <w:pPr>
        <w:spacing w:line="587" w:lineRule="exact"/>
        <w:ind w:firstLine="640" w:firstLineChars="200"/>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（2）社会保障与就业支出1</w:t>
      </w:r>
      <w:r>
        <w:rPr>
          <w:rFonts w:ascii="Times New Roman" w:hAnsi="Times New Roman" w:eastAsia="方正仿宋_GBK" w:cs="Times New Roman"/>
          <w:color w:val="000000"/>
          <w:kern w:val="2"/>
          <w:sz w:val="32"/>
          <w:szCs w:val="32"/>
        </w:rPr>
        <w:t>6.53</w:t>
      </w:r>
      <w:r>
        <w:rPr>
          <w:rFonts w:hint="eastAsia" w:ascii="Times New Roman" w:hAnsi="Times New Roman" w:eastAsia="方正仿宋_GBK" w:cs="Times New Roman"/>
          <w:color w:val="000000"/>
          <w:kern w:val="2"/>
          <w:sz w:val="32"/>
          <w:szCs w:val="32"/>
        </w:rPr>
        <w:t>万元，占7.</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%，与年初预算数持平。</w:t>
      </w:r>
    </w:p>
    <w:p>
      <w:pPr>
        <w:spacing w:line="587" w:lineRule="exact"/>
        <w:ind w:firstLine="640" w:firstLineChars="200"/>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（3）卫生健康支出8.</w:t>
      </w:r>
      <w:r>
        <w:rPr>
          <w:rFonts w:ascii="Times New Roman" w:hAnsi="Times New Roman" w:eastAsia="方正仿宋_GBK" w:cs="Times New Roman"/>
          <w:color w:val="000000"/>
          <w:kern w:val="2"/>
          <w:sz w:val="32"/>
          <w:szCs w:val="32"/>
        </w:rPr>
        <w:t>97</w:t>
      </w:r>
      <w:r>
        <w:rPr>
          <w:rFonts w:hint="eastAsia" w:ascii="Times New Roman" w:hAnsi="Times New Roman" w:eastAsia="方正仿宋_GBK" w:cs="Times New Roman"/>
          <w:color w:val="000000"/>
          <w:kern w:val="2"/>
          <w:sz w:val="32"/>
          <w:szCs w:val="32"/>
        </w:rPr>
        <w:t>万元，占3.9%，与年初预算数持平。</w:t>
      </w:r>
    </w:p>
    <w:p>
      <w:pPr>
        <w:widowControl w:val="0"/>
        <w:spacing w:line="587" w:lineRule="exact"/>
        <w:ind w:firstLine="640" w:firstLineChars="200"/>
        <w:jc w:val="both"/>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（4）住房保障支出</w:t>
      </w:r>
      <w:r>
        <w:rPr>
          <w:rFonts w:ascii="Times New Roman" w:hAnsi="Times New Roman" w:eastAsia="方正仿宋_GBK" w:cs="Times New Roman"/>
          <w:color w:val="000000"/>
          <w:kern w:val="2"/>
          <w:sz w:val="32"/>
          <w:szCs w:val="32"/>
        </w:rPr>
        <w:t>8</w:t>
      </w:r>
      <w:r>
        <w:rPr>
          <w:rFonts w:hint="eastAsia" w:ascii="Times New Roman" w:hAnsi="Times New Roman" w:eastAsia="方正仿宋_GBK" w:cs="Times New Roman"/>
          <w:color w:val="000000"/>
          <w:kern w:val="2"/>
          <w:sz w:val="32"/>
          <w:szCs w:val="32"/>
        </w:rPr>
        <w:t>.</w:t>
      </w:r>
      <w:r>
        <w:rPr>
          <w:rFonts w:ascii="Times New Roman" w:hAnsi="Times New Roman" w:eastAsia="方正仿宋_GBK" w:cs="Times New Roman"/>
          <w:color w:val="000000"/>
          <w:kern w:val="2"/>
          <w:sz w:val="32"/>
          <w:szCs w:val="32"/>
        </w:rPr>
        <w:t>58</w:t>
      </w:r>
      <w:r>
        <w:rPr>
          <w:rFonts w:hint="eastAsia" w:ascii="Times New Roman" w:hAnsi="Times New Roman" w:eastAsia="方正仿宋_GBK" w:cs="Times New Roman"/>
          <w:color w:val="000000"/>
          <w:kern w:val="2"/>
          <w:sz w:val="32"/>
          <w:szCs w:val="32"/>
        </w:rPr>
        <w:t>万元，占3.</w:t>
      </w:r>
      <w:r>
        <w:rPr>
          <w:rFonts w:ascii="Times New Roman" w:hAnsi="Times New Roman" w:eastAsia="方正仿宋_GBK" w:cs="Times New Roman"/>
          <w:color w:val="000000"/>
          <w:kern w:val="2"/>
          <w:sz w:val="32"/>
          <w:szCs w:val="32"/>
        </w:rPr>
        <w:t>8</w:t>
      </w:r>
      <w:r>
        <w:rPr>
          <w:rFonts w:hint="eastAsia" w:ascii="Times New Roman" w:hAnsi="Times New Roman" w:eastAsia="方正仿宋_GBK" w:cs="Times New Roman"/>
          <w:color w:val="000000"/>
          <w:kern w:val="2"/>
          <w:sz w:val="32"/>
          <w:szCs w:val="32"/>
        </w:rPr>
        <w:t>%，与年初预算数持平。</w:t>
      </w:r>
    </w:p>
    <w:p>
      <w:pPr>
        <w:widowControl w:val="0"/>
        <w:spacing w:line="587"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（四）一般公共预算财政拨款基本支出决算情况说明</w:t>
      </w:r>
      <w:r>
        <w:rPr>
          <w:rFonts w:hint="eastAsia" w:ascii="Times New Roman" w:hAnsi="Times New Roman" w:eastAsia="方正楷体_GBK"/>
          <w:color w:val="000000"/>
          <w:sz w:val="32"/>
          <w:szCs w:val="32"/>
        </w:rPr>
        <w:t>。</w:t>
      </w:r>
    </w:p>
    <w:p>
      <w:pPr>
        <w:widowControl w:val="0"/>
        <w:spacing w:line="587" w:lineRule="exact"/>
        <w:ind w:firstLine="640" w:firstLineChars="200"/>
        <w:jc w:val="both"/>
        <w:rPr>
          <w:rFonts w:hint="eastAsia" w:ascii="Times New Roman" w:hAnsi="Times New Roman" w:eastAsia="方正仿宋_GBK" w:cs="Times New Roman"/>
          <w:b/>
          <w:color w:val="000000"/>
          <w:kern w:val="2"/>
          <w:sz w:val="32"/>
          <w:szCs w:val="32"/>
          <w:highlight w:val="yellow"/>
        </w:rPr>
      </w:pPr>
      <w:r>
        <w:rPr>
          <w:rFonts w:hint="eastAsia" w:ascii="Times New Roman" w:hAnsi="Times New Roman" w:eastAsia="方正仿宋_GBK" w:cs="Times New Roman"/>
          <w:color w:val="000000"/>
          <w:kern w:val="2"/>
          <w:sz w:val="32"/>
          <w:szCs w:val="32"/>
        </w:rPr>
        <w:t>  202</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年度一般公共财政拨款基本支出2</w:t>
      </w:r>
      <w:r>
        <w:rPr>
          <w:rFonts w:ascii="Times New Roman" w:hAnsi="Times New Roman" w:eastAsia="方正仿宋_GBK" w:cs="Times New Roman"/>
          <w:color w:val="000000"/>
          <w:kern w:val="2"/>
          <w:sz w:val="32"/>
          <w:szCs w:val="32"/>
        </w:rPr>
        <w:t>12.28</w:t>
      </w:r>
      <w:r>
        <w:rPr>
          <w:rFonts w:hint="eastAsia" w:ascii="Times New Roman" w:hAnsi="Times New Roman" w:eastAsia="方正仿宋_GBK" w:cs="Times New Roman"/>
          <w:color w:val="000000"/>
          <w:kern w:val="2"/>
          <w:sz w:val="32"/>
          <w:szCs w:val="32"/>
        </w:rPr>
        <w:t>万元。其中：人员经费1</w:t>
      </w:r>
      <w:r>
        <w:rPr>
          <w:rFonts w:ascii="Times New Roman" w:hAnsi="Times New Roman" w:eastAsia="方正仿宋_GBK" w:cs="Times New Roman"/>
          <w:color w:val="000000"/>
          <w:kern w:val="2"/>
          <w:sz w:val="32"/>
          <w:szCs w:val="32"/>
        </w:rPr>
        <w:t>78.46</w:t>
      </w:r>
      <w:r>
        <w:rPr>
          <w:rFonts w:hint="eastAsia" w:ascii="Times New Roman" w:hAnsi="Times New Roman" w:eastAsia="方正仿宋_GBK" w:cs="Times New Roman"/>
          <w:color w:val="000000"/>
          <w:kern w:val="2"/>
          <w:sz w:val="32"/>
          <w:szCs w:val="32"/>
        </w:rPr>
        <w:t>万元，较上年决算数增加</w:t>
      </w:r>
      <w:r>
        <w:rPr>
          <w:rFonts w:ascii="Times New Roman" w:hAnsi="Times New Roman" w:eastAsia="方正仿宋_GBK" w:cs="Times New Roman"/>
          <w:color w:val="000000"/>
          <w:kern w:val="2"/>
          <w:sz w:val="32"/>
          <w:szCs w:val="32"/>
        </w:rPr>
        <w:t>14.72</w:t>
      </w:r>
      <w:r>
        <w:rPr>
          <w:rFonts w:hint="eastAsia" w:ascii="Times New Roman" w:hAnsi="Times New Roman" w:eastAsia="方正仿宋_GBK" w:cs="Times New Roman"/>
          <w:color w:val="000000"/>
          <w:kern w:val="2"/>
          <w:sz w:val="32"/>
          <w:szCs w:val="32"/>
        </w:rPr>
        <w:t>万元，增长</w:t>
      </w:r>
      <w:r>
        <w:rPr>
          <w:rFonts w:ascii="Times New Roman" w:hAnsi="Times New Roman" w:eastAsia="方正仿宋_GBK" w:cs="Times New Roman"/>
          <w:color w:val="000000"/>
          <w:kern w:val="2"/>
          <w:sz w:val="32"/>
          <w:szCs w:val="32"/>
        </w:rPr>
        <w:t>9.0</w:t>
      </w:r>
      <w:r>
        <w:rPr>
          <w:rFonts w:hint="eastAsia" w:ascii="Times New Roman" w:hAnsi="Times New Roman" w:eastAsia="方正仿宋_GBK" w:cs="Times New Roman"/>
          <w:color w:val="000000"/>
          <w:kern w:val="2"/>
          <w:sz w:val="32"/>
          <w:szCs w:val="32"/>
        </w:rPr>
        <w:t>%，主要原因是薪资正常调整及职工每月绩效工资增加。</w:t>
      </w:r>
      <w:r>
        <w:rPr>
          <w:rFonts w:ascii="Times New Roman" w:hAnsi="Times New Roman" w:eastAsia="方正仿宋_GBK"/>
          <w:color w:val="000000"/>
          <w:sz w:val="32"/>
          <w:szCs w:val="32"/>
        </w:rPr>
        <w:t>人员经费用途主要包括</w:t>
      </w:r>
      <w:r>
        <w:rPr>
          <w:rFonts w:hint="eastAsia" w:ascii="Times New Roman" w:hAnsi="Times New Roman" w:eastAsia="方正仿宋_GBK"/>
          <w:color w:val="000000"/>
          <w:sz w:val="32"/>
          <w:szCs w:val="32"/>
        </w:rPr>
        <w:t>基本工资、绩效、超额绩效、社会保障缴费、机关事业单位基本养老保险、职业年金缴费、住房公积金等。</w:t>
      </w:r>
      <w:r>
        <w:rPr>
          <w:rFonts w:hint="eastAsia" w:ascii="Times New Roman" w:hAnsi="Times New Roman" w:eastAsia="方正仿宋_GBK" w:cs="Times New Roman"/>
          <w:color w:val="000000"/>
          <w:kern w:val="2"/>
          <w:sz w:val="32"/>
          <w:szCs w:val="32"/>
        </w:rPr>
        <w:t>公用经费3</w:t>
      </w:r>
      <w:r>
        <w:rPr>
          <w:rFonts w:ascii="Times New Roman" w:hAnsi="Times New Roman" w:eastAsia="方正仿宋_GBK" w:cs="Times New Roman"/>
          <w:color w:val="000000"/>
          <w:kern w:val="2"/>
          <w:sz w:val="32"/>
          <w:szCs w:val="32"/>
        </w:rPr>
        <w:t>3.82</w:t>
      </w:r>
      <w:r>
        <w:rPr>
          <w:rFonts w:hint="eastAsia" w:ascii="Times New Roman" w:hAnsi="Times New Roman" w:eastAsia="方正仿宋_GBK" w:cs="Times New Roman"/>
          <w:color w:val="000000"/>
          <w:kern w:val="2"/>
          <w:sz w:val="32"/>
          <w:szCs w:val="32"/>
        </w:rPr>
        <w:t>万元，较上年决算数减少</w:t>
      </w:r>
      <w:r>
        <w:rPr>
          <w:rFonts w:ascii="Times New Roman" w:hAnsi="Times New Roman" w:eastAsia="方正仿宋_GBK" w:cs="Times New Roman"/>
          <w:color w:val="000000"/>
          <w:kern w:val="2"/>
          <w:sz w:val="32"/>
          <w:szCs w:val="32"/>
        </w:rPr>
        <w:t>3.94</w:t>
      </w:r>
      <w:r>
        <w:rPr>
          <w:rFonts w:hint="eastAsia" w:ascii="Times New Roman" w:hAnsi="Times New Roman" w:eastAsia="方正仿宋_GBK" w:cs="Times New Roman"/>
          <w:color w:val="000000"/>
          <w:kern w:val="2"/>
          <w:sz w:val="32"/>
          <w:szCs w:val="32"/>
        </w:rPr>
        <w:t>万元，</w:t>
      </w:r>
      <w:r>
        <w:rPr>
          <w:rFonts w:hint="eastAsia" w:ascii="Times New Roman" w:hAnsi="Times New Roman" w:eastAsia="方正仿宋_GBK" w:cs="Times New Roman"/>
          <w:color w:val="000000"/>
          <w:kern w:val="2"/>
          <w:sz w:val="32"/>
          <w:szCs w:val="32"/>
          <w:lang w:eastAsia="zh-CN"/>
        </w:rPr>
        <w:t>下降</w:t>
      </w:r>
      <w:r>
        <w:rPr>
          <w:rFonts w:ascii="Times New Roman" w:hAnsi="Times New Roman" w:eastAsia="方正仿宋_GBK" w:cs="Times New Roman"/>
          <w:color w:val="000000"/>
          <w:kern w:val="2"/>
          <w:sz w:val="32"/>
          <w:szCs w:val="32"/>
        </w:rPr>
        <w:t>10.4</w:t>
      </w:r>
      <w:r>
        <w:rPr>
          <w:rFonts w:hint="eastAsia" w:ascii="Times New Roman" w:hAnsi="Times New Roman" w:eastAsia="方正仿宋_GBK" w:cs="Times New Roman"/>
          <w:color w:val="000000"/>
          <w:kern w:val="2"/>
          <w:sz w:val="32"/>
          <w:szCs w:val="32"/>
        </w:rPr>
        <w:t>%，主要原因是本年度厉行节约，缩减相关公用运行经费开支。</w:t>
      </w:r>
      <w:r>
        <w:rPr>
          <w:rFonts w:ascii="Times New Roman" w:hAnsi="Times New Roman" w:eastAsia="方正仿宋_GBK"/>
          <w:color w:val="000000"/>
          <w:sz w:val="32"/>
          <w:szCs w:val="32"/>
        </w:rPr>
        <w:t>公用经费用途主要包括</w:t>
      </w:r>
      <w:r>
        <w:rPr>
          <w:rFonts w:hint="eastAsia" w:ascii="Times New Roman" w:hAnsi="Times New Roman" w:eastAsia="方正仿宋_GBK"/>
          <w:color w:val="000000"/>
          <w:sz w:val="32"/>
          <w:szCs w:val="32"/>
        </w:rPr>
        <w:t>办公费、印刷费、劳务费、福利费、邮电费、差旅费、公务用车运行维护费等</w:t>
      </w:r>
      <w:r>
        <w:rPr>
          <w:rFonts w:hint="eastAsia" w:ascii="Times New Roman" w:hAnsi="Times New Roman" w:eastAsia="方正仿宋_GBK" w:cs="Times New Roman"/>
          <w:bCs/>
          <w:color w:val="000000"/>
          <w:kern w:val="2"/>
          <w:sz w:val="32"/>
          <w:szCs w:val="32"/>
        </w:rPr>
        <w:t>。</w:t>
      </w:r>
    </w:p>
    <w:p>
      <w:pPr>
        <w:widowControl w:val="0"/>
        <w:spacing w:line="587"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（五）政府性基金预算收支决算情况说明</w:t>
      </w:r>
      <w:r>
        <w:rPr>
          <w:rFonts w:hint="eastAsia" w:ascii="Times New Roman" w:hAnsi="Times New Roman" w:eastAsia="方正楷体_GBK"/>
          <w:color w:val="000000"/>
          <w:sz w:val="32"/>
          <w:szCs w:val="32"/>
        </w:rPr>
        <w:t>。</w:t>
      </w:r>
    </w:p>
    <w:p>
      <w:pPr>
        <w:widowControl w:val="0"/>
        <w:spacing w:line="587"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本部门2022年度无政府性基金预算财政拨款收支。</w:t>
      </w:r>
    </w:p>
    <w:p>
      <w:pPr>
        <w:widowControl w:val="0"/>
        <w:spacing w:line="587"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（六）国有资本经营预算财政拨款支出决算情况说明</w:t>
      </w:r>
      <w:r>
        <w:rPr>
          <w:rFonts w:hint="eastAsia" w:ascii="Times New Roman" w:hAnsi="Times New Roman" w:eastAsia="方正楷体_GBK"/>
          <w:color w:val="000000"/>
          <w:sz w:val="32"/>
          <w:szCs w:val="32"/>
        </w:rPr>
        <w:t>。</w:t>
      </w:r>
    </w:p>
    <w:p>
      <w:pPr>
        <w:widowControl w:val="0"/>
        <w:spacing w:line="587"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本部门2022年度无国有资本经营预算财政拨款支出。</w:t>
      </w:r>
    </w:p>
    <w:p>
      <w:pPr>
        <w:spacing w:line="587"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三、“三公”经费情况说明</w:t>
      </w:r>
    </w:p>
    <w:p>
      <w:pPr>
        <w:spacing w:line="587"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（一）“三公”经费支出总体情况说明</w:t>
      </w:r>
      <w:r>
        <w:rPr>
          <w:rFonts w:hint="eastAsia" w:ascii="Times New Roman" w:hAnsi="Times New Roman" w:eastAsia="方正楷体_GBK"/>
          <w:color w:val="000000"/>
          <w:sz w:val="32"/>
          <w:szCs w:val="32"/>
        </w:rPr>
        <w:t>。</w:t>
      </w:r>
    </w:p>
    <w:p>
      <w:pPr>
        <w:spacing w:line="587"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sz w:val="32"/>
          <w:szCs w:val="32"/>
        </w:rPr>
        <w:t>202</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年度“三公”经费支出共计4</w:t>
      </w:r>
      <w:r>
        <w:rPr>
          <w:rFonts w:ascii="Times New Roman" w:hAnsi="Times New Roman" w:eastAsia="方正仿宋_GBK"/>
          <w:color w:val="000000"/>
          <w:sz w:val="32"/>
          <w:szCs w:val="32"/>
        </w:rPr>
        <w:t>.93</w:t>
      </w:r>
      <w:r>
        <w:rPr>
          <w:rFonts w:hint="eastAsia" w:ascii="Times New Roman" w:hAnsi="Times New Roman" w:eastAsia="方正仿宋_GBK"/>
          <w:color w:val="000000"/>
          <w:sz w:val="32"/>
          <w:szCs w:val="32"/>
        </w:rPr>
        <w:t>万元，较年初预算数减少5</w:t>
      </w:r>
      <w:r>
        <w:rPr>
          <w:rFonts w:ascii="Times New Roman" w:hAnsi="Times New Roman" w:eastAsia="方正仿宋_GBK"/>
          <w:color w:val="000000"/>
          <w:sz w:val="32"/>
          <w:szCs w:val="32"/>
        </w:rPr>
        <w:t>.07</w:t>
      </w:r>
      <w:r>
        <w:rPr>
          <w:rFonts w:hint="eastAsia" w:ascii="Times New Roman" w:hAnsi="Times New Roman" w:eastAsia="方正仿宋_GBK"/>
          <w:color w:val="000000"/>
          <w:sz w:val="32"/>
          <w:szCs w:val="32"/>
        </w:rPr>
        <w:t>万元，较少5</w:t>
      </w:r>
      <w:r>
        <w:rPr>
          <w:rFonts w:ascii="Times New Roman" w:hAnsi="Times New Roman" w:eastAsia="方正仿宋_GBK"/>
          <w:color w:val="000000"/>
          <w:sz w:val="32"/>
          <w:szCs w:val="32"/>
        </w:rPr>
        <w:t>0.7</w:t>
      </w:r>
      <w:r>
        <w:rPr>
          <w:rFonts w:hint="eastAsia" w:ascii="Times New Roman" w:hAnsi="Times New Roman" w:eastAsia="方正仿宋_GBK"/>
          <w:color w:val="000000"/>
          <w:sz w:val="32"/>
          <w:szCs w:val="32"/>
        </w:rPr>
        <w:t>%，主要原因是本年度厉行节约，缩减公务用车运行维护费用开支。</w:t>
      </w:r>
    </w:p>
    <w:p>
      <w:pPr>
        <w:spacing w:line="587"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（二）“三公”经费分项支出情况</w:t>
      </w:r>
      <w:r>
        <w:rPr>
          <w:rFonts w:hint="eastAsia" w:ascii="Times New Roman" w:hAnsi="Times New Roman" w:eastAsia="方正楷体_GBK"/>
          <w:color w:val="00000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240" w:beforeAutospacing="0" w:after="240" w:afterAutospacing="0" w:line="368" w:lineRule="atLeast"/>
        <w:ind w:left="0" w:right="0" w:firstLine="420"/>
        <w:jc w:val="both"/>
        <w:rPr>
          <w:rFonts w:ascii="Times New Roman" w:hAnsi="Times New Roman" w:eastAsia="方正楷体_GBK"/>
          <w:color w:val="000000"/>
          <w:sz w:val="32"/>
          <w:szCs w:val="32"/>
        </w:rPr>
      </w:pPr>
      <w:r>
        <w:rPr>
          <w:rFonts w:ascii="Times New Roman" w:hAnsi="Times New Roman" w:eastAsia="方正仿宋_GBK"/>
          <w:color w:val="000000"/>
          <w:sz w:val="32"/>
          <w:szCs w:val="32"/>
        </w:rPr>
        <w:t>本单位</w:t>
      </w:r>
      <w:r>
        <w:rPr>
          <w:rFonts w:ascii="Times New Roman" w:hAnsi="Times New Roman" w:eastAsia="方正仿宋_GBK"/>
          <w:color w:val="000000"/>
          <w:sz w:val="32"/>
          <w:szCs w:val="32"/>
          <w:highlight w:val="none"/>
        </w:rPr>
        <w:t>20</w:t>
      </w:r>
      <w:r>
        <w:rPr>
          <w:rFonts w:hint="eastAsia" w:ascii="Times New Roman" w:hAnsi="Times New Roman" w:eastAsia="方正仿宋_GBK"/>
          <w:color w:val="000000"/>
          <w:sz w:val="32"/>
          <w:szCs w:val="32"/>
          <w:highlight w:val="none"/>
        </w:rPr>
        <w:t>2</w:t>
      </w:r>
      <w:r>
        <w:rPr>
          <w:rFonts w:hint="eastAsia" w:ascii="Times New Roman" w:hAnsi="Times New Roman" w:eastAsia="方正仿宋_GBK"/>
          <w:color w:val="000000"/>
          <w:sz w:val="32"/>
          <w:szCs w:val="32"/>
          <w:highlight w:val="none"/>
          <w:lang w:val="en-US" w:eastAsia="zh-CN"/>
        </w:rPr>
        <w:t>2</w:t>
      </w:r>
      <w:r>
        <w:rPr>
          <w:rFonts w:ascii="Times New Roman" w:hAnsi="Times New Roman" w:eastAsia="方正仿宋_GBK"/>
          <w:color w:val="000000"/>
          <w:sz w:val="32"/>
          <w:szCs w:val="32"/>
        </w:rPr>
        <w:t>年度未发生因公出国（境）支出</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s="Times New Roman"/>
          <w:color w:val="000000"/>
          <w:kern w:val="2"/>
          <w:sz w:val="32"/>
          <w:szCs w:val="32"/>
        </w:rPr>
        <w:t>与202</w:t>
      </w:r>
      <w:r>
        <w:rPr>
          <w:rFonts w:ascii="Times New Roman" w:hAnsi="Times New Roman" w:eastAsia="方正仿宋_GBK" w:cs="Times New Roman"/>
          <w:color w:val="000000"/>
          <w:kern w:val="2"/>
          <w:sz w:val="32"/>
          <w:szCs w:val="32"/>
        </w:rPr>
        <w:t>1</w:t>
      </w:r>
      <w:r>
        <w:rPr>
          <w:rFonts w:hint="eastAsia" w:ascii="Times New Roman" w:hAnsi="Times New Roman" w:eastAsia="方正仿宋_GBK" w:cs="Times New Roman"/>
          <w:color w:val="000000"/>
          <w:kern w:val="2"/>
          <w:sz w:val="32"/>
          <w:szCs w:val="32"/>
        </w:rPr>
        <w:t>年相比，</w:t>
      </w:r>
      <w:r>
        <w:rPr>
          <w:rFonts w:hint="eastAsia" w:ascii="Times New Roman" w:hAnsi="Times New Roman" w:eastAsia="方正仿宋_GBK" w:cs="Times New Roman"/>
          <w:color w:val="000000"/>
          <w:kern w:val="2"/>
          <w:sz w:val="32"/>
          <w:szCs w:val="32"/>
          <w:lang w:eastAsia="zh-CN"/>
        </w:rPr>
        <w:t>本单位</w:t>
      </w:r>
      <w:r>
        <w:rPr>
          <w:rFonts w:hint="eastAsia" w:ascii="Times New Roman" w:hAnsi="Times New Roman" w:eastAsia="方正仿宋_GBK" w:cs="Times New Roman"/>
          <w:color w:val="000000"/>
          <w:kern w:val="2"/>
          <w:sz w:val="32"/>
          <w:szCs w:val="32"/>
          <w:lang w:val="en-US" w:eastAsia="zh-CN"/>
        </w:rPr>
        <w:t>2021年度也未发生因公出国（境）支出。与上年持平。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240" w:beforeAutospacing="0" w:after="240" w:afterAutospacing="0" w:line="368" w:lineRule="atLeast"/>
        <w:ind w:left="0" w:right="0" w:firstLine="420"/>
        <w:jc w:val="both"/>
        <w:rPr>
          <w:rFonts w:ascii="Times New Roman" w:hAnsi="Times New Roman" w:eastAsia="方正楷体_GBK"/>
          <w:color w:val="000000"/>
          <w:sz w:val="32"/>
          <w:szCs w:val="32"/>
        </w:rPr>
      </w:pPr>
      <w:r>
        <w:rPr>
          <w:rFonts w:ascii="Times New Roman" w:hAnsi="Times New Roman" w:eastAsia="方正仿宋_GBK"/>
          <w:color w:val="000000" w:themeColor="text1"/>
          <w:sz w:val="32"/>
          <w:szCs w:val="32"/>
          <w14:textFill>
            <w14:solidFill>
              <w14:schemeClr w14:val="tx1"/>
            </w14:solidFill>
          </w14:textFill>
        </w:rPr>
        <w:t>本单位</w:t>
      </w:r>
      <w:r>
        <w:rPr>
          <w:rFonts w:ascii="Times New Roman" w:hAnsi="Times New Roman" w:eastAsia="方正仿宋_GBK"/>
          <w:color w:val="000000" w:themeColor="text1"/>
          <w:sz w:val="32"/>
          <w:szCs w:val="32"/>
          <w:highlight w:val="none"/>
          <w14:textFill>
            <w14:solidFill>
              <w14:schemeClr w14:val="tx1"/>
            </w14:solidFill>
          </w14:textFill>
        </w:rPr>
        <w:t>20</w:t>
      </w:r>
      <w:r>
        <w:rPr>
          <w:rFonts w:hint="eastAsia" w:ascii="Times New Roman" w:hAnsi="Times New Roman" w:eastAsia="方正仿宋_GBK"/>
          <w:color w:val="000000" w:themeColor="text1"/>
          <w:sz w:val="32"/>
          <w:szCs w:val="32"/>
          <w:highlight w:val="none"/>
          <w14:textFill>
            <w14:solidFill>
              <w14:schemeClr w14:val="tx1"/>
            </w14:solidFill>
          </w14:textFill>
        </w:rPr>
        <w:t>2</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年度未发生公务车购置支出。</w:t>
      </w:r>
      <w:r>
        <w:rPr>
          <w:rFonts w:hint="eastAsia" w:ascii="Times New Roman" w:hAnsi="Times New Roman" w:eastAsia="方正仿宋_GBK" w:cs="Times New Roman"/>
          <w:color w:val="000000"/>
          <w:kern w:val="2"/>
          <w:sz w:val="32"/>
          <w:szCs w:val="32"/>
        </w:rPr>
        <w:t>与202</w:t>
      </w:r>
      <w:r>
        <w:rPr>
          <w:rFonts w:ascii="Times New Roman" w:hAnsi="Times New Roman" w:eastAsia="方正仿宋_GBK" w:cs="Times New Roman"/>
          <w:color w:val="000000"/>
          <w:kern w:val="2"/>
          <w:sz w:val="32"/>
          <w:szCs w:val="32"/>
        </w:rPr>
        <w:t>1</w:t>
      </w:r>
      <w:r>
        <w:rPr>
          <w:rFonts w:hint="eastAsia" w:ascii="Times New Roman" w:hAnsi="Times New Roman" w:eastAsia="方正仿宋_GBK" w:cs="Times New Roman"/>
          <w:color w:val="000000"/>
          <w:kern w:val="2"/>
          <w:sz w:val="32"/>
          <w:szCs w:val="32"/>
        </w:rPr>
        <w:t>年相比，</w:t>
      </w:r>
      <w:r>
        <w:rPr>
          <w:rFonts w:hint="eastAsia" w:ascii="Times New Roman" w:hAnsi="Times New Roman" w:eastAsia="方正仿宋_GBK" w:cs="Times New Roman"/>
          <w:color w:val="000000"/>
          <w:kern w:val="2"/>
          <w:sz w:val="32"/>
          <w:szCs w:val="32"/>
          <w:lang w:eastAsia="zh-CN"/>
        </w:rPr>
        <w:t>本单位</w:t>
      </w:r>
      <w:r>
        <w:rPr>
          <w:rFonts w:hint="eastAsia" w:ascii="Times New Roman" w:hAnsi="Times New Roman" w:eastAsia="方正仿宋_GBK" w:cs="Times New Roman"/>
          <w:color w:val="000000"/>
          <w:kern w:val="2"/>
          <w:sz w:val="32"/>
          <w:szCs w:val="32"/>
          <w:lang w:val="en-US" w:eastAsia="zh-CN"/>
        </w:rPr>
        <w:t>2021年度也</w:t>
      </w:r>
      <w:r>
        <w:rPr>
          <w:rFonts w:ascii="Times New Roman" w:hAnsi="Times New Roman" w:eastAsia="方正仿宋_GBK"/>
          <w:color w:val="000000" w:themeColor="text1"/>
          <w:sz w:val="32"/>
          <w:szCs w:val="32"/>
          <w14:textFill>
            <w14:solidFill>
              <w14:schemeClr w14:val="tx1"/>
            </w14:solidFill>
          </w14:textFill>
        </w:rPr>
        <w:t>未发生公务车购置支出</w:t>
      </w:r>
      <w:r>
        <w:rPr>
          <w:rFonts w:hint="eastAsia" w:ascii="Times New Roman" w:hAnsi="Times New Roman" w:eastAsia="方正仿宋_GBK" w:cs="Times New Roman"/>
          <w:color w:val="000000"/>
          <w:kern w:val="2"/>
          <w:sz w:val="32"/>
          <w:szCs w:val="32"/>
          <w:lang w:val="en-US" w:eastAsia="zh-CN"/>
        </w:rPr>
        <w:t>。与上年持平。</w:t>
      </w:r>
    </w:p>
    <w:p>
      <w:pPr>
        <w:spacing w:line="594"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公务车运行维护费</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.93</w:t>
      </w:r>
      <w:r>
        <w:rPr>
          <w:rFonts w:hint="eastAsia" w:ascii="Times New Roman" w:hAnsi="Times New Roman" w:eastAsia="方正仿宋_GBK"/>
          <w:color w:val="000000" w:themeColor="text1"/>
          <w:sz w:val="32"/>
          <w:szCs w:val="32"/>
          <w14:textFill>
            <w14:solidFill>
              <w14:schemeClr w14:val="tx1"/>
            </w14:solidFill>
          </w14:textFill>
        </w:rPr>
        <w:t>万元，主要用于廉政教育</w:t>
      </w:r>
      <w:r>
        <w:rPr>
          <w:rFonts w:ascii="Times New Roman" w:hAnsi="Times New Roman" w:eastAsia="方正仿宋_GBK"/>
          <w:color w:val="000000" w:themeColor="text1"/>
          <w:sz w:val="32"/>
          <w:szCs w:val="32"/>
          <w14:textFill>
            <w14:solidFill>
              <w14:schemeClr w14:val="tx1"/>
            </w14:solidFill>
          </w14:textFill>
        </w:rPr>
        <w:t>等工作所需车辆的燃料费、维修费、过桥过路费、保险费等</w:t>
      </w:r>
      <w:r>
        <w:rPr>
          <w:rFonts w:hint="eastAsia" w:ascii="Times New Roman" w:hAnsi="Times New Roman" w:eastAsia="方正仿宋_GBK"/>
          <w:color w:val="000000" w:themeColor="text1"/>
          <w:sz w:val="32"/>
          <w:szCs w:val="32"/>
          <w14:textFill>
            <w14:solidFill>
              <w14:schemeClr w14:val="tx1"/>
            </w14:solidFill>
          </w14:textFill>
        </w:rPr>
        <w:t>费用。费用支出较年初预算数</w:t>
      </w:r>
      <w:r>
        <w:rPr>
          <w:rFonts w:hint="eastAsia" w:ascii="Times New Roman" w:hAnsi="Times New Roman" w:eastAsia="方正仿宋_GBK"/>
          <w:color w:val="000000"/>
          <w:sz w:val="32"/>
          <w:szCs w:val="32"/>
        </w:rPr>
        <w:t>减少5</w:t>
      </w:r>
      <w:r>
        <w:rPr>
          <w:rFonts w:ascii="Times New Roman" w:hAnsi="Times New Roman" w:eastAsia="方正仿宋_GBK"/>
          <w:color w:val="000000"/>
          <w:sz w:val="32"/>
          <w:szCs w:val="32"/>
        </w:rPr>
        <w:t>.07</w:t>
      </w:r>
      <w:r>
        <w:rPr>
          <w:rFonts w:hint="eastAsia" w:ascii="Times New Roman" w:hAnsi="Times New Roman" w:eastAsia="方正仿宋_GBK"/>
          <w:color w:val="000000" w:themeColor="text1"/>
          <w:sz w:val="32"/>
          <w:szCs w:val="32"/>
          <w14:textFill>
            <w14:solidFill>
              <w14:schemeClr w14:val="tx1"/>
            </w14:solidFill>
          </w14:textFill>
        </w:rPr>
        <w:t>万元</w:t>
      </w:r>
      <w:r>
        <w:rPr>
          <w:rFonts w:hint="eastAsia" w:ascii="Times New Roman" w:hAnsi="Times New Roman" w:eastAsia="方正仿宋_GBK"/>
          <w:color w:val="000000" w:themeColor="text1"/>
          <w:sz w:val="32"/>
          <w:szCs w:val="32"/>
          <w:highlight w:val="none"/>
          <w14:textFill>
            <w14:solidFill>
              <w14:schemeClr w14:val="tx1"/>
            </w14:solidFill>
          </w14:textFill>
        </w:rPr>
        <w:t>，</w:t>
      </w:r>
      <w:r>
        <w:rPr>
          <w:rFonts w:hint="eastAsia" w:ascii="Times New Roman" w:hAnsi="Times New Roman" w:eastAsia="方正仿宋_GBK"/>
          <w:color w:val="000000"/>
          <w:sz w:val="32"/>
          <w:szCs w:val="32"/>
          <w:highlight w:val="none"/>
          <w:lang w:eastAsia="zh-CN"/>
        </w:rPr>
        <w:t>下降</w:t>
      </w:r>
      <w:r>
        <w:rPr>
          <w:rFonts w:hint="eastAsia" w:ascii="Times New Roman" w:hAnsi="Times New Roman" w:eastAsia="方正仿宋_GBK"/>
          <w:color w:val="000000"/>
          <w:sz w:val="32"/>
          <w:szCs w:val="32"/>
          <w:highlight w:val="none"/>
        </w:rPr>
        <w:t>5</w:t>
      </w:r>
      <w:r>
        <w:rPr>
          <w:rFonts w:ascii="Times New Roman" w:hAnsi="Times New Roman" w:eastAsia="方正仿宋_GBK"/>
          <w:color w:val="000000"/>
          <w:sz w:val="32"/>
          <w:szCs w:val="32"/>
        </w:rPr>
        <w:t>0.7</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themeColor="text1"/>
          <w:sz w:val="32"/>
          <w:szCs w:val="32"/>
          <w14:textFill>
            <w14:solidFill>
              <w14:schemeClr w14:val="tx1"/>
            </w14:solidFill>
          </w14:textFill>
        </w:rPr>
        <w:t>，主要原因是</w:t>
      </w:r>
      <w:r>
        <w:rPr>
          <w:rFonts w:hint="eastAsia" w:ascii="Times New Roman" w:hAnsi="Times New Roman" w:eastAsia="方正仿宋_GBK"/>
          <w:color w:val="000000"/>
          <w:sz w:val="32"/>
          <w:szCs w:val="32"/>
        </w:rPr>
        <w:t>本年度厉行节约，</w:t>
      </w:r>
      <w:r>
        <w:rPr>
          <w:rFonts w:hint="eastAsia" w:ascii="Times New Roman" w:hAnsi="Times New Roman" w:eastAsia="方正仿宋_GBK"/>
          <w:sz w:val="32"/>
          <w:szCs w:val="32"/>
        </w:rPr>
        <w:t>继续严格落实公车使用规定，严禁公车私用</w:t>
      </w:r>
      <w:r>
        <w:rPr>
          <w:rFonts w:hint="eastAsia" w:ascii="Times New Roman" w:hAnsi="Times New Roman" w:eastAsia="方正仿宋_GBK"/>
          <w:sz w:val="32"/>
          <w:szCs w:val="32"/>
          <w:lang w:eastAsia="zh-CN"/>
        </w:rPr>
        <w:t>，</w:t>
      </w:r>
      <w:r>
        <w:rPr>
          <w:rFonts w:hint="eastAsia" w:ascii="Times New Roman" w:hAnsi="Times New Roman" w:eastAsia="方正仿宋_GBK"/>
          <w:color w:val="000000"/>
          <w:sz w:val="32"/>
          <w:szCs w:val="32"/>
        </w:rPr>
        <w:t>缩减公务用车运行维护费用开支</w:t>
      </w:r>
      <w:r>
        <w:rPr>
          <w:rFonts w:ascii="Times New Roman" w:hAnsi="Times New Roman" w:eastAsia="方正仿宋_GBK"/>
          <w:sz w:val="32"/>
          <w:szCs w:val="32"/>
          <w:highlight w:val="none"/>
        </w:rPr>
        <w:t>。较上年支出数减少</w:t>
      </w:r>
      <w:r>
        <w:rPr>
          <w:rFonts w:hint="eastAsia" w:ascii="Times New Roman" w:hAnsi="Times New Roman" w:eastAsia="方正仿宋_GBK"/>
          <w:sz w:val="32"/>
          <w:szCs w:val="32"/>
          <w:highlight w:val="none"/>
        </w:rPr>
        <w:t>3</w:t>
      </w:r>
      <w:r>
        <w:rPr>
          <w:rFonts w:hint="eastAsia" w:ascii="Times New Roman" w:hAnsi="Times New Roman" w:eastAsia="方正仿宋_GBK"/>
          <w:sz w:val="32"/>
          <w:szCs w:val="32"/>
          <w:highlight w:val="none"/>
          <w:lang w:val="en-US" w:eastAsia="zh-CN"/>
        </w:rPr>
        <w:t>.10</w:t>
      </w:r>
      <w:r>
        <w:rPr>
          <w:rFonts w:ascii="Times New Roman" w:hAnsi="Times New Roman" w:eastAsia="方正仿宋_GBK"/>
          <w:sz w:val="32"/>
          <w:szCs w:val="32"/>
          <w:highlight w:val="none"/>
        </w:rPr>
        <w:t>万元，下降</w:t>
      </w:r>
      <w:r>
        <w:rPr>
          <w:rFonts w:hint="eastAsia" w:ascii="Times New Roman" w:hAnsi="Times New Roman" w:eastAsia="方正仿宋_GBK"/>
          <w:sz w:val="32"/>
          <w:szCs w:val="32"/>
          <w:highlight w:val="none"/>
          <w:lang w:val="en-US" w:eastAsia="zh-CN"/>
        </w:rPr>
        <w:t>38.6</w:t>
      </w:r>
      <w:r>
        <w:rPr>
          <w:rFonts w:ascii="Times New Roman" w:hAnsi="Times New Roman" w:eastAsia="方正仿宋_GBK"/>
          <w:sz w:val="32"/>
          <w:szCs w:val="32"/>
          <w:highlight w:val="none"/>
        </w:rPr>
        <w:t>%，主要原因</w:t>
      </w:r>
      <w:bookmarkStart w:id="0" w:name="_GoBack"/>
      <w:bookmarkEnd w:id="0"/>
      <w:r>
        <w:rPr>
          <w:rFonts w:hint="eastAsia" w:ascii="Times New Roman" w:hAnsi="Times New Roman" w:eastAsia="方正仿宋_GBK"/>
          <w:color w:val="000000" w:themeColor="text1"/>
          <w:sz w:val="32"/>
          <w:szCs w:val="32"/>
          <w14:textFill>
            <w14:solidFill>
              <w14:schemeClr w14:val="tx1"/>
            </w14:solidFill>
          </w14:textFill>
        </w:rPr>
        <w:t>是</w:t>
      </w:r>
      <w:r>
        <w:rPr>
          <w:rFonts w:hint="eastAsia" w:ascii="Times New Roman" w:hAnsi="Times New Roman" w:eastAsia="方正仿宋_GBK"/>
          <w:color w:val="000000"/>
          <w:sz w:val="32"/>
          <w:szCs w:val="32"/>
        </w:rPr>
        <w:t>本年度厉行节约，</w:t>
      </w:r>
      <w:r>
        <w:rPr>
          <w:rFonts w:hint="eastAsia" w:ascii="Times New Roman" w:hAnsi="Times New Roman" w:eastAsia="方正仿宋_GBK"/>
          <w:sz w:val="32"/>
          <w:szCs w:val="32"/>
        </w:rPr>
        <w:t>继续严格落实公车使用规定，严禁公车私用</w:t>
      </w:r>
      <w:r>
        <w:rPr>
          <w:rFonts w:hint="eastAsia" w:ascii="Times New Roman" w:hAnsi="Times New Roman" w:eastAsia="方正仿宋_GBK"/>
          <w:sz w:val="32"/>
          <w:szCs w:val="32"/>
          <w:lang w:eastAsia="zh-CN"/>
        </w:rPr>
        <w:t>，</w:t>
      </w:r>
      <w:r>
        <w:rPr>
          <w:rFonts w:hint="eastAsia" w:ascii="Times New Roman" w:hAnsi="Times New Roman" w:eastAsia="方正仿宋_GBK"/>
          <w:color w:val="000000"/>
          <w:sz w:val="32"/>
          <w:szCs w:val="32"/>
        </w:rPr>
        <w:t>缩减公务用车运行维护费用开支</w:t>
      </w:r>
      <w:r>
        <w:rPr>
          <w:rFonts w:ascii="Times New Roman" w:hAnsi="Times New Roman" w:eastAsia="方正仿宋_GBK"/>
          <w:sz w:val="32"/>
          <w:szCs w:val="32"/>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240" w:beforeAutospacing="0" w:after="240" w:afterAutospacing="0" w:line="368" w:lineRule="atLeast"/>
        <w:ind w:left="0" w:right="0" w:firstLine="420"/>
        <w:jc w:val="both"/>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本单</w:t>
      </w:r>
      <w:r>
        <w:rPr>
          <w:rFonts w:ascii="Times New Roman" w:hAnsi="Times New Roman" w:eastAsia="方正仿宋_GBK"/>
          <w:color w:val="000000" w:themeColor="text1"/>
          <w:sz w:val="32"/>
          <w:szCs w:val="32"/>
          <w:highlight w:val="none"/>
          <w14:textFill>
            <w14:solidFill>
              <w14:schemeClr w14:val="tx1"/>
            </w14:solidFill>
          </w14:textFill>
        </w:rPr>
        <w:t>位20</w:t>
      </w:r>
      <w:r>
        <w:rPr>
          <w:rFonts w:hint="eastAsia" w:ascii="Times New Roman" w:hAnsi="Times New Roman" w:eastAsia="方正仿宋_GBK"/>
          <w:color w:val="000000" w:themeColor="text1"/>
          <w:sz w:val="32"/>
          <w:szCs w:val="32"/>
          <w:highlight w:val="none"/>
          <w14:textFill>
            <w14:solidFill>
              <w14:schemeClr w14:val="tx1"/>
            </w14:solidFill>
          </w14:textFill>
        </w:rPr>
        <w:t>2</w:t>
      </w:r>
      <w:r>
        <w:rPr>
          <w:rFonts w:hint="eastAsia" w:ascii="Times New Roman" w:hAnsi="Times New Roman" w:eastAsia="方正仿宋_GBK"/>
          <w:color w:val="000000" w:themeColor="text1"/>
          <w:sz w:val="32"/>
          <w:szCs w:val="32"/>
          <w:highlight w:val="none"/>
          <w:lang w:val="en-US" w:eastAsia="zh-CN"/>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年度未发生</w:t>
      </w:r>
      <w:r>
        <w:rPr>
          <w:rFonts w:hint="eastAsia" w:ascii="Times New Roman" w:hAnsi="Times New Roman" w:eastAsia="方正仿宋_GBK"/>
          <w:color w:val="000000" w:themeColor="text1"/>
          <w:sz w:val="32"/>
          <w:szCs w:val="32"/>
          <w14:textFill>
            <w14:solidFill>
              <w14:schemeClr w14:val="tx1"/>
            </w14:solidFill>
          </w14:textFill>
        </w:rPr>
        <w:t>公务接待支出</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kern w:val="2"/>
          <w:sz w:val="32"/>
          <w:szCs w:val="32"/>
        </w:rPr>
        <w:t>与202</w:t>
      </w:r>
      <w:r>
        <w:rPr>
          <w:rFonts w:ascii="Times New Roman" w:hAnsi="Times New Roman" w:eastAsia="方正仿宋_GBK" w:cs="Times New Roman"/>
          <w:color w:val="000000"/>
          <w:kern w:val="2"/>
          <w:sz w:val="32"/>
          <w:szCs w:val="32"/>
        </w:rPr>
        <w:t>1</w:t>
      </w:r>
      <w:r>
        <w:rPr>
          <w:rFonts w:hint="eastAsia" w:ascii="Times New Roman" w:hAnsi="Times New Roman" w:eastAsia="方正仿宋_GBK" w:cs="Times New Roman"/>
          <w:color w:val="000000"/>
          <w:kern w:val="2"/>
          <w:sz w:val="32"/>
          <w:szCs w:val="32"/>
        </w:rPr>
        <w:t>年相比，</w:t>
      </w:r>
      <w:r>
        <w:rPr>
          <w:rFonts w:hint="eastAsia" w:ascii="Times New Roman" w:hAnsi="Times New Roman" w:eastAsia="方正仿宋_GBK" w:cs="Times New Roman"/>
          <w:color w:val="000000"/>
          <w:kern w:val="2"/>
          <w:sz w:val="32"/>
          <w:szCs w:val="32"/>
          <w:lang w:eastAsia="zh-CN"/>
        </w:rPr>
        <w:t>本单位</w:t>
      </w:r>
      <w:r>
        <w:rPr>
          <w:rFonts w:hint="eastAsia" w:ascii="Times New Roman" w:hAnsi="Times New Roman" w:eastAsia="方正仿宋_GBK" w:cs="Times New Roman"/>
          <w:color w:val="000000"/>
          <w:kern w:val="2"/>
          <w:sz w:val="32"/>
          <w:szCs w:val="32"/>
          <w:lang w:val="en-US" w:eastAsia="zh-CN"/>
        </w:rPr>
        <w:t>2021年度也</w:t>
      </w:r>
      <w:r>
        <w:rPr>
          <w:rFonts w:ascii="Times New Roman" w:hAnsi="Times New Roman" w:eastAsia="方正仿宋_GBK"/>
          <w:color w:val="000000" w:themeColor="text1"/>
          <w:sz w:val="32"/>
          <w:szCs w:val="32"/>
          <w14:textFill>
            <w14:solidFill>
              <w14:schemeClr w14:val="tx1"/>
            </w14:solidFill>
          </w14:textFill>
        </w:rPr>
        <w:t>未发生</w:t>
      </w:r>
      <w:r>
        <w:rPr>
          <w:rFonts w:hint="eastAsia" w:ascii="Times New Roman" w:hAnsi="Times New Roman" w:eastAsia="方正仿宋_GBK"/>
          <w:color w:val="000000" w:themeColor="text1"/>
          <w:sz w:val="32"/>
          <w:szCs w:val="32"/>
          <w14:textFill>
            <w14:solidFill>
              <w14:schemeClr w14:val="tx1"/>
            </w14:solidFill>
          </w14:textFill>
        </w:rPr>
        <w:t>公务接待支出</w:t>
      </w:r>
      <w:r>
        <w:rPr>
          <w:rFonts w:hint="eastAsia" w:ascii="Times New Roman" w:hAnsi="Times New Roman" w:eastAsia="方正仿宋_GBK" w:cs="Times New Roman"/>
          <w:color w:val="000000"/>
          <w:kern w:val="2"/>
          <w:sz w:val="32"/>
          <w:szCs w:val="32"/>
          <w:lang w:val="en-US" w:eastAsia="zh-CN"/>
        </w:rPr>
        <w:t>。与上年持平。</w:t>
      </w:r>
    </w:p>
    <w:p>
      <w:pPr>
        <w:spacing w:line="587"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（三）三公”经费实物量情况</w:t>
      </w:r>
      <w:r>
        <w:rPr>
          <w:rFonts w:hint="eastAsia" w:ascii="Times New Roman" w:hAnsi="Times New Roman" w:eastAsia="方正楷体_GBK"/>
          <w:color w:val="000000"/>
          <w:sz w:val="32"/>
          <w:szCs w:val="32"/>
        </w:rPr>
        <w:t>。</w:t>
      </w:r>
    </w:p>
    <w:p>
      <w:pPr>
        <w:widowControl w:val="0"/>
        <w:spacing w:line="587" w:lineRule="exact"/>
        <w:ind w:firstLine="640" w:firstLineChars="200"/>
        <w:jc w:val="both"/>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202</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年度本部门因公出国（境）共计0个团组，0人；公务用车购置0辆，公务车保有量为2辆；国内公务接待0批次0人，其中：国内外事接待0批次，0人；国（境）外公务接待0批次，0人。202</w:t>
      </w:r>
      <w:r>
        <w:rPr>
          <w:rFonts w:ascii="Times New Roman" w:hAnsi="Times New Roman" w:eastAsia="方正仿宋_GBK" w:cs="Times New Roman"/>
          <w:color w:val="000000"/>
          <w:kern w:val="2"/>
          <w:sz w:val="32"/>
          <w:szCs w:val="32"/>
        </w:rPr>
        <w:t>2</w:t>
      </w:r>
      <w:r>
        <w:rPr>
          <w:rFonts w:hint="eastAsia" w:ascii="Times New Roman" w:hAnsi="Times New Roman" w:eastAsia="方正仿宋_GBK" w:cs="Times New Roman"/>
          <w:color w:val="000000"/>
          <w:kern w:val="2"/>
          <w:sz w:val="32"/>
          <w:szCs w:val="32"/>
        </w:rPr>
        <w:t>年本部门人均接待费0.00元，车均购置费0.00万元，车均维护费</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.93</w:t>
      </w:r>
      <w:r>
        <w:rPr>
          <w:rFonts w:hint="eastAsia" w:ascii="Times New Roman" w:hAnsi="Times New Roman" w:eastAsia="方正仿宋_GBK" w:cs="Times New Roman"/>
          <w:color w:val="000000"/>
          <w:kern w:val="2"/>
          <w:sz w:val="32"/>
          <w:szCs w:val="32"/>
        </w:rPr>
        <w:t>万元。</w:t>
      </w:r>
    </w:p>
    <w:p>
      <w:pPr>
        <w:numPr>
          <w:ilvl w:val="0"/>
          <w:numId w:val="1"/>
        </w:numPr>
        <w:spacing w:line="587"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其他需要说明的事项</w:t>
      </w:r>
    </w:p>
    <w:p>
      <w:pPr>
        <w:numPr>
          <w:ilvl w:val="0"/>
          <w:numId w:val="2"/>
        </w:numPr>
        <w:spacing w:line="587" w:lineRule="exact"/>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一般公共预算财政拨款会议费和培训费情况说明。</w:t>
      </w:r>
    </w:p>
    <w:p>
      <w:pPr>
        <w:pStyle w:val="4"/>
        <w:shd w:val="clear" w:color="auto" w:fill="FFFFFF"/>
        <w:spacing w:before="0" w:beforeAutospacing="0" w:after="0" w:afterAutospacing="0" w:line="594" w:lineRule="exact"/>
        <w:ind w:firstLine="640" w:firstLineChars="200"/>
        <w:rPr>
          <w:rFonts w:ascii="方正楷体_GBK" w:hAnsi="Times New Roman" w:eastAsia="方正楷体_GBK"/>
          <w:color w:val="000000"/>
          <w:sz w:val="32"/>
          <w:szCs w:val="32"/>
        </w:rPr>
      </w:pPr>
      <w:r>
        <w:rPr>
          <w:rFonts w:ascii="Times New Roman" w:hAnsi="Times New Roman" w:eastAsia="方正仿宋_GBK" w:cs="Times New Roman"/>
          <w:kern w:val="2"/>
          <w:sz w:val="32"/>
          <w:szCs w:val="32"/>
        </w:rPr>
        <w:t>本年度会议费支出</w:t>
      </w:r>
      <w:r>
        <w:rPr>
          <w:rFonts w:hint="eastAsia" w:ascii="Times New Roman" w:hAnsi="Times New Roman" w:eastAsia="方正仿宋_GBK" w:cs="Times New Roman"/>
          <w:kern w:val="2"/>
          <w:sz w:val="32"/>
          <w:szCs w:val="32"/>
        </w:rPr>
        <w:t>0.00</w:t>
      </w:r>
      <w:r>
        <w:rPr>
          <w:rFonts w:ascii="Times New Roman" w:hAnsi="Times New Roman" w:eastAsia="方正仿宋_GBK" w:cs="Times New Roman"/>
          <w:kern w:val="2"/>
          <w:sz w:val="32"/>
          <w:szCs w:val="32"/>
        </w:rPr>
        <w:t>万元，较上年决算数减少</w:t>
      </w:r>
      <w:r>
        <w:rPr>
          <w:rFonts w:hint="eastAsia" w:ascii="Times New Roman" w:hAnsi="Times New Roman" w:eastAsia="方正仿宋_GBK" w:cs="Times New Roman"/>
          <w:kern w:val="2"/>
          <w:sz w:val="32"/>
          <w:szCs w:val="32"/>
        </w:rPr>
        <w:t>0.00</w:t>
      </w:r>
      <w:r>
        <w:rPr>
          <w:rFonts w:ascii="Times New Roman" w:hAnsi="Times New Roman" w:eastAsia="方正仿宋_GBK" w:cs="Times New Roman"/>
          <w:kern w:val="2"/>
          <w:sz w:val="32"/>
          <w:szCs w:val="32"/>
        </w:rPr>
        <w:t>万元，下降</w:t>
      </w:r>
      <w:r>
        <w:rPr>
          <w:rFonts w:hint="eastAsia" w:ascii="Times New Roman" w:hAnsi="Times New Roman" w:eastAsia="方正仿宋_GBK" w:cs="Times New Roman"/>
          <w:kern w:val="2"/>
          <w:sz w:val="32"/>
          <w:szCs w:val="32"/>
        </w:rPr>
        <w:t>0.0</w:t>
      </w:r>
      <w:r>
        <w:rPr>
          <w:rFonts w:ascii="Times New Roman" w:hAnsi="Times New Roman" w:eastAsia="方正仿宋_GBK" w:cs="Times New Roman"/>
          <w:kern w:val="2"/>
          <w:sz w:val="32"/>
          <w:szCs w:val="32"/>
        </w:rPr>
        <w:t>%，主要原因是</w:t>
      </w:r>
      <w:r>
        <w:rPr>
          <w:rFonts w:hint="eastAsia" w:ascii="Times New Roman" w:hAnsi="Times New Roman" w:eastAsia="方正仿宋_GBK" w:cs="Times New Roman"/>
          <w:color w:val="000000"/>
          <w:kern w:val="2"/>
          <w:sz w:val="32"/>
          <w:szCs w:val="32"/>
        </w:rPr>
        <w:t>本年度会议费由县纪委监委机关承担</w:t>
      </w:r>
      <w:r>
        <w:rPr>
          <w:rFonts w:ascii="Times New Roman" w:hAnsi="Times New Roman" w:eastAsia="方正仿宋_GBK" w:cs="Times New Roman"/>
          <w:kern w:val="2"/>
          <w:sz w:val="32"/>
          <w:szCs w:val="32"/>
        </w:rPr>
        <w:t>。本年度培训费支出</w:t>
      </w:r>
      <w:r>
        <w:rPr>
          <w:rFonts w:hint="eastAsia" w:ascii="Times New Roman" w:hAnsi="Times New Roman" w:eastAsia="方正仿宋_GBK" w:cs="Times New Roman"/>
          <w:kern w:val="2"/>
          <w:sz w:val="32"/>
          <w:szCs w:val="32"/>
        </w:rPr>
        <w:t>0.00</w:t>
      </w:r>
      <w:r>
        <w:rPr>
          <w:rFonts w:ascii="Times New Roman" w:hAnsi="Times New Roman" w:eastAsia="方正仿宋_GBK" w:cs="Times New Roman"/>
          <w:kern w:val="2"/>
          <w:sz w:val="32"/>
          <w:szCs w:val="32"/>
        </w:rPr>
        <w:t>万元，较上年决算数减少</w:t>
      </w:r>
      <w:r>
        <w:rPr>
          <w:rFonts w:hint="eastAsia" w:ascii="Times New Roman" w:hAnsi="Times New Roman" w:eastAsia="方正仿宋_GBK" w:cs="Times New Roman"/>
          <w:kern w:val="2"/>
          <w:sz w:val="32"/>
          <w:szCs w:val="32"/>
        </w:rPr>
        <w:t>0.00</w:t>
      </w:r>
      <w:r>
        <w:rPr>
          <w:rFonts w:ascii="Times New Roman" w:hAnsi="Times New Roman" w:eastAsia="方正仿宋_GBK" w:cs="Times New Roman"/>
          <w:kern w:val="2"/>
          <w:sz w:val="32"/>
          <w:szCs w:val="32"/>
        </w:rPr>
        <w:t>万元，下降</w:t>
      </w:r>
      <w:r>
        <w:rPr>
          <w:rFonts w:hint="eastAsia" w:ascii="Times New Roman" w:hAnsi="Times New Roman" w:eastAsia="方正仿宋_GBK" w:cs="Times New Roman"/>
          <w:kern w:val="2"/>
          <w:sz w:val="32"/>
          <w:szCs w:val="32"/>
        </w:rPr>
        <w:t>0.0</w:t>
      </w:r>
      <w:r>
        <w:rPr>
          <w:rFonts w:ascii="Times New Roman" w:hAnsi="Times New Roman" w:eastAsia="方正仿宋_GBK" w:cs="Times New Roman"/>
          <w:kern w:val="2"/>
          <w:sz w:val="32"/>
          <w:szCs w:val="32"/>
        </w:rPr>
        <w:t>%，主要原因是</w:t>
      </w:r>
      <w:r>
        <w:rPr>
          <w:rFonts w:hint="eastAsia" w:ascii="Times New Roman" w:hAnsi="Times New Roman" w:eastAsia="方正仿宋_GBK" w:cs="Times New Roman"/>
          <w:color w:val="000000"/>
          <w:kern w:val="2"/>
          <w:sz w:val="32"/>
          <w:szCs w:val="32"/>
        </w:rPr>
        <w:t>年度培训费由县纪委监委机关承担</w:t>
      </w:r>
      <w:r>
        <w:rPr>
          <w:rFonts w:ascii="Times New Roman" w:hAnsi="Times New Roman" w:eastAsia="方正仿宋_GBK" w:cs="Times New Roman"/>
          <w:kern w:val="2"/>
          <w:sz w:val="32"/>
          <w:szCs w:val="32"/>
        </w:rPr>
        <w:t>。</w:t>
      </w:r>
    </w:p>
    <w:p>
      <w:pPr>
        <w:spacing w:line="587"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（二）机关运行经费情况说明。</w:t>
      </w:r>
    </w:p>
    <w:p>
      <w:pPr>
        <w:widowControl w:val="0"/>
        <w:spacing w:line="587" w:lineRule="exact"/>
        <w:ind w:firstLine="640" w:firstLineChars="200"/>
        <w:jc w:val="both"/>
        <w:rPr>
          <w:rFonts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rPr>
        <w:t>按照部门决算列报口径，我单位不在机关运行经费统计范围之内。</w:t>
      </w:r>
    </w:p>
    <w:p>
      <w:pPr>
        <w:spacing w:line="587"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（三）国有资产占用情况说明。</w:t>
      </w:r>
    </w:p>
    <w:p>
      <w:pPr>
        <w:widowControl w:val="0"/>
        <w:spacing w:line="587"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截至202</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年12月31日，本部门共有车辆2辆，其中，副部（省）级及以上领导用车0辆、主要领导干部用车0辆、机要通信用车0辆、应急保障用车2辆、执法执勤用车0辆，特种专业技术用车0辆，离退休干部用车0辆，其他用车0辆。单价100万元（含）以上专用设备0台（套）。</w:t>
      </w:r>
    </w:p>
    <w:p>
      <w:pPr>
        <w:spacing w:line="587"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（四）政府采购支出情况说明。</w:t>
      </w:r>
    </w:p>
    <w:p>
      <w:pPr>
        <w:widowControl w:val="0"/>
        <w:spacing w:line="587"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年度我单位未发生政府采购事项，无相关经费支出。</w:t>
      </w:r>
    </w:p>
    <w:p>
      <w:pPr>
        <w:spacing w:line="587"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五、预算绩效管理情况说明</w:t>
      </w:r>
    </w:p>
    <w:p>
      <w:pPr>
        <w:spacing w:line="587"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（一）预算绩效管理工作开展情况</w:t>
      </w:r>
    </w:p>
    <w:p>
      <w:pPr>
        <w:pStyle w:val="4"/>
        <w:shd w:val="clear" w:color="auto" w:fill="FFFFFF"/>
        <w:spacing w:before="0" w:beforeAutospacing="0" w:after="0" w:afterAutospacing="0" w:line="587"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根据预算绩效管理要求，本单位对</w:t>
      </w:r>
      <w:r>
        <w:rPr>
          <w:rFonts w:hint="eastAsia" w:ascii="Times New Roman" w:hAnsi="Times New Roman" w:eastAsia="方正仿宋_GBK" w:cs="Times New Roman"/>
          <w:color w:val="000000" w:themeColor="text1"/>
          <w:kern w:val="2"/>
          <w:sz w:val="32"/>
          <w:szCs w:val="32"/>
          <w14:textFill>
            <w14:solidFill>
              <w14:schemeClr w14:val="tx1"/>
            </w14:solidFill>
          </w14:textFill>
        </w:rPr>
        <w:t>1</w:t>
      </w:r>
      <w:r>
        <w:rPr>
          <w:rFonts w:ascii="Times New Roman" w:hAnsi="Times New Roman" w:eastAsia="方正仿宋_GBK" w:cs="Times New Roman"/>
          <w:color w:val="000000" w:themeColor="text1"/>
          <w:kern w:val="2"/>
          <w:sz w:val="32"/>
          <w:szCs w:val="32"/>
          <w14:textFill>
            <w14:solidFill>
              <w14:schemeClr w14:val="tx1"/>
            </w14:solidFill>
          </w14:textFill>
        </w:rPr>
        <w:t>个项目开展了绩效自评，其中，以填报目标自评表形式开展自</w:t>
      </w:r>
      <w:r>
        <w:rPr>
          <w:rFonts w:hint="eastAsia" w:ascii="Times New Roman" w:hAnsi="Times New Roman" w:eastAsia="方正仿宋_GBK" w:cs="Times New Roman"/>
          <w:color w:val="000000" w:themeColor="text1"/>
          <w:kern w:val="2"/>
          <w:sz w:val="32"/>
          <w:szCs w:val="32"/>
          <w14:textFill>
            <w14:solidFill>
              <w14:schemeClr w14:val="tx1"/>
            </w14:solidFill>
          </w14:textFill>
        </w:rPr>
        <w:t>评1</w:t>
      </w:r>
      <w:r>
        <w:rPr>
          <w:rFonts w:ascii="Times New Roman" w:hAnsi="Times New Roman" w:eastAsia="方正仿宋_GBK" w:cs="Times New Roman"/>
          <w:color w:val="000000" w:themeColor="text1"/>
          <w:kern w:val="2"/>
          <w:sz w:val="32"/>
          <w:szCs w:val="32"/>
          <w14:textFill>
            <w14:solidFill>
              <w14:schemeClr w14:val="tx1"/>
            </w14:solidFill>
          </w14:textFill>
        </w:rPr>
        <w:t>项，涉及资金10万元</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从评价情况来看，</w:t>
      </w:r>
      <w:r>
        <w:rPr>
          <w:rFonts w:hint="eastAsia" w:ascii="Times New Roman" w:hAnsi="Times New Roman" w:eastAsia="方正仿宋_GBK" w:cs="Times New Roman"/>
          <w:color w:val="000000" w:themeColor="text1"/>
          <w:kern w:val="2"/>
          <w:sz w:val="32"/>
          <w:szCs w:val="32"/>
          <w14:textFill>
            <w14:solidFill>
              <w14:schemeClr w14:val="tx1"/>
            </w14:solidFill>
          </w14:textFill>
        </w:rPr>
        <w:t>项目按预期投入，资金安排使用合理，各产出目标达到预期，效益较好，绩效自评得分较高，符合项目预期</w:t>
      </w:r>
      <w:r>
        <w:rPr>
          <w:rFonts w:ascii="Times New Roman" w:hAnsi="Times New Roman" w:eastAsia="方正仿宋_GBK" w:cs="Times New Roman"/>
          <w:color w:val="000000" w:themeColor="text1"/>
          <w:kern w:val="2"/>
          <w:sz w:val="32"/>
          <w:szCs w:val="32"/>
          <w14:textFill>
            <w14:solidFill>
              <w14:schemeClr w14:val="tx1"/>
            </w14:solidFill>
          </w14:textFill>
        </w:rPr>
        <w:t>。</w:t>
      </w:r>
    </w:p>
    <w:p>
      <w:pPr>
        <w:pStyle w:val="4"/>
        <w:shd w:val="clear" w:color="auto" w:fill="FFFFFF"/>
        <w:spacing w:before="0" w:beforeAutospacing="0" w:after="0" w:afterAutospacing="0" w:line="587"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（二）绩效自评结果</w:t>
      </w:r>
    </w:p>
    <w:p>
      <w:pPr>
        <w:spacing w:line="587"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绩效自评表</w:t>
      </w:r>
    </w:p>
    <w:p>
      <w:pPr>
        <w:spacing w:line="587" w:lineRule="exact"/>
        <w:ind w:firstLine="640" w:firstLineChars="200"/>
        <w:rPr>
          <w:rFonts w:hint="eastAsia" w:ascii="Times New Roman" w:hAnsi="Times New Roman" w:eastAsia="方正仿宋_GBK"/>
          <w:color w:val="000000"/>
          <w:sz w:val="32"/>
          <w:szCs w:val="32"/>
        </w:rPr>
      </w:pPr>
    </w:p>
    <w:tbl>
      <w:tblPr>
        <w:tblStyle w:val="5"/>
        <w:tblW w:w="10683" w:type="dxa"/>
        <w:jc w:val="center"/>
        <w:tblLayout w:type="autofit"/>
        <w:tblCellMar>
          <w:top w:w="0" w:type="dxa"/>
          <w:left w:w="108" w:type="dxa"/>
          <w:bottom w:w="0" w:type="dxa"/>
          <w:right w:w="108" w:type="dxa"/>
        </w:tblCellMar>
      </w:tblPr>
      <w:tblGrid>
        <w:gridCol w:w="1277"/>
        <w:gridCol w:w="616"/>
        <w:gridCol w:w="850"/>
        <w:gridCol w:w="992"/>
        <w:gridCol w:w="992"/>
        <w:gridCol w:w="904"/>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b/>
                <w:bCs/>
                <w:color w:val="000000"/>
                <w:sz w:val="36"/>
                <w:szCs w:val="40"/>
              </w:rPr>
            </w:pPr>
            <w:r>
              <w:rPr>
                <w:rFonts w:hint="eastAsia" w:ascii="微软雅黑" w:hAnsi="微软雅黑" w:eastAsia="微软雅黑"/>
                <w:b/>
                <w:bCs/>
                <w:color w:val="000000"/>
                <w:sz w:val="32"/>
                <w:szCs w:val="40"/>
              </w:rPr>
              <w:t>2022年度项目绩效自评表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eastAsia"/>
                <w:b/>
                <w:bCs/>
                <w:color w:val="000000"/>
                <w:sz w:val="16"/>
                <w:szCs w:val="16"/>
              </w:rPr>
            </w:pPr>
            <w:r>
              <w:rPr>
                <w:rFonts w:hint="eastAsia"/>
                <w:b/>
                <w:bCs/>
                <w:color w:val="000000"/>
                <w:sz w:val="16"/>
                <w:szCs w:val="16"/>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pPr>
              <w:spacing w:line="240" w:lineRule="atLeast"/>
              <w:rPr>
                <w:rFonts w:hint="eastAsia"/>
                <w:color w:val="000000"/>
                <w:sz w:val="16"/>
                <w:szCs w:val="16"/>
              </w:rPr>
            </w:pPr>
            <w:r>
              <w:rPr>
                <w:rFonts w:hint="eastAsia"/>
                <w:color w:val="000000"/>
                <w:sz w:val="16"/>
                <w:szCs w:val="16"/>
              </w:rPr>
              <w:t>廉政教育中心运行经费　</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b/>
                <w:bCs/>
                <w:color w:val="000000"/>
                <w:sz w:val="16"/>
                <w:szCs w:val="16"/>
              </w:rPr>
            </w:pPr>
            <w:r>
              <w:rPr>
                <w:rFonts w:hint="eastAsia"/>
                <w:b/>
                <w:bCs/>
                <w:color w:val="000000"/>
                <w:sz w:val="16"/>
                <w:szCs w:val="16"/>
              </w:rPr>
              <w:t>项目编码：</w:t>
            </w:r>
          </w:p>
        </w:tc>
        <w:tc>
          <w:tcPr>
            <w:tcW w:w="1560" w:type="dxa"/>
            <w:gridSpan w:val="2"/>
            <w:tcBorders>
              <w:top w:val="nil"/>
              <w:left w:val="nil"/>
              <w:bottom w:val="single" w:color="auto" w:sz="4" w:space="0"/>
              <w:right w:val="single" w:color="auto" w:sz="4" w:space="0"/>
            </w:tcBorders>
            <w:shd w:val="clear" w:color="auto" w:fill="auto"/>
            <w:noWrap/>
            <w:vAlign w:val="center"/>
          </w:tcPr>
          <w:p>
            <w:pPr>
              <w:spacing w:line="240" w:lineRule="atLeast"/>
              <w:rPr>
                <w:rFonts w:hint="eastAsia"/>
                <w:color w:val="000000"/>
                <w:sz w:val="16"/>
                <w:szCs w:val="16"/>
              </w:rPr>
            </w:pPr>
            <w:r>
              <w:rPr>
                <w:color w:val="000000"/>
                <w:sz w:val="16"/>
                <w:szCs w:val="16"/>
              </w:rPr>
              <w:t>50023022T000000143821</w:t>
            </w:r>
            <w:r>
              <w:rPr>
                <w:rFonts w:hint="eastAsia"/>
                <w:color w:val="00000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b/>
                <w:bCs/>
                <w:color w:val="000000"/>
                <w:sz w:val="16"/>
                <w:szCs w:val="16"/>
              </w:rPr>
            </w:pPr>
            <w:r>
              <w:rPr>
                <w:rFonts w:hint="eastAsia"/>
                <w:b/>
                <w:bCs/>
                <w:color w:val="000000"/>
                <w:sz w:val="16"/>
                <w:szCs w:val="16"/>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eastAsia"/>
                <w:color w:val="000000"/>
                <w:sz w:val="16"/>
                <w:szCs w:val="16"/>
              </w:rPr>
            </w:pPr>
            <w:r>
              <w:rPr>
                <w:rFonts w:hint="eastAsia"/>
                <w:color w:val="000000"/>
                <w:sz w:val="16"/>
                <w:szCs w:val="16"/>
              </w:rPr>
              <w:t>　</w:t>
            </w:r>
            <w:r>
              <w:rPr>
                <w:color w:val="000000"/>
                <w:sz w:val="16"/>
                <w:szCs w:val="16"/>
              </w:rPr>
              <w:t>94.69</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b/>
                <w:bCs/>
                <w:color w:val="000000"/>
                <w:sz w:val="16"/>
                <w:szCs w:val="16"/>
              </w:rPr>
            </w:pPr>
          </w:p>
        </w:tc>
        <w:tc>
          <w:tcPr>
            <w:tcW w:w="1894" w:type="dxa"/>
            <w:gridSpan w:val="2"/>
            <w:tcBorders>
              <w:top w:val="nil"/>
              <w:left w:val="nil"/>
              <w:bottom w:val="single" w:color="auto" w:sz="4" w:space="0"/>
              <w:right w:val="single" w:color="auto" w:sz="4" w:space="0"/>
            </w:tcBorders>
            <w:shd w:val="clear" w:color="auto" w:fill="auto"/>
            <w:noWrap/>
            <w:vAlign w:val="center"/>
          </w:tcPr>
          <w:p>
            <w:pPr>
              <w:spacing w:line="240" w:lineRule="atLeast"/>
              <w:ind w:firstLine="160" w:firstLineChars="100"/>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eastAsia"/>
                <w:b/>
                <w:bCs/>
                <w:color w:val="000000"/>
                <w:sz w:val="16"/>
                <w:szCs w:val="16"/>
              </w:rPr>
            </w:pPr>
            <w:r>
              <w:rPr>
                <w:rFonts w:hint="eastAsia"/>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eastAsia"/>
                <w:color w:val="000000"/>
                <w:sz w:val="16"/>
                <w:szCs w:val="16"/>
              </w:rPr>
            </w:pPr>
            <w:r>
              <w:rPr>
                <w:rFonts w:hint="eastAsia"/>
                <w:color w:val="000000"/>
                <w:sz w:val="16"/>
                <w:szCs w:val="16"/>
              </w:rPr>
              <w:t>　</w:t>
            </w:r>
            <w:r>
              <w:rPr>
                <w:color w:val="000000"/>
                <w:sz w:val="16"/>
                <w:szCs w:val="16"/>
              </w:rPr>
              <w:t>105-中国共产党丰都县纪律检查委员会</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b/>
                <w:bCs/>
                <w:color w:val="000000"/>
                <w:sz w:val="16"/>
                <w:szCs w:val="16"/>
              </w:rPr>
            </w:pPr>
            <w:r>
              <w:rPr>
                <w:rFonts w:hint="eastAsia"/>
                <w:b/>
                <w:bCs/>
                <w:color w:val="000000"/>
                <w:sz w:val="16"/>
                <w:szCs w:val="16"/>
              </w:rPr>
              <w:t>财政归口处室：</w:t>
            </w:r>
          </w:p>
        </w:tc>
        <w:tc>
          <w:tcPr>
            <w:tcW w:w="1560"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eastAsia"/>
                <w:color w:val="000000"/>
                <w:sz w:val="16"/>
                <w:szCs w:val="16"/>
              </w:rPr>
            </w:pPr>
            <w:r>
              <w:rPr>
                <w:rFonts w:hint="eastAsia"/>
                <w:color w:val="000000"/>
                <w:sz w:val="16"/>
                <w:szCs w:val="16"/>
              </w:rPr>
              <w:t>　</w:t>
            </w:r>
            <w:r>
              <w:rPr>
                <w:color w:val="000000"/>
                <w:sz w:val="16"/>
                <w:szCs w:val="16"/>
              </w:rPr>
              <w:t>001-行政政法科</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tLeast"/>
              <w:ind w:right="483"/>
              <w:jc w:val="center"/>
              <w:rPr>
                <w:b/>
                <w:bCs/>
                <w:color w:val="000000"/>
                <w:sz w:val="16"/>
                <w:szCs w:val="16"/>
              </w:rPr>
            </w:pPr>
            <w:r>
              <w:rPr>
                <w:rFonts w:hint="eastAsia"/>
                <w:b/>
                <w:bCs/>
                <w:color w:val="000000"/>
                <w:sz w:val="16"/>
                <w:szCs w:val="16"/>
              </w:rPr>
              <w:t>部门</w:t>
            </w:r>
          </w:p>
          <w:p>
            <w:pPr>
              <w:spacing w:line="240" w:lineRule="atLeast"/>
              <w:ind w:right="161"/>
              <w:jc w:val="center"/>
              <w:rPr>
                <w:rFonts w:hint="eastAsia"/>
                <w:b/>
                <w:bCs/>
                <w:color w:val="000000"/>
                <w:sz w:val="16"/>
                <w:szCs w:val="16"/>
              </w:rPr>
            </w:pPr>
            <w:r>
              <w:rPr>
                <w:rFonts w:hint="eastAsia"/>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eastAsia"/>
                <w:color w:val="000000"/>
                <w:sz w:val="16"/>
                <w:szCs w:val="16"/>
              </w:rPr>
            </w:pPr>
            <w:r>
              <w:rPr>
                <w:rFonts w:hint="eastAsia"/>
                <w:color w:val="000000"/>
                <w:sz w:val="16"/>
                <w:szCs w:val="16"/>
              </w:rPr>
              <w:t>　李莲</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right="181"/>
              <w:jc w:val="center"/>
              <w:rPr>
                <w:b/>
                <w:bCs/>
                <w:color w:val="000000"/>
                <w:sz w:val="16"/>
                <w:szCs w:val="16"/>
              </w:rPr>
            </w:pPr>
            <w:r>
              <w:rPr>
                <w:rFonts w:hint="eastAsia"/>
                <w:b/>
                <w:bCs/>
                <w:color w:val="000000"/>
                <w:sz w:val="16"/>
                <w:szCs w:val="16"/>
              </w:rPr>
              <w:t>联系</w:t>
            </w:r>
          </w:p>
          <w:p>
            <w:pPr>
              <w:spacing w:line="240" w:lineRule="atLeast"/>
              <w:ind w:right="181"/>
              <w:jc w:val="center"/>
              <w:rPr>
                <w:rFonts w:hint="eastAsia"/>
                <w:b/>
                <w:bCs/>
                <w:color w:val="000000"/>
                <w:sz w:val="16"/>
                <w:szCs w:val="16"/>
              </w:rPr>
            </w:pPr>
            <w:r>
              <w:rPr>
                <w:rFonts w:hint="eastAsia"/>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firstLine="160" w:firstLineChars="100"/>
              <w:rPr>
                <w:rFonts w:hint="eastAsia"/>
                <w:color w:val="000000"/>
                <w:sz w:val="16"/>
                <w:szCs w:val="16"/>
              </w:rPr>
            </w:pPr>
            <w:r>
              <w:rPr>
                <w:rFonts w:hint="eastAsia"/>
                <w:color w:val="000000"/>
                <w:sz w:val="16"/>
                <w:szCs w:val="16"/>
              </w:rPr>
              <w:t>　</w:t>
            </w:r>
            <w:r>
              <w:rPr>
                <w:color w:val="000000"/>
                <w:sz w:val="16"/>
                <w:szCs w:val="16"/>
              </w:rPr>
              <w:t>70605645</w:t>
            </w:r>
          </w:p>
        </w:tc>
      </w:tr>
      <w:tr>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b/>
                <w:bCs/>
                <w:color w:val="808080"/>
                <w:sz w:val="28"/>
                <w:szCs w:val="28"/>
              </w:rPr>
            </w:pPr>
            <w:r>
              <w:rPr>
                <w:rFonts w:hint="eastAsia" w:ascii="微软雅黑" w:hAnsi="微软雅黑" w:eastAsia="微软雅黑"/>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c>
          <w:tcPr>
            <w:tcW w:w="1842" w:type="dxa"/>
            <w:gridSpan w:val="2"/>
            <w:tcBorders>
              <w:top w:val="single" w:color="auto" w:sz="4" w:space="0"/>
              <w:left w:val="nil"/>
              <w:bottom w:val="single" w:color="auto" w:sz="4" w:space="0"/>
              <w:right w:val="single" w:color="000000" w:sz="4" w:space="0"/>
            </w:tcBorders>
            <w:shd w:val="clear" w:color="auto" w:fill="auto"/>
            <w:noWrap/>
            <w:vAlign w:val="center"/>
          </w:tcPr>
          <w:p>
            <w:pPr>
              <w:ind w:right="724"/>
              <w:jc w:val="center"/>
              <w:rPr>
                <w:rFonts w:hint="eastAsia"/>
                <w:b/>
                <w:bCs/>
                <w:color w:val="000000"/>
                <w:sz w:val="16"/>
                <w:szCs w:val="16"/>
              </w:rPr>
            </w:pPr>
            <w:r>
              <w:rPr>
                <w:rFonts w:hint="eastAsia"/>
                <w:b/>
                <w:bCs/>
                <w:color w:val="000000"/>
                <w:sz w:val="16"/>
                <w:szCs w:val="16"/>
              </w:rPr>
              <w:t>年初预算数</w:t>
            </w:r>
          </w:p>
        </w:tc>
        <w:tc>
          <w:tcPr>
            <w:tcW w:w="1560"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b/>
                <w:bCs/>
                <w:color w:val="000000"/>
                <w:sz w:val="16"/>
                <w:szCs w:val="16"/>
              </w:rPr>
            </w:pPr>
            <w:r>
              <w:rPr>
                <w:rFonts w:hint="eastAsia"/>
                <w:b/>
                <w:bCs/>
                <w:color w:val="000000"/>
                <w:sz w:val="16"/>
                <w:szCs w:val="16"/>
              </w:rPr>
              <w:t>全年（调整）</w:t>
            </w:r>
          </w:p>
          <w:p>
            <w:pPr>
              <w:jc w:val="center"/>
              <w:rPr>
                <w:rFonts w:hint="eastAsia"/>
                <w:b/>
                <w:bCs/>
                <w:color w:val="000000"/>
                <w:sz w:val="16"/>
                <w:szCs w:val="16"/>
              </w:rPr>
            </w:pPr>
            <w:r>
              <w:rPr>
                <w:rFonts w:hint="eastAsia"/>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ind w:right="161"/>
              <w:jc w:val="center"/>
              <w:rPr>
                <w:rFonts w:hint="eastAsia"/>
                <w:b/>
                <w:bCs/>
                <w:color w:val="000000"/>
                <w:sz w:val="16"/>
                <w:szCs w:val="16"/>
              </w:rPr>
            </w:pPr>
            <w:r>
              <w:rPr>
                <w:rFonts w:hint="eastAsia"/>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shd w:val="clear" w:color="auto" w:fill="auto"/>
            <w:noWrap/>
            <w:vAlign w:val="center"/>
          </w:tcPr>
          <w:p>
            <w:pPr>
              <w:ind w:right="322"/>
              <w:jc w:val="center"/>
              <w:rPr>
                <w:rFonts w:hint="eastAsia"/>
                <w:b/>
                <w:bCs/>
                <w:color w:val="000000"/>
                <w:sz w:val="16"/>
                <w:szCs w:val="16"/>
              </w:rPr>
            </w:pPr>
            <w:r>
              <w:rPr>
                <w:rFonts w:hint="eastAsia"/>
                <w:b/>
                <w:bCs/>
                <w:color w:val="000000"/>
                <w:sz w:val="16"/>
                <w:szCs w:val="16"/>
              </w:rPr>
              <w:t>执行率</w:t>
            </w:r>
          </w:p>
        </w:tc>
        <w:tc>
          <w:tcPr>
            <w:tcW w:w="902" w:type="dxa"/>
            <w:tcBorders>
              <w:top w:val="nil"/>
              <w:left w:val="nil"/>
              <w:bottom w:val="single" w:color="auto" w:sz="4" w:space="0"/>
              <w:right w:val="single" w:color="auto" w:sz="4" w:space="0"/>
            </w:tcBorders>
            <w:shd w:val="clear" w:color="auto" w:fill="auto"/>
            <w:noWrap/>
            <w:vAlign w:val="center"/>
          </w:tcPr>
          <w:p>
            <w:pPr>
              <w:jc w:val="center"/>
              <w:rPr>
                <w:b/>
                <w:bCs/>
                <w:color w:val="000000"/>
                <w:sz w:val="16"/>
                <w:szCs w:val="16"/>
              </w:rPr>
            </w:pPr>
            <w:r>
              <w:rPr>
                <w:rFonts w:hint="eastAsia"/>
                <w:b/>
                <w:bCs/>
                <w:color w:val="000000"/>
                <w:sz w:val="16"/>
                <w:szCs w:val="16"/>
              </w:rPr>
              <w:t>执行率</w:t>
            </w:r>
          </w:p>
          <w:p>
            <w:pPr>
              <w:jc w:val="center"/>
              <w:rPr>
                <w:rFonts w:hint="eastAsia"/>
                <w:b/>
                <w:bCs/>
                <w:color w:val="000000"/>
                <w:sz w:val="16"/>
                <w:szCs w:val="16"/>
              </w:rPr>
            </w:pPr>
            <w:r>
              <w:rPr>
                <w:rFonts w:hint="eastAsia"/>
                <w:b/>
                <w:bCs/>
                <w:color w:val="000000"/>
                <w:sz w:val="16"/>
                <w:szCs w:val="16"/>
              </w:rPr>
              <w:t>权重</w:t>
            </w:r>
          </w:p>
        </w:tc>
        <w:tc>
          <w:tcPr>
            <w:tcW w:w="992" w:type="dxa"/>
            <w:tcBorders>
              <w:top w:val="nil"/>
              <w:left w:val="nil"/>
              <w:bottom w:val="single" w:color="auto" w:sz="4" w:space="0"/>
              <w:right w:val="single" w:color="auto" w:sz="4" w:space="0"/>
            </w:tcBorders>
            <w:shd w:val="clear" w:color="auto" w:fill="auto"/>
            <w:noWrap/>
            <w:vAlign w:val="center"/>
          </w:tcPr>
          <w:p>
            <w:pPr>
              <w:jc w:val="center"/>
              <w:rPr>
                <w:b/>
                <w:bCs/>
                <w:color w:val="000000"/>
                <w:sz w:val="16"/>
                <w:szCs w:val="16"/>
              </w:rPr>
            </w:pPr>
            <w:r>
              <w:rPr>
                <w:rFonts w:hint="eastAsia"/>
                <w:b/>
                <w:bCs/>
                <w:color w:val="000000"/>
                <w:sz w:val="16"/>
                <w:szCs w:val="16"/>
              </w:rPr>
              <w:t>执行率</w:t>
            </w:r>
          </w:p>
          <w:p>
            <w:pPr>
              <w:jc w:val="center"/>
              <w:rPr>
                <w:rFonts w:hint="eastAsia"/>
                <w:b/>
                <w:bCs/>
                <w:color w:val="000000"/>
                <w:sz w:val="16"/>
                <w:szCs w:val="16"/>
              </w:rPr>
            </w:pPr>
            <w:r>
              <w:rPr>
                <w:rFonts w:hint="eastAsia"/>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color w:val="000000"/>
                <w:sz w:val="16"/>
                <w:szCs w:val="16"/>
              </w:rPr>
              <w:t>200000</w:t>
            </w:r>
            <w:r>
              <w:rPr>
                <w:rFonts w:hint="eastAsia"/>
                <w:color w:val="000000"/>
                <w:sz w:val="16"/>
                <w:szCs w:val="16"/>
              </w:rPr>
              <w:t>　</w:t>
            </w:r>
          </w:p>
        </w:tc>
        <w:tc>
          <w:tcPr>
            <w:tcW w:w="1560"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color w:val="000000"/>
                <w:sz w:val="16"/>
                <w:szCs w:val="16"/>
              </w:rPr>
              <w:t>100000</w:t>
            </w:r>
            <w:r>
              <w:rPr>
                <w:rFonts w:hint="eastAsia"/>
                <w:color w:val="000000"/>
                <w:sz w:val="16"/>
                <w:szCs w:val="16"/>
              </w:rPr>
              <w:t>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color w:val="000000"/>
                <w:sz w:val="16"/>
                <w:szCs w:val="16"/>
              </w:rPr>
              <w:t>100000</w:t>
            </w:r>
            <w:r>
              <w:rPr>
                <w:rFonts w:hint="eastAsia"/>
                <w:color w:val="000000"/>
                <w:sz w:val="16"/>
                <w:szCs w:val="16"/>
              </w:rPr>
              <w:t>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90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sz w:val="16"/>
                <w:szCs w:val="16"/>
              </w:rPr>
            </w:pPr>
            <w:r>
              <w:rPr>
                <w:rFonts w:hint="eastAsia"/>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sz w:val="16"/>
                <w:szCs w:val="16"/>
              </w:rPr>
            </w:pPr>
            <w:r>
              <w:rPr>
                <w:rFonts w:hint="eastAsia"/>
                <w:sz w:val="16"/>
                <w:szCs w:val="16"/>
              </w:rPr>
              <w:t>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color w:val="000000"/>
                <w:sz w:val="16"/>
                <w:szCs w:val="16"/>
              </w:rPr>
              <w:t>200000</w:t>
            </w:r>
            <w:r>
              <w:rPr>
                <w:rFonts w:hint="eastAsia"/>
                <w:color w:val="000000"/>
                <w:sz w:val="16"/>
                <w:szCs w:val="16"/>
              </w:rPr>
              <w:t>　</w:t>
            </w:r>
          </w:p>
        </w:tc>
        <w:tc>
          <w:tcPr>
            <w:tcW w:w="1560"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color w:val="000000"/>
                <w:sz w:val="16"/>
                <w:szCs w:val="16"/>
              </w:rPr>
              <w:t>100000</w:t>
            </w:r>
            <w:r>
              <w:rPr>
                <w:rFonts w:hint="eastAsia"/>
                <w:color w:val="000000"/>
                <w:sz w:val="16"/>
                <w:szCs w:val="16"/>
              </w:rPr>
              <w:t>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color w:val="000000"/>
                <w:sz w:val="16"/>
                <w:szCs w:val="16"/>
              </w:rPr>
              <w:t>100000</w:t>
            </w:r>
            <w:r>
              <w:rPr>
                <w:rFonts w:hint="eastAsia"/>
                <w:color w:val="000000"/>
                <w:sz w:val="16"/>
                <w:szCs w:val="16"/>
              </w:rPr>
              <w:t>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1</w:t>
            </w:r>
            <w:r>
              <w:rPr>
                <w:color w:val="000000"/>
                <w:sz w:val="16"/>
                <w:szCs w:val="16"/>
              </w:rPr>
              <w:t>00</w:t>
            </w:r>
            <w:r>
              <w:rPr>
                <w:rFonts w:hint="eastAsia"/>
                <w:color w:val="000000"/>
                <w:sz w:val="16"/>
                <w:szCs w:val="16"/>
              </w:rPr>
              <w:t>　</w:t>
            </w:r>
          </w:p>
        </w:tc>
        <w:tc>
          <w:tcPr>
            <w:tcW w:w="90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sz w:val="16"/>
                <w:szCs w:val="16"/>
              </w:rPr>
            </w:pPr>
            <w:r>
              <w:rPr>
                <w:sz w:val="16"/>
                <w:szCs w:val="16"/>
              </w:rPr>
              <w:t>10.00</w:t>
            </w:r>
            <w:r>
              <w:rPr>
                <w:rFonts w:hint="eastAsia"/>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sz w:val="16"/>
                <w:szCs w:val="16"/>
              </w:rPr>
            </w:pPr>
            <w:r>
              <w:rPr>
                <w:sz w:val="16"/>
                <w:szCs w:val="16"/>
              </w:rPr>
              <w:t>10.00</w:t>
            </w:r>
            <w:r>
              <w:rPr>
                <w:rFonts w:hint="eastAsia"/>
                <w:sz w:val="16"/>
                <w:szCs w:val="16"/>
              </w:rPr>
              <w:t>　</w:t>
            </w:r>
          </w:p>
        </w:tc>
      </w:tr>
      <w:tr>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b/>
                <w:bCs/>
                <w:color w:val="808080"/>
                <w:sz w:val="28"/>
                <w:szCs w:val="28"/>
              </w:rPr>
            </w:pPr>
            <w:r>
              <w:rPr>
                <w:rFonts w:hint="eastAsia" w:ascii="微软雅黑" w:hAnsi="微软雅黑" w:eastAsia="微软雅黑"/>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b/>
                <w:bCs/>
                <w:color w:val="000000"/>
                <w:sz w:val="16"/>
                <w:szCs w:val="16"/>
              </w:rPr>
            </w:pPr>
            <w:r>
              <w:rPr>
                <w:rFonts w:hint="eastAsia"/>
                <w:b/>
                <w:bCs/>
                <w:color w:val="000000"/>
                <w:sz w:val="16"/>
                <w:szCs w:val="16"/>
              </w:rPr>
              <w:t>年初绩效目标</w:t>
            </w:r>
          </w:p>
        </w:tc>
        <w:tc>
          <w:tcPr>
            <w:tcW w:w="3312"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b/>
                <w:bCs/>
                <w:color w:val="000000"/>
                <w:sz w:val="16"/>
                <w:szCs w:val="16"/>
              </w:rPr>
            </w:pPr>
            <w:r>
              <w:rPr>
                <w:rFonts w:hint="eastAsia"/>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b/>
                <w:bCs/>
                <w:color w:val="000000"/>
                <w:sz w:val="16"/>
                <w:szCs w:val="16"/>
              </w:rPr>
            </w:pPr>
            <w:r>
              <w:rPr>
                <w:rFonts w:hint="eastAsia"/>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eastAsia"/>
                <w:color w:val="000000"/>
                <w:sz w:val="16"/>
                <w:szCs w:val="16"/>
              </w:rPr>
            </w:pPr>
            <w:r>
              <w:rPr>
                <w:rFonts w:hint="eastAsia"/>
                <w:color w:val="000000"/>
                <w:sz w:val="16"/>
                <w:szCs w:val="16"/>
              </w:rPr>
              <w:t>　做好全年电子信息技术服务、廉政教育衔接服务及纪检监察保障服务工作。</w:t>
            </w:r>
          </w:p>
        </w:tc>
        <w:tc>
          <w:tcPr>
            <w:tcW w:w="3312" w:type="dxa"/>
            <w:gridSpan w:val="4"/>
            <w:tcBorders>
              <w:top w:val="single" w:color="auto" w:sz="4" w:space="0"/>
              <w:left w:val="nil"/>
              <w:bottom w:val="single" w:color="auto" w:sz="4" w:space="0"/>
              <w:right w:val="single" w:color="auto" w:sz="4" w:space="0"/>
            </w:tcBorders>
            <w:shd w:val="clear" w:color="auto" w:fill="auto"/>
          </w:tcPr>
          <w:p>
            <w:pPr>
              <w:rPr>
                <w:rFonts w:hint="eastAsia"/>
                <w:color w:val="000000"/>
                <w:sz w:val="16"/>
                <w:szCs w:val="16"/>
              </w:rPr>
            </w:pPr>
            <w:r>
              <w:rPr>
                <w:rFonts w:hint="eastAsia"/>
                <w:color w:val="000000"/>
                <w:sz w:val="16"/>
                <w:szCs w:val="16"/>
              </w:rPr>
              <w:t>　</w:t>
            </w:r>
          </w:p>
        </w:tc>
        <w:tc>
          <w:tcPr>
            <w:tcW w:w="3685" w:type="dxa"/>
            <w:gridSpan w:val="4"/>
            <w:tcBorders>
              <w:top w:val="single" w:color="auto" w:sz="4" w:space="0"/>
              <w:left w:val="nil"/>
              <w:bottom w:val="single" w:color="auto" w:sz="4" w:space="0"/>
              <w:right w:val="single" w:color="auto" w:sz="4" w:space="0"/>
            </w:tcBorders>
            <w:shd w:val="clear" w:color="auto" w:fill="auto"/>
          </w:tcPr>
          <w:p>
            <w:pPr>
              <w:rPr>
                <w:rFonts w:hint="eastAsia"/>
                <w:color w:val="000000"/>
                <w:sz w:val="16"/>
                <w:szCs w:val="16"/>
              </w:rPr>
            </w:pPr>
            <w:r>
              <w:rPr>
                <w:rFonts w:hint="eastAsia"/>
                <w:color w:val="000000"/>
                <w:sz w:val="16"/>
                <w:szCs w:val="16"/>
              </w:rPr>
              <w:t>　全年参与办公办案场所基础设施、网络安全、保密技术维护及后勤保障服务等，制作</w:t>
            </w:r>
            <w:r>
              <w:rPr>
                <w:color w:val="000000"/>
                <w:sz w:val="16"/>
                <w:szCs w:val="16"/>
              </w:rPr>
              <w:t>1部警示教育片，推动全县开展警示教育392场，启动“育廉”主题广场、“倡廉”教育基地建设，不断厚植廉洁文化。</w:t>
            </w:r>
          </w:p>
        </w:tc>
      </w:tr>
      <w:tr>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b/>
                <w:bCs/>
                <w:color w:val="808080"/>
                <w:sz w:val="28"/>
                <w:szCs w:val="28"/>
              </w:rPr>
            </w:pPr>
            <w:r>
              <w:rPr>
                <w:rFonts w:hint="eastAsia" w:ascii="微软雅黑" w:hAnsi="微软雅黑" w:eastAsia="微软雅黑"/>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jc w:val="center"/>
              <w:rPr>
                <w:b/>
                <w:bCs/>
                <w:color w:val="000000"/>
                <w:sz w:val="16"/>
              </w:rPr>
            </w:pPr>
            <w:r>
              <w:rPr>
                <w:rFonts w:hint="eastAsia"/>
                <w:b/>
                <w:bCs/>
                <w:color w:val="000000"/>
                <w:sz w:val="16"/>
              </w:rPr>
              <w:t>指标</w:t>
            </w:r>
          </w:p>
          <w:p>
            <w:pPr>
              <w:jc w:val="center"/>
              <w:rPr>
                <w:rFonts w:hint="eastAsia"/>
                <w:b/>
                <w:bCs/>
                <w:color w:val="000000"/>
                <w:sz w:val="16"/>
              </w:rPr>
            </w:pPr>
            <w:r>
              <w:rPr>
                <w:rFonts w:hint="eastAsia"/>
                <w:b/>
                <w:bCs/>
                <w:color w:val="000000"/>
                <w:sz w:val="16"/>
              </w:rPr>
              <w:t>名称</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hint="eastAsia"/>
                <w:b/>
                <w:bCs/>
                <w:color w:val="000000"/>
                <w:sz w:val="16"/>
              </w:rPr>
            </w:pPr>
            <w:r>
              <w:rPr>
                <w:rFonts w:hint="eastAsia"/>
                <w:b/>
                <w:bCs/>
                <w:color w:val="000000"/>
                <w:sz w:val="16"/>
              </w:rPr>
              <w:t>计量单位</w:t>
            </w:r>
          </w:p>
        </w:tc>
        <w:tc>
          <w:tcPr>
            <w:tcW w:w="850" w:type="dxa"/>
            <w:tcBorders>
              <w:top w:val="nil"/>
              <w:left w:val="nil"/>
              <w:bottom w:val="single" w:color="auto" w:sz="4" w:space="0"/>
              <w:right w:val="single" w:color="auto" w:sz="4" w:space="0"/>
            </w:tcBorders>
            <w:shd w:val="clear" w:color="auto" w:fill="auto"/>
            <w:noWrap/>
            <w:vAlign w:val="center"/>
          </w:tcPr>
          <w:p>
            <w:pPr>
              <w:jc w:val="center"/>
              <w:rPr>
                <w:b/>
                <w:bCs/>
                <w:color w:val="000000"/>
                <w:sz w:val="16"/>
              </w:rPr>
            </w:pPr>
            <w:r>
              <w:rPr>
                <w:rFonts w:hint="eastAsia"/>
                <w:b/>
                <w:bCs/>
                <w:color w:val="000000"/>
                <w:sz w:val="16"/>
              </w:rPr>
              <w:t>指标</w:t>
            </w:r>
          </w:p>
          <w:p>
            <w:pPr>
              <w:jc w:val="center"/>
              <w:rPr>
                <w:rFonts w:hint="eastAsia"/>
                <w:b/>
                <w:bCs/>
                <w:color w:val="000000"/>
                <w:sz w:val="16"/>
              </w:rPr>
            </w:pPr>
            <w:r>
              <w:rPr>
                <w:rFonts w:hint="eastAsia"/>
                <w:b/>
                <w:bCs/>
                <w:color w:val="000000"/>
                <w:sz w:val="16"/>
              </w:rPr>
              <w:t>性质</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eastAsia"/>
                <w:b/>
                <w:bCs/>
                <w:color w:val="000000"/>
                <w:sz w:val="16"/>
              </w:rPr>
            </w:pPr>
            <w:r>
              <w:rPr>
                <w:rFonts w:hint="eastAsia"/>
                <w:b/>
                <w:bCs/>
                <w:color w:val="000000"/>
                <w:sz w:val="16"/>
              </w:rPr>
              <w:t>指标值</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hint="eastAsia"/>
                <w:b/>
                <w:bCs/>
                <w:color w:val="000000"/>
                <w:sz w:val="16"/>
              </w:rPr>
            </w:pPr>
            <w:r>
              <w:rPr>
                <w:rFonts w:hint="eastAsia"/>
                <w:b/>
                <w:bCs/>
                <w:color w:val="000000"/>
                <w:sz w:val="16"/>
              </w:rPr>
              <w:t>全年完成值</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b/>
                <w:bCs/>
                <w:color w:val="000000"/>
                <w:sz w:val="16"/>
              </w:rPr>
            </w:pPr>
            <w:r>
              <w:rPr>
                <w:rFonts w:hint="eastAsia"/>
                <w:b/>
                <w:bCs/>
                <w:color w:val="000000"/>
                <w:sz w:val="16"/>
              </w:rPr>
              <w:t>偏离度（%）</w:t>
            </w:r>
          </w:p>
        </w:tc>
        <w:tc>
          <w:tcPr>
            <w:tcW w:w="1043" w:type="dxa"/>
            <w:tcBorders>
              <w:top w:val="nil"/>
              <w:left w:val="nil"/>
              <w:bottom w:val="single" w:color="auto" w:sz="4" w:space="0"/>
              <w:right w:val="single" w:color="auto" w:sz="4" w:space="0"/>
            </w:tcBorders>
            <w:shd w:val="clear" w:color="auto" w:fill="auto"/>
            <w:noWrap/>
            <w:vAlign w:val="center"/>
          </w:tcPr>
          <w:p>
            <w:pPr>
              <w:jc w:val="center"/>
              <w:rPr>
                <w:rFonts w:hint="eastAsia"/>
                <w:b/>
                <w:bCs/>
                <w:color w:val="000000"/>
                <w:sz w:val="16"/>
              </w:rPr>
            </w:pPr>
            <w:r>
              <w:rPr>
                <w:rFonts w:hint="eastAsia"/>
                <w:b/>
                <w:bCs/>
                <w:color w:val="000000"/>
                <w:sz w:val="16"/>
              </w:rPr>
              <w:t>得分系数（%）</w:t>
            </w:r>
          </w:p>
        </w:tc>
        <w:tc>
          <w:tcPr>
            <w:tcW w:w="709" w:type="dxa"/>
            <w:tcBorders>
              <w:top w:val="nil"/>
              <w:left w:val="nil"/>
              <w:bottom w:val="single" w:color="auto" w:sz="4" w:space="0"/>
              <w:right w:val="single" w:color="auto" w:sz="4" w:space="0"/>
            </w:tcBorders>
            <w:shd w:val="clear" w:color="auto" w:fill="auto"/>
            <w:noWrap/>
            <w:vAlign w:val="center"/>
          </w:tcPr>
          <w:p>
            <w:pPr>
              <w:jc w:val="center"/>
              <w:rPr>
                <w:b/>
                <w:bCs/>
                <w:color w:val="000000"/>
                <w:sz w:val="16"/>
              </w:rPr>
            </w:pPr>
            <w:r>
              <w:rPr>
                <w:rFonts w:hint="eastAsia"/>
                <w:b/>
                <w:bCs/>
                <w:color w:val="000000"/>
                <w:sz w:val="16"/>
              </w:rPr>
              <w:t>指标</w:t>
            </w:r>
          </w:p>
          <w:p>
            <w:pPr>
              <w:jc w:val="center"/>
              <w:rPr>
                <w:rFonts w:hint="eastAsia"/>
                <w:b/>
                <w:bCs/>
                <w:color w:val="000000"/>
                <w:sz w:val="16"/>
              </w:rPr>
            </w:pPr>
            <w:r>
              <w:rPr>
                <w:rFonts w:hint="eastAsia"/>
                <w:b/>
                <w:bCs/>
                <w:color w:val="000000"/>
                <w:sz w:val="16"/>
              </w:rPr>
              <w:t>权重</w:t>
            </w:r>
          </w:p>
        </w:tc>
        <w:tc>
          <w:tcPr>
            <w:tcW w:w="799" w:type="dxa"/>
            <w:tcBorders>
              <w:top w:val="nil"/>
              <w:left w:val="nil"/>
              <w:bottom w:val="single" w:color="auto" w:sz="4" w:space="0"/>
              <w:right w:val="single" w:color="auto" w:sz="4" w:space="0"/>
            </w:tcBorders>
            <w:shd w:val="clear" w:color="auto" w:fill="auto"/>
            <w:noWrap/>
            <w:vAlign w:val="center"/>
          </w:tcPr>
          <w:p>
            <w:pPr>
              <w:jc w:val="center"/>
              <w:rPr>
                <w:b/>
                <w:bCs/>
                <w:color w:val="000000"/>
                <w:sz w:val="16"/>
              </w:rPr>
            </w:pPr>
            <w:r>
              <w:rPr>
                <w:rFonts w:hint="eastAsia"/>
                <w:b/>
                <w:bCs/>
                <w:color w:val="000000"/>
                <w:sz w:val="16"/>
              </w:rPr>
              <w:t>指标</w:t>
            </w:r>
          </w:p>
          <w:p>
            <w:pPr>
              <w:jc w:val="center"/>
              <w:rPr>
                <w:rFonts w:hint="eastAsia"/>
                <w:b/>
                <w:bCs/>
                <w:color w:val="000000"/>
                <w:sz w:val="16"/>
              </w:rPr>
            </w:pPr>
            <w:r>
              <w:rPr>
                <w:rFonts w:hint="eastAsia"/>
                <w:b/>
                <w:bCs/>
                <w:color w:val="000000"/>
                <w:sz w:val="16"/>
              </w:rPr>
              <w:t>得分</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eastAsia"/>
                <w:b/>
                <w:bCs/>
                <w:color w:val="000000"/>
                <w:sz w:val="16"/>
              </w:rPr>
            </w:pPr>
            <w:r>
              <w:rPr>
                <w:rFonts w:hint="eastAsia"/>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b/>
                <w:bCs/>
                <w:color w:val="000000"/>
                <w:sz w:val="16"/>
              </w:rPr>
            </w:pPr>
            <w:r>
              <w:rPr>
                <w:rFonts w:hint="eastAsia"/>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拍摄警示教育宣传片</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个</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1</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1</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1</w:t>
            </w:r>
            <w:r>
              <w:rPr>
                <w:color w:val="000000"/>
                <w:sz w:val="16"/>
                <w:szCs w:val="16"/>
              </w:rPr>
              <w:t>00</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1</w:t>
            </w:r>
            <w:r>
              <w:rPr>
                <w:color w:val="000000"/>
                <w:sz w:val="16"/>
                <w:szCs w:val="16"/>
              </w:rPr>
              <w:t>0</w:t>
            </w:r>
          </w:p>
        </w:tc>
        <w:tc>
          <w:tcPr>
            <w:tcW w:w="799"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1</w:t>
            </w:r>
            <w:r>
              <w:rPr>
                <w:color w:val="000000"/>
                <w:sz w:val="16"/>
                <w:szCs w:val="16"/>
              </w:rPr>
              <w:t>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推动全县“以案示说”警示教育</w:t>
            </w:r>
          </w:p>
        </w:tc>
        <w:tc>
          <w:tcPr>
            <w:tcW w:w="567" w:type="dxa"/>
            <w:tcBorders>
              <w:top w:val="nil"/>
              <w:left w:val="nil"/>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场次</w:t>
            </w: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5</w:t>
            </w:r>
            <w:r>
              <w:rPr>
                <w:color w:val="000000"/>
                <w:sz w:val="16"/>
                <w:szCs w:val="16"/>
              </w:rPr>
              <w:t>00</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4</w:t>
            </w:r>
            <w:r>
              <w:rPr>
                <w:color w:val="000000"/>
                <w:sz w:val="16"/>
                <w:szCs w:val="16"/>
              </w:rPr>
              <w:t>92</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.6</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8</w:t>
            </w:r>
            <w:r>
              <w:rPr>
                <w:color w:val="000000"/>
                <w:sz w:val="16"/>
                <w:szCs w:val="16"/>
              </w:rPr>
              <w:t>4</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2</w:t>
            </w:r>
            <w:r>
              <w:rPr>
                <w:color w:val="000000"/>
                <w:sz w:val="16"/>
                <w:szCs w:val="16"/>
              </w:rPr>
              <w:t>0</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6.8</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主要负责人开展党风廉政宣讲</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次</w:t>
            </w: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3</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3</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00</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0</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0</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办案场所公共设施设备维护保养完好率</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color w:val="000000"/>
                <w:sz w:val="16"/>
                <w:szCs w:val="16"/>
              </w:rPr>
              <w:t>%</w:t>
            </w: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9</w:t>
            </w:r>
            <w:r>
              <w:rPr>
                <w:color w:val="000000"/>
                <w:sz w:val="16"/>
                <w:szCs w:val="16"/>
              </w:rPr>
              <w:t>5</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9</w:t>
            </w:r>
            <w:r>
              <w:rPr>
                <w:color w:val="000000"/>
                <w:sz w:val="16"/>
                <w:szCs w:val="16"/>
              </w:rPr>
              <w:t>3</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2</w:t>
            </w:r>
            <w:r>
              <w:rPr>
                <w:color w:val="000000"/>
                <w:sz w:val="16"/>
                <w:szCs w:val="16"/>
              </w:rPr>
              <w:t>.11</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7</w:t>
            </w:r>
            <w:r>
              <w:rPr>
                <w:color w:val="000000"/>
                <w:sz w:val="16"/>
                <w:szCs w:val="16"/>
              </w:rPr>
              <w:t>8.9</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0</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7</w:t>
            </w:r>
            <w:r>
              <w:rPr>
                <w:color w:val="000000"/>
                <w:sz w:val="16"/>
                <w:szCs w:val="16"/>
              </w:rPr>
              <w:t>.89</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协助纪委监委后勤保障、办文办会等工作</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好</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00</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2</w:t>
            </w:r>
            <w:r>
              <w:rPr>
                <w:color w:val="000000"/>
                <w:sz w:val="16"/>
                <w:szCs w:val="16"/>
              </w:rPr>
              <w:t>0</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2</w:t>
            </w:r>
            <w:r>
              <w:rPr>
                <w:color w:val="000000"/>
                <w:sz w:val="16"/>
                <w:szCs w:val="16"/>
              </w:rPr>
              <w:t>0</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保障中心正常运转</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color w:val="000000"/>
                <w:sz w:val="16"/>
                <w:szCs w:val="16"/>
              </w:rPr>
            </w:pPr>
            <w:r>
              <w:rPr>
                <w:rFonts w:hint="eastAsia"/>
                <w:color w:val="000000"/>
                <w:sz w:val="16"/>
                <w:szCs w:val="16"/>
              </w:rPr>
              <w:t>明显改善</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1</w:t>
            </w:r>
            <w:r>
              <w:rPr>
                <w:color w:val="000000"/>
                <w:sz w:val="16"/>
                <w:szCs w:val="16"/>
              </w:rPr>
              <w:t>00</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2</w:t>
            </w:r>
            <w:r>
              <w:rPr>
                <w:color w:val="000000"/>
                <w:sz w:val="16"/>
                <w:szCs w:val="16"/>
              </w:rPr>
              <w:t>0</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center"/>
              <w:rPr>
                <w:rFonts w:hint="eastAsia"/>
                <w:color w:val="000000"/>
                <w:sz w:val="16"/>
                <w:szCs w:val="16"/>
              </w:rPr>
            </w:pPr>
            <w:r>
              <w:rPr>
                <w:rFonts w:hint="eastAsia"/>
                <w:color w:val="000000"/>
                <w:sz w:val="16"/>
                <w:szCs w:val="16"/>
              </w:rPr>
              <w:t>2</w:t>
            </w:r>
            <w:r>
              <w:rPr>
                <w:color w:val="000000"/>
                <w:sz w:val="16"/>
                <w:szCs w:val="16"/>
              </w:rPr>
              <w:t>0</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567"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851"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pPr>
              <w:ind w:firstLine="160" w:firstLineChars="100"/>
              <w:jc w:val="right"/>
              <w:rPr>
                <w:rFonts w:hint="eastAsia"/>
                <w:color w:val="000000"/>
                <w:sz w:val="16"/>
                <w:szCs w:val="16"/>
              </w:rPr>
            </w:pPr>
            <w:r>
              <w:rPr>
                <w:rFonts w:hint="eastAsia"/>
                <w:color w:val="00000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ind w:firstLine="160" w:firstLineChars="100"/>
              <w:rPr>
                <w:rFonts w:hint="eastAsia"/>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color w:val="000000"/>
                <w:sz w:val="16"/>
                <w:szCs w:val="16"/>
              </w:rPr>
            </w:pPr>
            <w:r>
              <w:rPr>
                <w:rFonts w:hint="eastAsia"/>
                <w:color w:val="000000"/>
                <w:sz w:val="16"/>
                <w:szCs w:val="16"/>
              </w:rPr>
              <w:t>　</w:t>
            </w:r>
          </w:p>
        </w:tc>
      </w:tr>
    </w:tbl>
    <w:p>
      <w:pPr>
        <w:rPr>
          <w:rFonts w:hint="eastAsia"/>
          <w:b/>
          <w:bCs/>
          <w:color w:val="000000"/>
          <w:sz w:val="32"/>
          <w:szCs w:val="32"/>
        </w:rPr>
        <w:sectPr>
          <w:pgSz w:w="11906" w:h="16838"/>
          <w:pgMar w:top="2098" w:right="1474" w:bottom="1985" w:left="1588" w:header="851" w:footer="992" w:gutter="0"/>
          <w:cols w:space="720" w:num="1"/>
          <w:docGrid w:type="lines" w:linePitch="312" w:charSpace="0"/>
        </w:sectPr>
      </w:pP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绩效自评报告或案例</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我单位未委托第三方开展绩效自评。</w:t>
      </w:r>
    </w:p>
    <w:p>
      <w:pPr>
        <w:spacing w:line="57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3．关于</w:t>
      </w:r>
      <w:r>
        <w:rPr>
          <w:rFonts w:ascii="Times New Roman" w:hAnsi="Times New Roman" w:eastAsia="方正仿宋_GBK"/>
          <w:sz w:val="32"/>
          <w:szCs w:val="32"/>
        </w:rPr>
        <w:t>绩效自评</w:t>
      </w:r>
      <w:r>
        <w:rPr>
          <w:rFonts w:hint="eastAsia" w:ascii="Times New Roman" w:hAnsi="Times New Roman" w:eastAsia="方正仿宋_GBK"/>
          <w:sz w:val="32"/>
          <w:szCs w:val="32"/>
        </w:rPr>
        <w:t>结果的说明</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我单位绩效自评</w:t>
      </w:r>
      <w:r>
        <w:rPr>
          <w:rFonts w:hint="eastAsia" w:ascii="Times New Roman" w:hAnsi="Times New Roman" w:eastAsia="方正仿宋_GBK"/>
          <w:color w:val="000000"/>
          <w:sz w:val="32"/>
          <w:szCs w:val="32"/>
        </w:rPr>
        <w:t>均已完成年度绩效目标。</w:t>
      </w:r>
    </w:p>
    <w:p>
      <w:pPr>
        <w:spacing w:line="587"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（三）重点绩效评价结果</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我单位未委托第三方开展重点绩效评价</w:t>
      </w:r>
      <w:r>
        <w:rPr>
          <w:rFonts w:hint="eastAsia" w:ascii="Times New Roman" w:hAnsi="Times New Roman" w:eastAsia="方正仿宋_GBK"/>
          <w:color w:val="000000"/>
          <w:sz w:val="32"/>
          <w:szCs w:val="32"/>
        </w:rPr>
        <w:t>。</w:t>
      </w:r>
    </w:p>
    <w:p>
      <w:pPr>
        <w:spacing w:line="587"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六、专有名词解释</w:t>
      </w:r>
    </w:p>
    <w:p>
      <w:pPr>
        <w:spacing w:line="587" w:lineRule="exact"/>
        <w:ind w:firstLine="640" w:firstLineChars="200"/>
        <w:rPr>
          <w:rFonts w:ascii="Times New Roman" w:hAnsi="Times New Roman" w:eastAsia="方正黑体_GBK"/>
          <w:color w:val="000000"/>
          <w:sz w:val="32"/>
          <w:szCs w:val="32"/>
        </w:rPr>
      </w:pPr>
      <w:r>
        <w:rPr>
          <w:rFonts w:ascii="方正楷体_GBK" w:hAnsi="Times New Roman" w:eastAsia="方正楷体_GBK"/>
          <w:color w:val="000000"/>
          <w:sz w:val="32"/>
          <w:szCs w:val="32"/>
        </w:rPr>
        <w:t>（一）财政拨款收入：</w:t>
      </w:r>
      <w:r>
        <w:rPr>
          <w:rFonts w:ascii="Times New Roman" w:hAnsi="Times New Roman" w:eastAsia="方正仿宋_GBK"/>
          <w:color w:val="000000"/>
          <w:sz w:val="32"/>
          <w:szCs w:val="32"/>
        </w:rPr>
        <w:t>指本年度从本级财政部门取得的财政拨款，包括一般公共预算财政拨款和政府性基金预算财政拨款。</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（二）事业收入：</w:t>
      </w:r>
      <w:r>
        <w:rPr>
          <w:rFonts w:ascii="Times New Roman" w:hAnsi="Times New Roman" w:eastAsia="方正仿宋_GBK"/>
          <w:color w:val="000000"/>
          <w:sz w:val="32"/>
          <w:szCs w:val="32"/>
        </w:rPr>
        <w:t>指事业单位开展专业业务活动及其辅助活动取得的现金流入；事业单位收到的财政专户实际核拨的教育收费等资金在此反映。</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（三）经营收入：</w:t>
      </w:r>
      <w:r>
        <w:rPr>
          <w:rFonts w:ascii="Times New Roman" w:hAnsi="Times New Roman" w:eastAsia="方正仿宋_GBK"/>
          <w:color w:val="000000"/>
          <w:sz w:val="32"/>
          <w:szCs w:val="32"/>
        </w:rPr>
        <w:t>指事业单位在专业业务活动及其辅助活动之外开展非独立核算经营活动取得的现金流入。</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（四）其他收入：</w:t>
      </w:r>
      <w:r>
        <w:rPr>
          <w:rFonts w:ascii="Times New Roman" w:hAnsi="Times New Roman" w:eastAsia="方正仿宋_GBK"/>
          <w:color w:val="00000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87" w:lineRule="exact"/>
        <w:ind w:firstLine="640" w:firstLineChars="200"/>
        <w:rPr>
          <w:rFonts w:ascii="Times New Roman" w:hAnsi="Times New Roman" w:eastAsia="方正仿宋_GBK"/>
          <w:color w:val="000000"/>
          <w:sz w:val="32"/>
          <w:szCs w:val="32"/>
        </w:rPr>
      </w:pPr>
      <w:r>
        <w:rPr>
          <w:rFonts w:ascii="方正楷体_GBK" w:hAnsi="Times New Roman" w:eastAsia="方正楷体_GBK"/>
          <w:color w:val="000000"/>
          <w:sz w:val="32"/>
          <w:szCs w:val="32"/>
        </w:rPr>
        <w:t>（五）用事业基金弥补收支差额：</w:t>
      </w:r>
      <w:r>
        <w:rPr>
          <w:rFonts w:ascii="Times New Roman" w:hAnsi="Times New Roman" w:eastAsia="方正仿宋_GBK"/>
          <w:color w:val="00000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pacing w:line="587" w:lineRule="exact"/>
        <w:ind w:firstLine="640" w:firstLineChars="200"/>
        <w:rPr>
          <w:rFonts w:ascii="Times New Roman" w:hAnsi="Times New Roman" w:eastAsia="方正仿宋_GBK"/>
          <w:color w:val="000000"/>
          <w:sz w:val="32"/>
          <w:szCs w:val="32"/>
        </w:rPr>
      </w:pPr>
      <w:r>
        <w:rPr>
          <w:rFonts w:ascii="方正楷体_GBK" w:hAnsi="Times New Roman" w:eastAsia="方正楷体_GBK"/>
          <w:color w:val="000000"/>
          <w:sz w:val="32"/>
          <w:szCs w:val="32"/>
        </w:rPr>
        <w:t>（六）年初结转和结余：</w:t>
      </w:r>
      <w:r>
        <w:rPr>
          <w:rFonts w:ascii="Times New Roman" w:hAnsi="Times New Roman" w:eastAsia="方正仿宋_GBK"/>
          <w:color w:val="000000"/>
          <w:sz w:val="32"/>
          <w:szCs w:val="32"/>
        </w:rPr>
        <w:t>指单位上年结转本年使用的基本支出结转、项目支出结转和结余、经营结余。</w:t>
      </w:r>
    </w:p>
    <w:p>
      <w:pPr>
        <w:spacing w:line="587" w:lineRule="exact"/>
        <w:ind w:firstLine="640" w:firstLineChars="200"/>
        <w:rPr>
          <w:rFonts w:ascii="Times New Roman" w:hAnsi="Times New Roman" w:eastAsia="方正仿宋_GBK"/>
          <w:color w:val="000000"/>
          <w:sz w:val="32"/>
          <w:szCs w:val="32"/>
        </w:rPr>
      </w:pPr>
      <w:r>
        <w:rPr>
          <w:rFonts w:ascii="方正楷体_GBK" w:hAnsi="Times New Roman" w:eastAsia="方正楷体_GBK"/>
          <w:color w:val="000000"/>
          <w:sz w:val="32"/>
          <w:szCs w:val="32"/>
        </w:rPr>
        <w:t> （七）结余分配：</w:t>
      </w:r>
      <w:r>
        <w:rPr>
          <w:rFonts w:ascii="Times New Roman" w:hAnsi="Times New Roman" w:eastAsia="方正仿宋_GBK"/>
          <w:color w:val="000000"/>
          <w:sz w:val="32"/>
          <w:szCs w:val="32"/>
        </w:rPr>
        <w:t>指单位按照国家有关规定，缴纳所得税、提取专用基金、转入事业基金等当年结余的分配情况。</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（八）年末结转和结余：</w:t>
      </w:r>
      <w:r>
        <w:rPr>
          <w:rFonts w:ascii="Times New Roman" w:hAnsi="Times New Roman" w:eastAsia="方正仿宋_GBK"/>
          <w:color w:val="000000"/>
          <w:sz w:val="32"/>
          <w:szCs w:val="32"/>
        </w:rPr>
        <w:t>指单位结转下年的基本支出结转、项目支出结转和结余、经营结余。</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（九）基本支出：</w:t>
      </w:r>
      <w:r>
        <w:rPr>
          <w:rFonts w:ascii="Times New Roman" w:hAnsi="Times New Roman" w:eastAsia="方正仿宋_GBK"/>
          <w:color w:val="00000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（十）项目支出：</w:t>
      </w:r>
      <w:r>
        <w:rPr>
          <w:rFonts w:ascii="Times New Roman" w:hAnsi="Times New Roman" w:eastAsia="方正仿宋_GBK"/>
          <w:color w:val="000000"/>
          <w:sz w:val="32"/>
          <w:szCs w:val="32"/>
        </w:rPr>
        <w:t>指在基本支出之外为完成特定行政任务和事业发展目标所发生的支出。</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（十一）经营支出：</w:t>
      </w:r>
      <w:r>
        <w:rPr>
          <w:rFonts w:ascii="Times New Roman" w:hAnsi="Times New Roman" w:eastAsia="方正仿宋_GBK"/>
          <w:color w:val="000000"/>
          <w:sz w:val="32"/>
          <w:szCs w:val="32"/>
        </w:rPr>
        <w:t>指事业单位在专业业务活动及其辅助活动之外开展非独立核算经营活动发生的支出。</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（十二）“三公”经费：</w:t>
      </w:r>
      <w:r>
        <w:rPr>
          <w:rFonts w:ascii="Times New Roman" w:hAnsi="Times New Roman" w:eastAsia="方正仿宋_GBK"/>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（十三）机关运行经费：</w:t>
      </w:r>
      <w:r>
        <w:rPr>
          <w:rFonts w:ascii="Times New Roman" w:hAnsi="Times New Roman" w:eastAsia="方正仿宋_GBK"/>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（十四）工资福利支出（支出经济分类科目类级）：</w:t>
      </w:r>
      <w:r>
        <w:rPr>
          <w:rFonts w:ascii="Times New Roman" w:hAnsi="Times New Roman" w:eastAsia="方正仿宋_GBK"/>
          <w:color w:val="000000"/>
          <w:sz w:val="32"/>
          <w:szCs w:val="32"/>
        </w:rPr>
        <w:t>反映单位开支的在职职工和编制外长期聘用人员的各类劳动报酬，以及为上述人员缴纳的各项社会保险费等。</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（十五）商品和服务支出（支出经济分类科目类级）：</w:t>
      </w:r>
      <w:r>
        <w:rPr>
          <w:rFonts w:ascii="Times New Roman" w:hAnsi="Times New Roman" w:eastAsia="方正仿宋_GBK"/>
          <w:color w:val="000000"/>
          <w:sz w:val="32"/>
          <w:szCs w:val="32"/>
        </w:rPr>
        <w:t>反映单位购买商品和服务的支出（不包括用于购置固定资产的支出、战略性和应急储备支出）。</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（十六）对个人和家庭的补助（支出经济分类科目类级）：</w:t>
      </w:r>
      <w:r>
        <w:rPr>
          <w:rFonts w:ascii="Times New Roman" w:hAnsi="Times New Roman" w:eastAsia="方正仿宋_GBK"/>
          <w:color w:val="000000"/>
          <w:sz w:val="32"/>
          <w:szCs w:val="32"/>
        </w:rPr>
        <w:t>反映用于对个人和家庭的补助支出。</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ascii="方正楷体_GBK" w:hAnsi="Times New Roman" w:eastAsia="方正楷体_GBK"/>
          <w:color w:val="000000"/>
          <w:sz w:val="32"/>
          <w:szCs w:val="32"/>
        </w:rPr>
        <w:t>（十七）其他资本性支出（支出经济分类科目类级）：</w:t>
      </w:r>
      <w:r>
        <w:rPr>
          <w:rFonts w:ascii="Times New Roman" w:hAnsi="Times New Roman" w:eastAsia="方正仿宋_GBK"/>
          <w:color w:val="000000"/>
          <w:sz w:val="32"/>
          <w:szCs w:val="32"/>
        </w:rPr>
        <w:t>反映非各级发展与改革部门集中安排的用于购置固定资产、战略性和应急性储备、土地和无形资产，以及构建基础设施、大型修缮和财政支持企业更新改造所发生的支出。</w:t>
      </w:r>
    </w:p>
    <w:p>
      <w:pPr>
        <w:spacing w:line="587"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七、决算公开联系方式及信息反馈渠道</w:t>
      </w:r>
    </w:p>
    <w:p>
      <w:pPr>
        <w:spacing w:line="587"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本单位决算公开信息反馈和联系方式：</w:t>
      </w:r>
    </w:p>
    <w:p>
      <w:pPr>
        <w:spacing w:line="587"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李玲媛</w:t>
      </w:r>
      <w:r>
        <w:rPr>
          <w:rFonts w:ascii="Times New Roman" w:hAnsi="Times New Roman" w:eastAsia="方正仿宋_GBK"/>
          <w:color w:val="000000"/>
          <w:sz w:val="32"/>
          <w:szCs w:val="32"/>
        </w:rPr>
        <w:t>023-</w:t>
      </w:r>
      <w:r>
        <w:rPr>
          <w:rFonts w:hint="eastAsia" w:ascii="Times New Roman" w:hAnsi="Times New Roman" w:eastAsia="方正仿宋_GBK"/>
          <w:color w:val="000000"/>
          <w:sz w:val="32"/>
          <w:szCs w:val="32"/>
        </w:rPr>
        <w:t>70605621</w:t>
      </w:r>
    </w:p>
    <w:sectPr>
      <w:pgSz w:w="11907" w:h="16840"/>
      <w:pgMar w:top="1928" w:right="1474"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E295E"/>
    <w:multiLevelType w:val="singleLevel"/>
    <w:tmpl w:val="D8CE295E"/>
    <w:lvl w:ilvl="0" w:tentative="0">
      <w:start w:val="4"/>
      <w:numFmt w:val="chineseCounting"/>
      <w:suff w:val="nothing"/>
      <w:lvlText w:val="%1、"/>
      <w:lvlJc w:val="left"/>
      <w:rPr>
        <w:rFonts w:hint="eastAsia"/>
      </w:rPr>
    </w:lvl>
  </w:abstractNum>
  <w:abstractNum w:abstractNumId="1">
    <w:nsid w:val="5B15A7C5"/>
    <w:multiLevelType w:val="singleLevel"/>
    <w:tmpl w:val="5B15A7C5"/>
    <w:lvl w:ilvl="0" w:tentative="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B7778A"/>
    <w:rsid w:val="000444A8"/>
    <w:rsid w:val="00066CA9"/>
    <w:rsid w:val="00071C64"/>
    <w:rsid w:val="00071FEF"/>
    <w:rsid w:val="00085133"/>
    <w:rsid w:val="0009660D"/>
    <w:rsid w:val="00162695"/>
    <w:rsid w:val="001C523C"/>
    <w:rsid w:val="001D46C3"/>
    <w:rsid w:val="001E0598"/>
    <w:rsid w:val="00212A45"/>
    <w:rsid w:val="00244A93"/>
    <w:rsid w:val="00267091"/>
    <w:rsid w:val="00297C13"/>
    <w:rsid w:val="002A2AD8"/>
    <w:rsid w:val="002D0C93"/>
    <w:rsid w:val="002F1F95"/>
    <w:rsid w:val="00365242"/>
    <w:rsid w:val="00395904"/>
    <w:rsid w:val="003B7A97"/>
    <w:rsid w:val="00416E71"/>
    <w:rsid w:val="0044268D"/>
    <w:rsid w:val="0049405A"/>
    <w:rsid w:val="0049488C"/>
    <w:rsid w:val="004B4E98"/>
    <w:rsid w:val="004D0FD6"/>
    <w:rsid w:val="004D7E9B"/>
    <w:rsid w:val="005019CD"/>
    <w:rsid w:val="00534093"/>
    <w:rsid w:val="0055083E"/>
    <w:rsid w:val="005E3DFB"/>
    <w:rsid w:val="00603D9C"/>
    <w:rsid w:val="00660E81"/>
    <w:rsid w:val="0066773F"/>
    <w:rsid w:val="00683DF2"/>
    <w:rsid w:val="006D0034"/>
    <w:rsid w:val="006D09E1"/>
    <w:rsid w:val="007222B0"/>
    <w:rsid w:val="00751EDA"/>
    <w:rsid w:val="0080383A"/>
    <w:rsid w:val="00897DAA"/>
    <w:rsid w:val="008E251D"/>
    <w:rsid w:val="008F6859"/>
    <w:rsid w:val="009D2C44"/>
    <w:rsid w:val="009D55CB"/>
    <w:rsid w:val="009E5DAD"/>
    <w:rsid w:val="00A43F8D"/>
    <w:rsid w:val="00A545A8"/>
    <w:rsid w:val="00AD5502"/>
    <w:rsid w:val="00B14FE8"/>
    <w:rsid w:val="00B161D0"/>
    <w:rsid w:val="00B67BF6"/>
    <w:rsid w:val="00B7778A"/>
    <w:rsid w:val="00B849EA"/>
    <w:rsid w:val="00B95A94"/>
    <w:rsid w:val="00BA4B93"/>
    <w:rsid w:val="00BB7E14"/>
    <w:rsid w:val="00BC0585"/>
    <w:rsid w:val="00BC2D4E"/>
    <w:rsid w:val="00BE1E54"/>
    <w:rsid w:val="00C3429F"/>
    <w:rsid w:val="00C72479"/>
    <w:rsid w:val="00C765AE"/>
    <w:rsid w:val="00C879C2"/>
    <w:rsid w:val="00CE03A2"/>
    <w:rsid w:val="00D14388"/>
    <w:rsid w:val="00D87CAE"/>
    <w:rsid w:val="00DC1FDB"/>
    <w:rsid w:val="00DE4B26"/>
    <w:rsid w:val="00E01641"/>
    <w:rsid w:val="00E06C2C"/>
    <w:rsid w:val="00E437A7"/>
    <w:rsid w:val="00E573BD"/>
    <w:rsid w:val="00E84361"/>
    <w:rsid w:val="00E96D37"/>
    <w:rsid w:val="00EB4431"/>
    <w:rsid w:val="00EC2DF8"/>
    <w:rsid w:val="00F33F30"/>
    <w:rsid w:val="00FC2FA6"/>
    <w:rsid w:val="00FF0386"/>
    <w:rsid w:val="06B5693F"/>
    <w:rsid w:val="0E1067F5"/>
    <w:rsid w:val="163033E2"/>
    <w:rsid w:val="18B55378"/>
    <w:rsid w:val="1CAE5310"/>
    <w:rsid w:val="1ECC1D7F"/>
    <w:rsid w:val="239E0527"/>
    <w:rsid w:val="2E674F4D"/>
    <w:rsid w:val="2FB12398"/>
    <w:rsid w:val="30E45004"/>
    <w:rsid w:val="356422B5"/>
    <w:rsid w:val="35993CB5"/>
    <w:rsid w:val="38105F12"/>
    <w:rsid w:val="39860F83"/>
    <w:rsid w:val="39FA5B5D"/>
    <w:rsid w:val="3C751C73"/>
    <w:rsid w:val="46A3732B"/>
    <w:rsid w:val="4C3A7301"/>
    <w:rsid w:val="53FB5D58"/>
    <w:rsid w:val="6BC933DF"/>
    <w:rsid w:val="73FD102A"/>
    <w:rsid w:val="744A3AF9"/>
    <w:rsid w:val="79244353"/>
    <w:rsid w:val="7FC55110"/>
    <w:rsid w:val="7FD75D35"/>
    <w:rsid w:val="BF7A4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pPr>
  </w:style>
  <w:style w:type="character" w:styleId="7">
    <w:name w:val="Strong"/>
    <w:basedOn w:val="6"/>
    <w:qFormat/>
    <w:uiPriority w:val="22"/>
    <w:rPr>
      <w:b/>
      <w:bCs/>
    </w:rPr>
  </w:style>
  <w:style w:type="paragraph" w:customStyle="1" w:styleId="8">
    <w:name w:val="Char"/>
    <w:basedOn w:val="1"/>
    <w:qFormat/>
    <w:uiPriority w:val="0"/>
    <w:pPr>
      <w:widowControl w:val="0"/>
      <w:spacing w:line="360" w:lineRule="auto"/>
      <w:jc w:val="both"/>
    </w:pPr>
    <w:rPr>
      <w:rFonts w:ascii="Times New Roman" w:hAnsi="Times New Roman" w:cs="Times New Roman"/>
      <w:kern w:val="2"/>
      <w:sz w:val="21"/>
      <w:szCs w:val="20"/>
    </w:rPr>
  </w:style>
  <w:style w:type="character" w:customStyle="1" w:styleId="9">
    <w:name w:val="页眉 字符"/>
    <w:basedOn w:val="6"/>
    <w:link w:val="3"/>
    <w:qFormat/>
    <w:uiPriority w:val="99"/>
    <w:rPr>
      <w:rFonts w:ascii="宋体" w:hAnsi="宋体" w:eastAsia="宋体" w:cs="宋体"/>
      <w:kern w:val="0"/>
      <w:sz w:val="18"/>
      <w:szCs w:val="18"/>
    </w:rPr>
  </w:style>
  <w:style w:type="character" w:customStyle="1" w:styleId="10">
    <w:name w:val="页脚 字符"/>
    <w:basedOn w:val="6"/>
    <w:link w:val="2"/>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5022</Words>
  <Characters>5457</Characters>
  <Lines>40</Lines>
  <Paragraphs>11</Paragraphs>
  <TotalTime>0</TotalTime>
  <ScaleCrop>false</ScaleCrop>
  <LinksUpToDate>false</LinksUpToDate>
  <CharactersWithSpaces>5566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2023-09-12T19:35:00Z</dcterms:created>
  <dc:creator>李驹[lj]</dc:creator>
  <cp:lastModifiedBy>温星星</cp:lastModifiedBy>
  <dcterms:modified xsi:type="dcterms:W3CDTF">2023-10-20T06:03:18Z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58C85DC7625F4AAC84E089F7F0676C16</vt:lpwstr>
  </property>
</Properties>
</file>