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丰都县人民医院</w:t>
      </w: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2022年度部门决算情况说明</w:t>
      </w:r>
    </w:p>
    <w:p>
      <w:pPr>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一、部门基本情况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（一）职能职责。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丰都县人民医院是一所集医疗、教学、科研为一体的综合性国家二级甲等医院，国家三级甲等创建医院，白求恩精神示范医院，重庆医科大学教学医院，国际医疗服务机构（MSI）技术合作医院，重庆医科大学研究生教学点，全县职工及城镇居民基本医疗、工伤、保险定点医疗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（二）机构设置。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医院科室设置齐全，设有职能科室15个、临床医技科室40个；建成市级临床重点专科4个（重症医学科、放射科、普外科、呼吸与危重症医学科），市级特色专科2个（骨科、消化内科）；有重庆市临床重点专科建设项目5个（麻醉与围手术期医学科、儿科、耳鼻喉科、眼科、消化内科）；市级特色专科建设项目2个（呼吸与危重症医学科、心血管内科）；区域医学重点学科建设项目1个（心血管内科），县级质控中心12个。</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（三）单位构成。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从预算单位构成看，无纳入本部门2022年度决算编制的下级预算单位。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二、部门决算情况说明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（一）收入支出决算总体情况说明。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1．总体情况。2022年度收入总计64,192.56万元，支出总计64,192.56万元。收支较上年决算数增加932.57万元,增长1.5%，主要原因是2021年使用非财政拨款结余2125.27万元，2022年无，2022年事业收入增加3585.75万元。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收入情况。2022年度收入合计59,788.00万元，较上年决算数增加3,056.69万元，增长5.4%，主要原因是2022年事业收入增加3585.75万元。其中：财政拨款收入665.22万元，占1.1%；事业收入58,620.11万元，占98%；其他收入502.67万元，占0.8%。此外，年初结转和结余4,404.55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支出情况。2022年度支出合计60,937.54万元，较上年决算增加2,082.11万元，增长3.5%，主要原因是2022年感染医院项目支出增加1926.75万元。其中：基本支出58,894.54万元，占96.6%；项目支出2,043.00万元，占3.4%；此外，结余分配858.97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4．结转结余情况。2022年度年末结转和结余2,396.05万元，较上年决算数减少2,008.50万元，下降45.6%，主要原因是2022年使用了部分上年政府性基金预算财政拨款结转结余，2021年无。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(二)财政拨款收入支出决算总体情况说明。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2022年度财政拨款收、支总计5,069.78万元。与2021年相比，财政拨款收、支总计各减少524.97万元，下降9.4%。主要原因是2022年一般公共预算财政项目拨款减少526.13万元。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（三）一般公共预算财政拨款收入支出决算情况说明。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收入情况。2022年度一般公共预算财政拨款收入665.22万元，较上年决算数减少526.13万元，下降44.2%。主要原因是2022年一般公共预算财政项目拨款减少526.13万元。较年初预算数增加60.92万元，增长10.1%。与年初基本持平。此外，年初财政拨款结转和结余413.19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支出情况。2022年度一般公共预算财政拨款支出746.97万元，较上年决算数减少443.22万元，下降37.2%。主要原因是2022年一般公共预算财政项目拨款减少526.13万元，故2022年项目支出减少444.12万元。较年初预算数增加142.67万元，增长23.6%。主要原因是2022年预算项目支出预计不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结转结余情况。2022年度年末一般公共预算财政拨款结转和结余331.45万元，较上年决算数减少81.74万元，下降19.8%，主要原因是2022年一般公共预算财政项目拨款减少526.13万元，最终导致一般公共预算财政拨款结转和结余减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4．比较情况。本部门2022年度一般公共预算财政拨款支出主要用于以下几个方面：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（1）社会保障与就业支出558.22万元，占74.7%，较年初预算数增加126.22万元，增长29.2%，主要原因是2022年社会保障与就业支出中包含公务员垫底资金103.2万元。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（2）卫生健康支出188.75万元，占25.3%，较年初预算数增加16.45万元，增长9.5%，较年初基本持平。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（四）一般公共预算财政拨款基本支出决算情况说明。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2022年度一般公共预算财政拨款基本支出630.72万元。其中：人员经费630.72万元，较上年决算数减少2.10万元，下降0.3%，与上年基本持平。人员经费用途主要包括退休人员的健康休养费及公务员医疗补助、抚恤费等。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（五）政府性基金预算收支决算情况说明。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度政府性基金预算财政拨款年初结转结余3,991.36万元，年末结转结余2,064.61万元。2021年和2022年均无政府性基金预算财政拨款收入。本年支出1,926.75万元，较上年决算数增加1,926.75万元，主要原因是2021年无支出，2022年使用上年结转的政府性基金预算财政拨款1926.75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（六）国有资本经营预算财政拨款支出决算情况说明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本部门2022年度无国有资本经营预算财政拨款支出。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三、“三公”经费情况说明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（一）“三公”经费支出总体情况说明。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度“三公”经费支出共计0万元，较年初预算数减少0万元，下降0%。较上年支出数减少0万元，下降0.0%，主要原因是本单位2022度“三公”经费年初预算和本年支出均为0，我单位属于差额拨款事业单位，财政未保障我单位“三公经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（二）“三公”经费分项支出情况。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本单位2022年度未发生因公出国（境）费用，与年初预算数、上年决算数持平。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本单位2022年度未发生公务车购置费，与年初预算数、上年决算数持平。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本单位2022年度未发生公务车运行费，与年初预算数、上年决算数持平。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本单位2022年度未发生公务接待费，与年初预算数、上年决算数持平。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（三）三公”经费实物量情况。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度本部门因公出国（境）共计0个团组，0人；公务用车购置0辆，公务车保有量为0辆；国内公务接待0批次0人，其中：国内外事接待0批次，0人；国（境）外公务接待0批次，0人。2022年本部门人均接待费0元，车均购置费0万元，车均维护费0万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四、其他需要说明的事项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（一）财政拨款会议费和培训费情况说明。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因我单位属于差额拨款事业单位，财政未保障我单位会议费和培训费。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（二）机关运行经费支出情况说明。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按照部门决算列报口径，我单位不在机关运行经费统计范围之内。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（三）国有资产占用情况说明。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截至2022年12月31日，本部门共有车辆11辆，其中，副部（省）级及以上领导用车0辆、主要领导干部用车0辆、机要通信用车0辆、应急保障用车1辆、执法执勤用车0辆，特种专业技术用车10辆，离退休干部用车0辆，其他用车0辆。单价100万元（含）以上设备（不含车辆）34台（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（四）政府采购支出情况说明。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2022年度本部门政府采购支出总额6,561.28万元，其中：政府采购货物支出3,956.97万元、政府采购工程支出0万元、政府采购服务支出2,604.31万元。授予中小企业合同金额6,375.39万元，占政府采购支出总额的97.2%，其中：授予小微企业合同金额5,711.47万元，占政府采购支出总额的87.0%。主要用于采购医疗设备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五、预算绩效管理情况说明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（一）预算绩效管理工作开展情况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预算绩效管理要求，本单位对28个项目开展了绩效自评，其中，以填报目标自评表形式开展自评28项，涉及资金58,599.54万元；没有委托第三方形式开展绩效自评，从评价情况来看，项目立项较为规范，绩效目标明确，预算编制合理，管理科学规范，总体完成情况较好，基本达到年初预算目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（二）绩效自评结果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1．绩效自评表  </w:t>
      </w:r>
    </w:p>
    <w:tbl>
      <w:tblPr>
        <w:tblStyle w:val="2"/>
        <w:tblW w:w="10683" w:type="dxa"/>
        <w:jc w:val="center"/>
        <w:tblLayout w:type="fixed"/>
        <w:tblCellMar>
          <w:top w:w="0" w:type="dxa"/>
          <w:left w:w="108" w:type="dxa"/>
          <w:bottom w:w="0" w:type="dxa"/>
          <w:right w:w="108" w:type="dxa"/>
        </w:tblCellMar>
      </w:tblPr>
      <w:tblGrid>
        <w:gridCol w:w="1277"/>
        <w:gridCol w:w="567"/>
        <w:gridCol w:w="850"/>
        <w:gridCol w:w="992"/>
        <w:gridCol w:w="851"/>
        <w:gridCol w:w="709"/>
        <w:gridCol w:w="1043"/>
        <w:gridCol w:w="709"/>
        <w:gridCol w:w="799"/>
        <w:gridCol w:w="992"/>
        <w:gridCol w:w="902"/>
        <w:gridCol w:w="992"/>
      </w:tblGrid>
      <w:tr>
        <w:tblPrEx>
          <w:tblCellMar>
            <w:top w:w="0" w:type="dxa"/>
            <w:left w:w="108" w:type="dxa"/>
            <w:bottom w:w="0" w:type="dxa"/>
            <w:right w:w="108" w:type="dxa"/>
          </w:tblCellMar>
        </w:tblPrEx>
        <w:trPr>
          <w:trHeight w:val="584" w:hRule="atLeast"/>
          <w:jc w:val="center"/>
        </w:trPr>
        <w:tc>
          <w:tcPr>
            <w:tcW w:w="10683"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微软雅黑" w:hAnsi="微软雅黑" w:eastAsia="微软雅黑" w:cs="宋体"/>
                <w:b/>
                <w:bCs/>
                <w:color w:val="000000"/>
                <w:kern w:val="0"/>
                <w:sz w:val="36"/>
                <w:szCs w:val="40"/>
              </w:rPr>
            </w:pPr>
            <w:r>
              <w:rPr>
                <w:rFonts w:hint="eastAsia" w:ascii="微软雅黑" w:hAnsi="微软雅黑" w:eastAsia="微软雅黑" w:cs="宋体"/>
                <w:b/>
                <w:bCs/>
                <w:color w:val="000000"/>
                <w:kern w:val="0"/>
                <w:sz w:val="32"/>
                <w:szCs w:val="40"/>
              </w:rPr>
              <w:t>2022年度项目绩效自评表</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项目名称：</w:t>
            </w:r>
          </w:p>
        </w:tc>
        <w:tc>
          <w:tcPr>
            <w:tcW w:w="1417" w:type="dxa"/>
            <w:gridSpan w:val="2"/>
            <w:tcBorders>
              <w:top w:val="nil"/>
              <w:left w:val="nil"/>
              <w:bottom w:val="single" w:color="auto" w:sz="4" w:space="0"/>
              <w:right w:val="single" w:color="auto" w:sz="4" w:space="0"/>
            </w:tcBorders>
            <w:noWrap w:val="0"/>
            <w:vAlign w:val="center"/>
          </w:tcPr>
          <w:p>
            <w:pPr>
              <w:widowControl/>
              <w:spacing w:line="240" w:lineRule="atLeast"/>
              <w:ind w:firstLine="160" w:firstLineChars="100"/>
              <w:jc w:val="left"/>
              <w:rPr>
                <w:rFonts w:hint="eastAsia" w:ascii="宋体" w:hAnsi="宋体" w:cs="宋体"/>
                <w:color w:val="000000"/>
                <w:kern w:val="0"/>
                <w:sz w:val="16"/>
                <w:szCs w:val="16"/>
              </w:rPr>
            </w:pPr>
            <w:r>
              <w:rPr>
                <w:rFonts w:hint="eastAsia" w:ascii="宋体" w:hAnsi="宋体" w:cs="宋体"/>
                <w:color w:val="000000"/>
                <w:kern w:val="0"/>
                <w:sz w:val="16"/>
                <w:szCs w:val="16"/>
              </w:rPr>
              <w:t>　引进创新人才安家补助</w:t>
            </w:r>
          </w:p>
        </w:tc>
        <w:tc>
          <w:tcPr>
            <w:tcW w:w="992"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项目编码：</w:t>
            </w:r>
          </w:p>
        </w:tc>
        <w:tc>
          <w:tcPr>
            <w:tcW w:w="1560" w:type="dxa"/>
            <w:gridSpan w:val="2"/>
            <w:tcBorders>
              <w:top w:val="nil"/>
              <w:left w:val="nil"/>
              <w:bottom w:val="single" w:color="auto" w:sz="4" w:space="0"/>
              <w:right w:val="single" w:color="auto" w:sz="4" w:space="0"/>
            </w:tcBorders>
            <w:noWrap w:val="0"/>
            <w:vAlign w:val="center"/>
          </w:tcPr>
          <w:p>
            <w:pPr>
              <w:widowControl/>
              <w:spacing w:line="240" w:lineRule="atLeast"/>
              <w:ind w:firstLine="160" w:firstLineChars="100"/>
              <w:jc w:val="left"/>
              <w:rPr>
                <w:rFonts w:hint="eastAsia" w:ascii="宋体" w:hAnsi="宋体" w:cs="宋体"/>
                <w:color w:val="000000"/>
                <w:kern w:val="0"/>
                <w:sz w:val="16"/>
                <w:szCs w:val="16"/>
              </w:rPr>
            </w:pPr>
            <w:r>
              <w:rPr>
                <w:rFonts w:hint="eastAsia" w:ascii="宋体" w:hAnsi="宋体" w:cs="宋体"/>
                <w:color w:val="000000"/>
                <w:kern w:val="0"/>
                <w:sz w:val="16"/>
                <w:szCs w:val="16"/>
              </w:rPr>
              <w:t>　50023023T000002792726</w:t>
            </w:r>
          </w:p>
        </w:tc>
        <w:tc>
          <w:tcPr>
            <w:tcW w:w="1043"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自评总分：</w:t>
            </w:r>
          </w:p>
        </w:tc>
        <w:tc>
          <w:tcPr>
            <w:tcW w:w="1508" w:type="dxa"/>
            <w:gridSpan w:val="2"/>
            <w:tcBorders>
              <w:top w:val="nil"/>
              <w:left w:val="nil"/>
              <w:bottom w:val="single" w:color="auto" w:sz="4" w:space="0"/>
              <w:right w:val="single" w:color="auto" w:sz="4" w:space="0"/>
            </w:tcBorders>
            <w:noWrap w:val="0"/>
            <w:vAlign w:val="center"/>
          </w:tcPr>
          <w:p>
            <w:pPr>
              <w:widowControl/>
              <w:spacing w:line="240" w:lineRule="atLeast"/>
              <w:ind w:firstLine="160" w:firstLineChars="100"/>
              <w:jc w:val="left"/>
              <w:rPr>
                <w:rFonts w:hint="eastAsia" w:ascii="宋体" w:hAnsi="宋体" w:cs="宋体"/>
                <w:color w:val="000000"/>
                <w:kern w:val="0"/>
                <w:sz w:val="16"/>
                <w:szCs w:val="16"/>
              </w:rPr>
            </w:pPr>
            <w:r>
              <w:rPr>
                <w:rFonts w:hint="eastAsia" w:ascii="宋体" w:hAnsi="宋体" w:cs="宋体"/>
                <w:color w:val="000000"/>
                <w:kern w:val="0"/>
                <w:sz w:val="16"/>
                <w:szCs w:val="16"/>
              </w:rPr>
              <w:t>　100.00</w:t>
            </w:r>
          </w:p>
        </w:tc>
        <w:tc>
          <w:tcPr>
            <w:tcW w:w="992"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bCs/>
                <w:color w:val="000000"/>
                <w:kern w:val="0"/>
                <w:sz w:val="16"/>
                <w:szCs w:val="16"/>
              </w:rPr>
            </w:pPr>
          </w:p>
        </w:tc>
        <w:tc>
          <w:tcPr>
            <w:tcW w:w="1894" w:type="dxa"/>
            <w:gridSpan w:val="2"/>
            <w:tcBorders>
              <w:top w:val="nil"/>
              <w:left w:val="nil"/>
              <w:bottom w:val="single" w:color="auto" w:sz="4" w:space="0"/>
              <w:right w:val="single" w:color="auto" w:sz="4" w:space="0"/>
            </w:tcBorders>
            <w:noWrap w:val="0"/>
            <w:vAlign w:val="center"/>
          </w:tcPr>
          <w:p>
            <w:pPr>
              <w:widowControl/>
              <w:spacing w:line="240" w:lineRule="atLeast"/>
              <w:ind w:firstLine="160" w:firstLineChars="100"/>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0"/>
            <w:vAlign w:val="center"/>
          </w:tcPr>
          <w:p>
            <w:pPr>
              <w:widowControl/>
              <w:spacing w:line="240" w:lineRule="atLeast"/>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项目主管部门：</w:t>
            </w:r>
          </w:p>
        </w:tc>
        <w:tc>
          <w:tcPr>
            <w:tcW w:w="1417" w:type="dxa"/>
            <w:gridSpan w:val="2"/>
            <w:tcBorders>
              <w:top w:val="single" w:color="auto" w:sz="4" w:space="0"/>
              <w:left w:val="nil"/>
              <w:bottom w:val="single" w:color="auto" w:sz="4" w:space="0"/>
              <w:right w:val="single" w:color="auto" w:sz="4" w:space="0"/>
            </w:tcBorders>
            <w:noWrap w:val="0"/>
            <w:vAlign w:val="center"/>
          </w:tcPr>
          <w:p>
            <w:pPr>
              <w:widowControl/>
              <w:spacing w:line="240" w:lineRule="atLeast"/>
              <w:ind w:firstLine="160" w:firstLineChars="100"/>
              <w:jc w:val="left"/>
              <w:rPr>
                <w:rFonts w:hint="eastAsia" w:ascii="宋体" w:hAnsi="宋体" w:cs="宋体"/>
                <w:color w:val="000000"/>
                <w:kern w:val="0"/>
                <w:sz w:val="16"/>
                <w:szCs w:val="16"/>
              </w:rPr>
            </w:pPr>
            <w:r>
              <w:rPr>
                <w:rFonts w:hint="eastAsia" w:ascii="宋体" w:hAnsi="宋体" w:cs="宋体"/>
                <w:color w:val="000000"/>
                <w:kern w:val="0"/>
                <w:sz w:val="16"/>
                <w:szCs w:val="16"/>
              </w:rPr>
              <w:t>　404-丰都县卫生健康委员会</w:t>
            </w:r>
          </w:p>
        </w:tc>
        <w:tc>
          <w:tcPr>
            <w:tcW w:w="992" w:type="dxa"/>
            <w:tcBorders>
              <w:top w:val="nil"/>
              <w:left w:val="nil"/>
              <w:bottom w:val="single" w:color="auto" w:sz="4" w:space="0"/>
              <w:right w:val="single" w:color="auto" w:sz="4" w:space="0"/>
            </w:tcBorders>
            <w:noWrap w:val="0"/>
            <w:vAlign w:val="center"/>
          </w:tcPr>
          <w:p>
            <w:pPr>
              <w:widowControl/>
              <w:spacing w:line="240" w:lineRule="atLeast"/>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财政归口处室：</w:t>
            </w:r>
          </w:p>
        </w:tc>
        <w:tc>
          <w:tcPr>
            <w:tcW w:w="1560" w:type="dxa"/>
            <w:gridSpan w:val="2"/>
            <w:tcBorders>
              <w:top w:val="single" w:color="auto" w:sz="4" w:space="0"/>
              <w:left w:val="nil"/>
              <w:bottom w:val="single" w:color="auto" w:sz="4" w:space="0"/>
              <w:right w:val="single" w:color="auto" w:sz="4" w:space="0"/>
            </w:tcBorders>
            <w:noWrap w:val="0"/>
            <w:vAlign w:val="center"/>
          </w:tcPr>
          <w:p>
            <w:pPr>
              <w:widowControl/>
              <w:spacing w:line="240" w:lineRule="atLeast"/>
              <w:ind w:firstLine="160" w:firstLineChars="100"/>
              <w:jc w:val="left"/>
              <w:rPr>
                <w:rFonts w:hint="eastAsia" w:ascii="宋体" w:hAnsi="宋体" w:cs="宋体"/>
                <w:color w:val="000000"/>
                <w:kern w:val="0"/>
                <w:sz w:val="16"/>
                <w:szCs w:val="16"/>
              </w:rPr>
            </w:pPr>
            <w:r>
              <w:rPr>
                <w:rFonts w:hint="eastAsia" w:ascii="宋体" w:hAnsi="宋体" w:cs="宋体"/>
                <w:color w:val="000000"/>
                <w:kern w:val="0"/>
                <w:sz w:val="16"/>
                <w:szCs w:val="16"/>
              </w:rPr>
              <w:t>　004-社保科　</w:t>
            </w:r>
          </w:p>
        </w:tc>
        <w:tc>
          <w:tcPr>
            <w:tcW w:w="1043" w:type="dxa"/>
            <w:tcBorders>
              <w:top w:val="nil"/>
              <w:left w:val="nil"/>
              <w:bottom w:val="single" w:color="auto" w:sz="4" w:space="0"/>
              <w:right w:val="single" w:color="auto" w:sz="4" w:space="0"/>
            </w:tcBorders>
            <w:noWrap w:val="0"/>
            <w:vAlign w:val="center"/>
          </w:tcPr>
          <w:p>
            <w:pPr>
              <w:widowControl/>
              <w:spacing w:line="240" w:lineRule="atLeast"/>
              <w:ind w:right="483"/>
              <w:jc w:val="center"/>
              <w:rPr>
                <w:rFonts w:ascii="宋体" w:hAnsi="宋体" w:cs="宋体"/>
                <w:b/>
                <w:bCs/>
                <w:color w:val="000000"/>
                <w:kern w:val="0"/>
                <w:sz w:val="16"/>
                <w:szCs w:val="16"/>
              </w:rPr>
            </w:pPr>
            <w:r>
              <w:rPr>
                <w:rFonts w:hint="eastAsia" w:ascii="宋体" w:hAnsi="宋体" w:cs="宋体"/>
                <w:b/>
                <w:bCs/>
                <w:color w:val="000000"/>
                <w:kern w:val="0"/>
                <w:sz w:val="16"/>
                <w:szCs w:val="16"/>
              </w:rPr>
              <w:t>部门</w:t>
            </w:r>
          </w:p>
          <w:p>
            <w:pPr>
              <w:widowControl/>
              <w:spacing w:line="240" w:lineRule="atLeast"/>
              <w:ind w:right="161"/>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联系人：</w:t>
            </w:r>
          </w:p>
        </w:tc>
        <w:tc>
          <w:tcPr>
            <w:tcW w:w="1508" w:type="dxa"/>
            <w:gridSpan w:val="2"/>
            <w:tcBorders>
              <w:top w:val="single" w:color="auto" w:sz="4" w:space="0"/>
              <w:left w:val="nil"/>
              <w:bottom w:val="single" w:color="auto" w:sz="4" w:space="0"/>
              <w:right w:val="single" w:color="auto" w:sz="4" w:space="0"/>
            </w:tcBorders>
            <w:noWrap w:val="0"/>
            <w:vAlign w:val="center"/>
          </w:tcPr>
          <w:p>
            <w:pPr>
              <w:widowControl/>
              <w:spacing w:line="240" w:lineRule="atLeast"/>
              <w:ind w:firstLine="160" w:firstLineChars="100"/>
              <w:jc w:val="left"/>
              <w:rPr>
                <w:rFonts w:hint="eastAsia" w:ascii="宋体" w:hAnsi="宋体" w:cs="宋体"/>
                <w:color w:val="000000"/>
                <w:kern w:val="0"/>
                <w:sz w:val="16"/>
                <w:szCs w:val="16"/>
              </w:rPr>
            </w:pPr>
            <w:r>
              <w:rPr>
                <w:rFonts w:hint="eastAsia" w:ascii="宋体" w:hAnsi="宋体" w:cs="宋体"/>
                <w:color w:val="000000"/>
                <w:kern w:val="0"/>
                <w:sz w:val="16"/>
                <w:szCs w:val="16"/>
              </w:rPr>
              <w:t>　　曾媛</w:t>
            </w:r>
          </w:p>
        </w:tc>
        <w:tc>
          <w:tcPr>
            <w:tcW w:w="992" w:type="dxa"/>
            <w:tcBorders>
              <w:top w:val="nil"/>
              <w:left w:val="nil"/>
              <w:bottom w:val="single" w:color="auto" w:sz="4" w:space="0"/>
              <w:right w:val="single" w:color="auto" w:sz="4" w:space="0"/>
            </w:tcBorders>
            <w:noWrap w:val="0"/>
            <w:vAlign w:val="center"/>
          </w:tcPr>
          <w:p>
            <w:pPr>
              <w:widowControl/>
              <w:spacing w:line="240" w:lineRule="atLeast"/>
              <w:ind w:right="181"/>
              <w:jc w:val="center"/>
              <w:rPr>
                <w:rFonts w:ascii="宋体" w:hAnsi="宋体" w:cs="宋体"/>
                <w:b/>
                <w:bCs/>
                <w:color w:val="000000"/>
                <w:kern w:val="0"/>
                <w:sz w:val="16"/>
                <w:szCs w:val="16"/>
              </w:rPr>
            </w:pPr>
            <w:r>
              <w:rPr>
                <w:rFonts w:hint="eastAsia" w:ascii="宋体" w:hAnsi="宋体" w:cs="宋体"/>
                <w:b/>
                <w:bCs/>
                <w:color w:val="000000"/>
                <w:kern w:val="0"/>
                <w:sz w:val="16"/>
                <w:szCs w:val="16"/>
              </w:rPr>
              <w:t>联系</w:t>
            </w:r>
          </w:p>
          <w:p>
            <w:pPr>
              <w:widowControl/>
              <w:spacing w:line="240" w:lineRule="atLeast"/>
              <w:ind w:right="181"/>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电话</w:t>
            </w:r>
          </w:p>
        </w:tc>
        <w:tc>
          <w:tcPr>
            <w:tcW w:w="1894" w:type="dxa"/>
            <w:gridSpan w:val="2"/>
            <w:tcBorders>
              <w:top w:val="single" w:color="auto" w:sz="4" w:space="0"/>
              <w:left w:val="nil"/>
              <w:bottom w:val="single" w:color="auto" w:sz="4" w:space="0"/>
              <w:right w:val="single" w:color="auto" w:sz="4" w:space="0"/>
            </w:tcBorders>
            <w:noWrap w:val="0"/>
            <w:vAlign w:val="center"/>
          </w:tcPr>
          <w:p>
            <w:pPr>
              <w:widowControl/>
              <w:spacing w:line="240" w:lineRule="atLeast"/>
              <w:ind w:firstLine="160" w:firstLineChars="100"/>
              <w:jc w:val="left"/>
              <w:rPr>
                <w:rFonts w:hint="eastAsia" w:ascii="宋体" w:hAnsi="宋体" w:cs="宋体"/>
                <w:color w:val="000000"/>
                <w:kern w:val="0"/>
                <w:sz w:val="16"/>
                <w:szCs w:val="16"/>
              </w:rPr>
            </w:pPr>
            <w:r>
              <w:rPr>
                <w:rFonts w:hint="eastAsia" w:ascii="宋体" w:hAnsi="宋体" w:cs="宋体"/>
                <w:color w:val="000000"/>
                <w:kern w:val="0"/>
                <w:sz w:val="16"/>
                <w:szCs w:val="16"/>
              </w:rPr>
              <w:t>　　70608918</w:t>
            </w:r>
          </w:p>
        </w:tc>
      </w:tr>
      <w:tr>
        <w:tblPrEx>
          <w:tblCellMar>
            <w:top w:w="0" w:type="dxa"/>
            <w:left w:w="108" w:type="dxa"/>
            <w:bottom w:w="0" w:type="dxa"/>
            <w:right w:w="108" w:type="dxa"/>
          </w:tblCellMar>
        </w:tblPrEx>
        <w:trPr>
          <w:trHeight w:val="469" w:hRule="atLeast"/>
          <w:jc w:val="center"/>
        </w:trPr>
        <w:tc>
          <w:tcPr>
            <w:tcW w:w="10683"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宋体"/>
                <w:b/>
                <w:bCs/>
                <w:color w:val="808080"/>
                <w:kern w:val="0"/>
                <w:sz w:val="28"/>
                <w:szCs w:val="28"/>
              </w:rPr>
            </w:pPr>
            <w:r>
              <w:rPr>
                <w:rFonts w:hint="eastAsia" w:ascii="微软雅黑" w:hAnsi="微软雅黑" w:eastAsia="微软雅黑" w:cs="宋体"/>
                <w:b/>
                <w:bCs/>
                <w:color w:val="808080"/>
                <w:kern w:val="0"/>
                <w:sz w:val="18"/>
                <w:szCs w:val="28"/>
              </w:rPr>
              <w:t>资金情况</w:t>
            </w:r>
          </w:p>
        </w:tc>
      </w:tr>
      <w:tr>
        <w:tblPrEx>
          <w:tblCellMar>
            <w:top w:w="0" w:type="dxa"/>
            <w:left w:w="108" w:type="dxa"/>
            <w:bottom w:w="0" w:type="dxa"/>
            <w:right w:w="108" w:type="dxa"/>
          </w:tblCellMar>
        </w:tblPrEx>
        <w:trPr>
          <w:trHeight w:val="445" w:hRule="atLeast"/>
          <w:jc w:val="center"/>
        </w:trPr>
        <w:tc>
          <w:tcPr>
            <w:tcW w:w="1844"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1842" w:type="dxa"/>
            <w:gridSpan w:val="2"/>
            <w:tcBorders>
              <w:top w:val="single" w:color="auto" w:sz="4" w:space="0"/>
              <w:left w:val="nil"/>
              <w:bottom w:val="single" w:color="auto" w:sz="4" w:space="0"/>
              <w:right w:val="single" w:color="000000" w:sz="4" w:space="0"/>
            </w:tcBorders>
            <w:noWrap w:val="0"/>
            <w:vAlign w:val="center"/>
          </w:tcPr>
          <w:p>
            <w:pPr>
              <w:widowControl/>
              <w:ind w:right="724"/>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年初预算数</w:t>
            </w:r>
          </w:p>
        </w:tc>
        <w:tc>
          <w:tcPr>
            <w:tcW w:w="15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全年（调整）</w:t>
            </w:r>
          </w:p>
          <w:p>
            <w:pPr>
              <w:widowControl/>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预算数</w:t>
            </w:r>
          </w:p>
        </w:tc>
        <w:tc>
          <w:tcPr>
            <w:tcW w:w="1752" w:type="dxa"/>
            <w:gridSpan w:val="2"/>
            <w:tcBorders>
              <w:top w:val="single" w:color="auto" w:sz="4" w:space="0"/>
              <w:left w:val="nil"/>
              <w:bottom w:val="single" w:color="auto" w:sz="4" w:space="0"/>
              <w:right w:val="single" w:color="000000" w:sz="4" w:space="0"/>
            </w:tcBorders>
            <w:noWrap w:val="0"/>
            <w:vAlign w:val="center"/>
          </w:tcPr>
          <w:p>
            <w:pPr>
              <w:widowControl/>
              <w:ind w:right="161"/>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全年执行数</w:t>
            </w:r>
          </w:p>
        </w:tc>
        <w:tc>
          <w:tcPr>
            <w:tcW w:w="1791" w:type="dxa"/>
            <w:gridSpan w:val="2"/>
            <w:tcBorders>
              <w:top w:val="single" w:color="auto" w:sz="4" w:space="0"/>
              <w:left w:val="nil"/>
              <w:bottom w:val="single" w:color="auto" w:sz="4" w:space="0"/>
              <w:right w:val="single" w:color="000000" w:sz="4" w:space="0"/>
            </w:tcBorders>
            <w:noWrap w:val="0"/>
            <w:vAlign w:val="center"/>
          </w:tcPr>
          <w:p>
            <w:pPr>
              <w:widowControl/>
              <w:ind w:right="322"/>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执行率</w:t>
            </w:r>
          </w:p>
        </w:tc>
        <w:tc>
          <w:tcPr>
            <w:tcW w:w="90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执行率</w:t>
            </w:r>
          </w:p>
          <w:p>
            <w:pPr>
              <w:widowControl/>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权重</w:t>
            </w:r>
          </w:p>
        </w:tc>
        <w:tc>
          <w:tcPr>
            <w:tcW w:w="992"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执行率</w:t>
            </w:r>
          </w:p>
          <w:p>
            <w:pPr>
              <w:widowControl/>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得分</w:t>
            </w:r>
          </w:p>
        </w:tc>
      </w:tr>
      <w:tr>
        <w:tblPrEx>
          <w:tblCellMar>
            <w:top w:w="0" w:type="dxa"/>
            <w:left w:w="108" w:type="dxa"/>
            <w:bottom w:w="0" w:type="dxa"/>
            <w:right w:w="108" w:type="dxa"/>
          </w:tblCellMar>
        </w:tblPrEx>
        <w:trPr>
          <w:trHeight w:val="499" w:hRule="atLeast"/>
          <w:jc w:val="center"/>
        </w:trPr>
        <w:tc>
          <w:tcPr>
            <w:tcW w:w="1844"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年度总金额</w:t>
            </w:r>
          </w:p>
        </w:tc>
        <w:tc>
          <w:tcPr>
            <w:tcW w:w="184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 xml:space="preserve">0.00 </w:t>
            </w:r>
          </w:p>
        </w:tc>
        <w:tc>
          <w:tcPr>
            <w:tcW w:w="156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firstLine="160" w:firstLineChars="100"/>
              <w:jc w:val="center"/>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34万元</w:t>
            </w:r>
          </w:p>
        </w:tc>
        <w:tc>
          <w:tcPr>
            <w:tcW w:w="175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firstLine="160" w:firstLineChars="100"/>
              <w:jc w:val="center"/>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34万元</w:t>
            </w:r>
          </w:p>
        </w:tc>
        <w:tc>
          <w:tcPr>
            <w:tcW w:w="1791" w:type="dxa"/>
            <w:gridSpan w:val="2"/>
            <w:tcBorders>
              <w:top w:val="single" w:color="auto" w:sz="4" w:space="0"/>
              <w:left w:val="nil"/>
              <w:bottom w:val="single" w:color="auto" w:sz="4" w:space="0"/>
              <w:right w:val="single" w:color="auto" w:sz="4" w:space="0"/>
            </w:tcBorders>
            <w:noWrap w:val="0"/>
            <w:vAlign w:val="center"/>
          </w:tcPr>
          <w:p>
            <w:pPr>
              <w:jc w:val="right"/>
              <w:rPr>
                <w:rFonts w:hint="eastAsia" w:ascii="宋体" w:hAnsi="宋体" w:cs="宋体"/>
                <w:color w:val="000000"/>
                <w:kern w:val="0"/>
                <w:sz w:val="16"/>
                <w:szCs w:val="16"/>
                <w:lang w:val="en-US" w:eastAsia="zh-CN" w:bidi="ar-SA"/>
              </w:rPr>
            </w:pPr>
          </w:p>
        </w:tc>
        <w:tc>
          <w:tcPr>
            <w:tcW w:w="902" w:type="dxa"/>
            <w:tcBorders>
              <w:top w:val="nil"/>
              <w:left w:val="nil"/>
              <w:bottom w:val="single" w:color="auto" w:sz="4" w:space="0"/>
              <w:right w:val="single" w:color="auto" w:sz="4" w:space="0"/>
            </w:tcBorders>
            <w:noWrap w:val="0"/>
            <w:vAlign w:val="center"/>
          </w:tcPr>
          <w:p>
            <w:pPr>
              <w:jc w:val="right"/>
              <w:rPr>
                <w:rFonts w:hint="eastAsia" w:ascii="宋体" w:hAnsi="宋体" w:cs="宋体"/>
                <w:kern w:val="0"/>
                <w:sz w:val="16"/>
                <w:szCs w:val="16"/>
                <w:lang w:val="en-US" w:eastAsia="zh-CN" w:bidi="ar-SA"/>
              </w:rPr>
            </w:pPr>
          </w:p>
        </w:tc>
        <w:tc>
          <w:tcPr>
            <w:tcW w:w="992" w:type="dxa"/>
            <w:tcBorders>
              <w:top w:val="nil"/>
              <w:left w:val="nil"/>
              <w:bottom w:val="single" w:color="auto" w:sz="4" w:space="0"/>
              <w:right w:val="single" w:color="auto" w:sz="4" w:space="0"/>
            </w:tcBorders>
            <w:noWrap w:val="0"/>
            <w:vAlign w:val="center"/>
          </w:tcPr>
          <w:p>
            <w:pPr>
              <w:jc w:val="right"/>
              <w:rPr>
                <w:rFonts w:hint="eastAsia" w:ascii="宋体" w:hAnsi="宋体" w:cs="宋体"/>
                <w:kern w:val="0"/>
                <w:sz w:val="16"/>
                <w:szCs w:val="16"/>
                <w:lang w:val="en-US" w:eastAsia="zh-CN" w:bidi="ar-SA"/>
              </w:rPr>
            </w:pPr>
          </w:p>
        </w:tc>
      </w:tr>
      <w:tr>
        <w:tblPrEx>
          <w:tblCellMar>
            <w:top w:w="0" w:type="dxa"/>
            <w:left w:w="108" w:type="dxa"/>
            <w:bottom w:w="0" w:type="dxa"/>
            <w:right w:w="108" w:type="dxa"/>
          </w:tblCellMar>
        </w:tblPrEx>
        <w:trPr>
          <w:trHeight w:val="415" w:hRule="atLeast"/>
          <w:jc w:val="center"/>
        </w:trPr>
        <w:tc>
          <w:tcPr>
            <w:tcW w:w="1844"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160" w:firstLineChars="100"/>
              <w:jc w:val="center"/>
              <w:rPr>
                <w:rFonts w:hint="eastAsia" w:ascii="宋体" w:hAnsi="宋体" w:cs="宋体"/>
                <w:color w:val="000000"/>
                <w:kern w:val="0"/>
                <w:sz w:val="16"/>
                <w:szCs w:val="16"/>
              </w:rPr>
            </w:pPr>
            <w:r>
              <w:rPr>
                <w:rFonts w:hint="eastAsia" w:ascii="宋体" w:hAnsi="宋体" w:cs="宋体"/>
                <w:color w:val="000000"/>
                <w:kern w:val="0"/>
                <w:sz w:val="16"/>
                <w:szCs w:val="16"/>
              </w:rPr>
              <w:t>其中：财政拨款</w:t>
            </w:r>
          </w:p>
        </w:tc>
        <w:tc>
          <w:tcPr>
            <w:tcW w:w="184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 xml:space="preserve">0.00 </w:t>
            </w:r>
          </w:p>
        </w:tc>
        <w:tc>
          <w:tcPr>
            <w:tcW w:w="1560"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firstLine="160" w:firstLineChars="100"/>
              <w:jc w:val="center"/>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34万元</w:t>
            </w:r>
          </w:p>
        </w:tc>
        <w:tc>
          <w:tcPr>
            <w:tcW w:w="1752"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firstLine="160" w:firstLineChars="100"/>
              <w:jc w:val="center"/>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34万元</w:t>
            </w:r>
          </w:p>
        </w:tc>
        <w:tc>
          <w:tcPr>
            <w:tcW w:w="1791" w:type="dxa"/>
            <w:gridSpan w:val="2"/>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ind w:firstLine="160" w:firstLineChars="100"/>
              <w:jc w:val="center"/>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100</w:t>
            </w:r>
          </w:p>
        </w:tc>
        <w:tc>
          <w:tcPr>
            <w:tcW w:w="902"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center"/>
              <w:textAlignment w:val="center"/>
              <w:rPr>
                <w:rFonts w:hint="eastAsia" w:ascii="宋体" w:hAnsi="宋体" w:cs="宋体"/>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10.00</w:t>
            </w:r>
          </w:p>
        </w:tc>
        <w:tc>
          <w:tcPr>
            <w:tcW w:w="992"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center"/>
              <w:textAlignment w:val="center"/>
              <w:rPr>
                <w:rFonts w:hint="eastAsia" w:ascii="宋体" w:hAnsi="宋体" w:cs="宋体"/>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10.00</w:t>
            </w:r>
          </w:p>
        </w:tc>
      </w:tr>
      <w:tr>
        <w:tblPrEx>
          <w:tblCellMar>
            <w:top w:w="0" w:type="dxa"/>
            <w:left w:w="108" w:type="dxa"/>
            <w:bottom w:w="0" w:type="dxa"/>
            <w:right w:w="108" w:type="dxa"/>
          </w:tblCellMar>
        </w:tblPrEx>
        <w:trPr>
          <w:trHeight w:val="600" w:hRule="atLeast"/>
          <w:jc w:val="center"/>
        </w:trPr>
        <w:tc>
          <w:tcPr>
            <w:tcW w:w="10683"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宋体"/>
                <w:b/>
                <w:bCs/>
                <w:color w:val="808080"/>
                <w:kern w:val="0"/>
                <w:sz w:val="28"/>
                <w:szCs w:val="28"/>
              </w:rPr>
            </w:pPr>
            <w:r>
              <w:rPr>
                <w:rFonts w:hint="eastAsia" w:ascii="微软雅黑" w:hAnsi="微软雅黑" w:eastAsia="微软雅黑" w:cs="宋体"/>
                <w:b/>
                <w:bCs/>
                <w:color w:val="808080"/>
                <w:kern w:val="0"/>
                <w:szCs w:val="28"/>
              </w:rPr>
              <w:t>绩效目标</w:t>
            </w:r>
          </w:p>
        </w:tc>
      </w:tr>
      <w:tr>
        <w:tblPrEx>
          <w:tblCellMar>
            <w:top w:w="0" w:type="dxa"/>
            <w:left w:w="108" w:type="dxa"/>
            <w:bottom w:w="0" w:type="dxa"/>
            <w:right w:w="108" w:type="dxa"/>
          </w:tblCellMar>
        </w:tblPrEx>
        <w:trPr>
          <w:trHeight w:val="499" w:hRule="atLeast"/>
          <w:jc w:val="center"/>
        </w:trPr>
        <w:tc>
          <w:tcPr>
            <w:tcW w:w="3686"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年初绩效目标</w:t>
            </w:r>
          </w:p>
        </w:tc>
        <w:tc>
          <w:tcPr>
            <w:tcW w:w="3312"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全年（调整）绩效目标</w:t>
            </w:r>
          </w:p>
        </w:tc>
        <w:tc>
          <w:tcPr>
            <w:tcW w:w="3685" w:type="dxa"/>
            <w:gridSpan w:val="4"/>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全年目标实际完成情况</w:t>
            </w:r>
          </w:p>
        </w:tc>
      </w:tr>
      <w:tr>
        <w:tblPrEx>
          <w:tblCellMar>
            <w:top w:w="0" w:type="dxa"/>
            <w:left w:w="108" w:type="dxa"/>
            <w:bottom w:w="0" w:type="dxa"/>
            <w:right w:w="108" w:type="dxa"/>
          </w:tblCellMar>
        </w:tblPrEx>
        <w:trPr>
          <w:trHeight w:val="1602" w:hRule="atLeast"/>
          <w:jc w:val="center"/>
        </w:trPr>
        <w:tc>
          <w:tcPr>
            <w:tcW w:w="3686" w:type="dxa"/>
            <w:gridSpan w:val="4"/>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p>
        </w:tc>
        <w:tc>
          <w:tcPr>
            <w:tcW w:w="3312" w:type="dxa"/>
            <w:gridSpan w:val="4"/>
            <w:tcBorders>
              <w:top w:val="single" w:color="auto" w:sz="4" w:space="0"/>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eastAsia="宋体" w:cs="宋体"/>
                <w:i w:val="0"/>
                <w:iCs w:val="0"/>
                <w:color w:val="000000"/>
                <w:kern w:val="0"/>
                <w:sz w:val="16"/>
                <w:szCs w:val="16"/>
                <w:u w:val="none"/>
                <w:lang w:val="en-US" w:eastAsia="zh-CN" w:bidi="ar"/>
              </w:rPr>
              <w:t>引进创新人才安家补助。</w:t>
            </w:r>
          </w:p>
        </w:tc>
        <w:tc>
          <w:tcPr>
            <w:tcW w:w="3685" w:type="dxa"/>
            <w:gridSpan w:val="4"/>
            <w:tcBorders>
              <w:top w:val="single" w:color="auto" w:sz="4" w:space="0"/>
              <w:left w:val="nil"/>
              <w:bottom w:val="single" w:color="auto" w:sz="4" w:space="0"/>
              <w:right w:val="single" w:color="auto" w:sz="4" w:space="0"/>
            </w:tcBorders>
            <w:noWrap w:val="0"/>
            <w:vAlign w:val="top"/>
          </w:tcPr>
          <w:p>
            <w:pPr>
              <w:widowControl/>
              <w:jc w:val="left"/>
              <w:rPr>
                <w:rFonts w:hint="eastAsia" w:ascii="宋体" w:hAnsi="宋体" w:cs="宋体"/>
                <w:color w:val="000000"/>
                <w:kern w:val="0"/>
                <w:sz w:val="16"/>
                <w:szCs w:val="16"/>
              </w:rPr>
            </w:pPr>
            <w:r>
              <w:rPr>
                <w:rFonts w:hint="eastAsia" w:ascii="宋体" w:hAnsi="宋体" w:cs="宋体"/>
                <w:color w:val="000000"/>
                <w:kern w:val="0"/>
                <w:sz w:val="16"/>
                <w:szCs w:val="16"/>
              </w:rPr>
              <w:t>　</w:t>
            </w:r>
            <w:r>
              <w:rPr>
                <w:rFonts w:hint="eastAsia" w:ascii="宋体" w:hAnsi="宋体" w:eastAsia="宋体" w:cs="宋体"/>
                <w:i w:val="0"/>
                <w:iCs w:val="0"/>
                <w:color w:val="000000"/>
                <w:kern w:val="0"/>
                <w:sz w:val="16"/>
                <w:szCs w:val="16"/>
                <w:u w:val="none"/>
                <w:lang w:val="en-US" w:eastAsia="zh-CN" w:bidi="ar"/>
              </w:rPr>
              <w:t>完成引进创新人才安家补助发放。</w:t>
            </w:r>
          </w:p>
        </w:tc>
      </w:tr>
      <w:tr>
        <w:tblPrEx>
          <w:tblCellMar>
            <w:top w:w="0" w:type="dxa"/>
            <w:left w:w="108" w:type="dxa"/>
            <w:bottom w:w="0" w:type="dxa"/>
            <w:right w:w="108" w:type="dxa"/>
          </w:tblCellMar>
        </w:tblPrEx>
        <w:trPr>
          <w:trHeight w:val="600" w:hRule="atLeast"/>
          <w:jc w:val="center"/>
        </w:trPr>
        <w:tc>
          <w:tcPr>
            <w:tcW w:w="10683"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微软雅黑" w:hAnsi="微软雅黑" w:eastAsia="微软雅黑" w:cs="宋体"/>
                <w:b/>
                <w:bCs/>
                <w:color w:val="808080"/>
                <w:kern w:val="0"/>
                <w:sz w:val="28"/>
                <w:szCs w:val="28"/>
              </w:rPr>
            </w:pPr>
            <w:r>
              <w:rPr>
                <w:rFonts w:hint="eastAsia" w:ascii="微软雅黑" w:hAnsi="微软雅黑" w:eastAsia="微软雅黑" w:cs="宋体"/>
                <w:b/>
                <w:bCs/>
                <w:color w:val="808080"/>
                <w:kern w:val="0"/>
                <w:szCs w:val="28"/>
              </w:rPr>
              <w:t>绩效指标</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16"/>
              </w:rPr>
            </w:pPr>
            <w:r>
              <w:rPr>
                <w:rFonts w:hint="eastAsia" w:ascii="宋体" w:hAnsi="宋体" w:cs="宋体"/>
                <w:b/>
                <w:bCs/>
                <w:color w:val="000000"/>
                <w:kern w:val="0"/>
                <w:sz w:val="16"/>
              </w:rPr>
              <w:t>指标</w:t>
            </w:r>
          </w:p>
          <w:p>
            <w:pPr>
              <w:widowControl/>
              <w:jc w:val="center"/>
              <w:rPr>
                <w:rFonts w:hint="eastAsia" w:ascii="宋体" w:hAnsi="宋体" w:cs="宋体"/>
                <w:b/>
                <w:bCs/>
                <w:color w:val="000000"/>
                <w:kern w:val="0"/>
                <w:sz w:val="16"/>
              </w:rPr>
            </w:pPr>
            <w:r>
              <w:rPr>
                <w:rFonts w:hint="eastAsia" w:ascii="宋体" w:hAnsi="宋体" w:cs="宋体"/>
                <w:b/>
                <w:bCs/>
                <w:color w:val="000000"/>
                <w:kern w:val="0"/>
                <w:sz w:val="16"/>
              </w:rPr>
              <w:t>名称</w:t>
            </w:r>
          </w:p>
        </w:tc>
        <w:tc>
          <w:tcPr>
            <w:tcW w:w="567"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16"/>
              </w:rPr>
            </w:pPr>
            <w:r>
              <w:rPr>
                <w:rFonts w:hint="eastAsia" w:ascii="宋体" w:hAnsi="宋体" w:cs="宋体"/>
                <w:b/>
                <w:bCs/>
                <w:color w:val="000000"/>
                <w:kern w:val="0"/>
                <w:sz w:val="16"/>
              </w:rPr>
              <w:t>计量单位</w:t>
            </w:r>
          </w:p>
        </w:tc>
        <w:tc>
          <w:tcPr>
            <w:tcW w:w="850"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6"/>
              </w:rPr>
            </w:pPr>
            <w:r>
              <w:rPr>
                <w:rFonts w:hint="eastAsia" w:ascii="宋体" w:hAnsi="宋体" w:cs="宋体"/>
                <w:b/>
                <w:bCs/>
                <w:color w:val="000000"/>
                <w:kern w:val="0"/>
                <w:sz w:val="16"/>
              </w:rPr>
              <w:t>指标</w:t>
            </w:r>
          </w:p>
          <w:p>
            <w:pPr>
              <w:widowControl/>
              <w:jc w:val="center"/>
              <w:rPr>
                <w:rFonts w:hint="eastAsia" w:ascii="宋体" w:hAnsi="宋体" w:cs="宋体"/>
                <w:b/>
                <w:bCs/>
                <w:color w:val="000000"/>
                <w:kern w:val="0"/>
                <w:sz w:val="16"/>
              </w:rPr>
            </w:pPr>
            <w:r>
              <w:rPr>
                <w:rFonts w:hint="eastAsia" w:ascii="宋体" w:hAnsi="宋体" w:cs="宋体"/>
                <w:b/>
                <w:bCs/>
                <w:color w:val="000000"/>
                <w:kern w:val="0"/>
                <w:sz w:val="16"/>
              </w:rPr>
              <w:t>性质</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16"/>
              </w:rPr>
            </w:pPr>
            <w:r>
              <w:rPr>
                <w:rFonts w:hint="eastAsia" w:ascii="宋体" w:hAnsi="宋体" w:cs="宋体"/>
                <w:b/>
                <w:bCs/>
                <w:color w:val="000000"/>
                <w:kern w:val="0"/>
                <w:sz w:val="16"/>
              </w:rPr>
              <w:t>指标值</w:t>
            </w:r>
          </w:p>
        </w:tc>
        <w:tc>
          <w:tcPr>
            <w:tcW w:w="85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16"/>
              </w:rPr>
            </w:pPr>
            <w:r>
              <w:rPr>
                <w:rFonts w:hint="eastAsia" w:ascii="宋体" w:hAnsi="宋体" w:cs="宋体"/>
                <w:b/>
                <w:bCs/>
                <w:color w:val="000000"/>
                <w:kern w:val="0"/>
                <w:sz w:val="16"/>
              </w:rPr>
              <w:t>全年完成值</w:t>
            </w:r>
          </w:p>
        </w:tc>
        <w:tc>
          <w:tcPr>
            <w:tcW w:w="709"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16"/>
              </w:rPr>
            </w:pPr>
            <w:r>
              <w:rPr>
                <w:rFonts w:hint="eastAsia" w:ascii="宋体" w:hAnsi="宋体" w:cs="宋体"/>
                <w:b/>
                <w:bCs/>
                <w:color w:val="000000"/>
                <w:kern w:val="0"/>
                <w:sz w:val="16"/>
              </w:rPr>
              <w:t>偏离度（%）</w:t>
            </w:r>
          </w:p>
        </w:tc>
        <w:tc>
          <w:tcPr>
            <w:tcW w:w="1043"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16"/>
              </w:rPr>
            </w:pPr>
            <w:r>
              <w:rPr>
                <w:rFonts w:hint="eastAsia" w:ascii="宋体" w:hAnsi="宋体" w:cs="宋体"/>
                <w:b/>
                <w:bCs/>
                <w:color w:val="000000"/>
                <w:kern w:val="0"/>
                <w:sz w:val="16"/>
              </w:rPr>
              <w:t>得分系数（%）</w:t>
            </w:r>
          </w:p>
        </w:tc>
        <w:tc>
          <w:tcPr>
            <w:tcW w:w="709"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6"/>
              </w:rPr>
            </w:pPr>
            <w:r>
              <w:rPr>
                <w:rFonts w:hint="eastAsia" w:ascii="宋体" w:hAnsi="宋体" w:cs="宋体"/>
                <w:b/>
                <w:bCs/>
                <w:color w:val="000000"/>
                <w:kern w:val="0"/>
                <w:sz w:val="16"/>
              </w:rPr>
              <w:t>指标</w:t>
            </w:r>
          </w:p>
          <w:p>
            <w:pPr>
              <w:widowControl/>
              <w:jc w:val="center"/>
              <w:rPr>
                <w:rFonts w:hint="eastAsia" w:ascii="宋体" w:hAnsi="宋体" w:cs="宋体"/>
                <w:b/>
                <w:bCs/>
                <w:color w:val="000000"/>
                <w:kern w:val="0"/>
                <w:sz w:val="16"/>
              </w:rPr>
            </w:pPr>
            <w:r>
              <w:rPr>
                <w:rFonts w:hint="eastAsia" w:ascii="宋体" w:hAnsi="宋体" w:cs="宋体"/>
                <w:b/>
                <w:bCs/>
                <w:color w:val="000000"/>
                <w:kern w:val="0"/>
                <w:sz w:val="16"/>
              </w:rPr>
              <w:t>权重</w:t>
            </w:r>
          </w:p>
        </w:tc>
        <w:tc>
          <w:tcPr>
            <w:tcW w:w="799" w:type="dxa"/>
            <w:tcBorders>
              <w:top w:val="nil"/>
              <w:left w:val="nil"/>
              <w:bottom w:val="single" w:color="auto" w:sz="4" w:space="0"/>
              <w:right w:val="single" w:color="auto" w:sz="4" w:space="0"/>
            </w:tcBorders>
            <w:noWrap w:val="0"/>
            <w:vAlign w:val="center"/>
          </w:tcPr>
          <w:p>
            <w:pPr>
              <w:widowControl/>
              <w:jc w:val="center"/>
              <w:rPr>
                <w:rFonts w:ascii="宋体" w:hAnsi="宋体" w:cs="宋体"/>
                <w:b/>
                <w:bCs/>
                <w:color w:val="000000"/>
                <w:kern w:val="0"/>
                <w:sz w:val="16"/>
              </w:rPr>
            </w:pPr>
            <w:r>
              <w:rPr>
                <w:rFonts w:hint="eastAsia" w:ascii="宋体" w:hAnsi="宋体" w:cs="宋体"/>
                <w:b/>
                <w:bCs/>
                <w:color w:val="000000"/>
                <w:kern w:val="0"/>
                <w:sz w:val="16"/>
              </w:rPr>
              <w:t>指标</w:t>
            </w:r>
          </w:p>
          <w:p>
            <w:pPr>
              <w:widowControl/>
              <w:jc w:val="center"/>
              <w:rPr>
                <w:rFonts w:hint="eastAsia" w:ascii="宋体" w:hAnsi="宋体" w:cs="宋体"/>
                <w:b/>
                <w:bCs/>
                <w:color w:val="000000"/>
                <w:kern w:val="0"/>
                <w:sz w:val="16"/>
              </w:rPr>
            </w:pPr>
            <w:r>
              <w:rPr>
                <w:rFonts w:hint="eastAsia" w:ascii="宋体" w:hAnsi="宋体" w:cs="宋体"/>
                <w:b/>
                <w:bCs/>
                <w:color w:val="000000"/>
                <w:kern w:val="0"/>
                <w:sz w:val="16"/>
              </w:rPr>
              <w:t>得分</w:t>
            </w:r>
          </w:p>
        </w:tc>
        <w:tc>
          <w:tcPr>
            <w:tcW w:w="992"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b/>
                <w:bCs/>
                <w:color w:val="000000"/>
                <w:kern w:val="0"/>
                <w:sz w:val="16"/>
              </w:rPr>
            </w:pPr>
            <w:r>
              <w:rPr>
                <w:rFonts w:hint="eastAsia" w:ascii="宋体" w:hAnsi="宋体" w:cs="宋体"/>
                <w:b/>
                <w:bCs/>
                <w:color w:val="000000"/>
                <w:kern w:val="0"/>
                <w:sz w:val="16"/>
              </w:rPr>
              <w:t>是否核心指标</w:t>
            </w:r>
          </w:p>
        </w:tc>
        <w:tc>
          <w:tcPr>
            <w:tcW w:w="189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b/>
                <w:bCs/>
                <w:color w:val="000000"/>
                <w:kern w:val="0"/>
                <w:sz w:val="16"/>
              </w:rPr>
            </w:pPr>
            <w:r>
              <w:rPr>
                <w:rFonts w:hint="eastAsia" w:ascii="宋体" w:hAnsi="宋体" w:cs="宋体"/>
                <w:b/>
                <w:bCs/>
                <w:color w:val="000000"/>
                <w:kern w:val="0"/>
                <w:sz w:val="16"/>
              </w:rPr>
              <w:t>说明</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b/>
                <w:bCs/>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补助资金</w:t>
            </w:r>
          </w:p>
        </w:tc>
        <w:tc>
          <w:tcPr>
            <w:tcW w:w="567" w:type="dxa"/>
            <w:tcBorders>
              <w:top w:val="nil"/>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b/>
                <w:bCs/>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万元</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left"/>
              <w:textAlignment w:val="center"/>
              <w:rPr>
                <w:rFonts w:hint="eastAsia" w:ascii="宋体" w:hAnsi="宋体" w:cs="宋体"/>
                <w:b/>
                <w:bCs/>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w:t>
            </w:r>
          </w:p>
        </w:tc>
        <w:tc>
          <w:tcPr>
            <w:tcW w:w="992"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b/>
                <w:bCs/>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34</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b/>
                <w:bCs/>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34</w:t>
            </w:r>
          </w:p>
        </w:tc>
        <w:tc>
          <w:tcPr>
            <w:tcW w:w="709"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b/>
                <w:bCs/>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0</w:t>
            </w:r>
          </w:p>
        </w:tc>
        <w:tc>
          <w:tcPr>
            <w:tcW w:w="1043"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b/>
                <w:bCs/>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100</w:t>
            </w:r>
          </w:p>
        </w:tc>
        <w:tc>
          <w:tcPr>
            <w:tcW w:w="709"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b/>
                <w:bCs/>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30</w:t>
            </w:r>
          </w:p>
        </w:tc>
        <w:tc>
          <w:tcPr>
            <w:tcW w:w="799"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b/>
                <w:bCs/>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30</w:t>
            </w:r>
          </w:p>
        </w:tc>
        <w:tc>
          <w:tcPr>
            <w:tcW w:w="992" w:type="dxa"/>
            <w:tcBorders>
              <w:top w:val="nil"/>
              <w:left w:val="nil"/>
              <w:bottom w:val="single" w:color="auto" w:sz="4" w:space="0"/>
              <w:right w:val="single" w:color="auto" w:sz="4" w:space="0"/>
            </w:tcBorders>
            <w:noWrap w:val="0"/>
            <w:vAlign w:val="center"/>
          </w:tcPr>
          <w:p>
            <w:pPr>
              <w:jc w:val="left"/>
              <w:rPr>
                <w:rFonts w:hint="eastAsia" w:ascii="宋体" w:hAnsi="宋体" w:cs="宋体"/>
                <w:b/>
                <w:bCs/>
                <w:color w:val="000000"/>
                <w:kern w:val="0"/>
                <w:sz w:val="16"/>
                <w:szCs w:val="16"/>
                <w:lang w:val="en-US" w:eastAsia="zh-CN" w:bidi="ar-SA"/>
              </w:rPr>
            </w:pPr>
          </w:p>
        </w:tc>
        <w:tc>
          <w:tcPr>
            <w:tcW w:w="189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b/>
                <w:bCs/>
                <w:color w:val="000000"/>
                <w:kern w:val="0"/>
                <w:sz w:val="16"/>
                <w:szCs w:val="16"/>
              </w:rPr>
            </w:pPr>
            <w:r>
              <w:rPr>
                <w:rFonts w:hint="eastAsia" w:ascii="宋体" w:hAnsi="宋体" w:cs="宋体"/>
                <w:b/>
                <w:bCs/>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及时完成</w:t>
            </w:r>
          </w:p>
        </w:tc>
        <w:tc>
          <w:tcPr>
            <w:tcW w:w="567" w:type="dxa"/>
            <w:tcBorders>
              <w:top w:val="nil"/>
              <w:left w:val="nil"/>
              <w:bottom w:val="single" w:color="auto" w:sz="4" w:space="0"/>
              <w:right w:val="single" w:color="auto" w:sz="4" w:space="0"/>
            </w:tcBorders>
            <w:noWrap w:val="0"/>
            <w:vAlign w:val="center"/>
          </w:tcPr>
          <w:p>
            <w:pPr>
              <w:jc w:val="left"/>
              <w:rPr>
                <w:rFonts w:hint="eastAsia" w:ascii="宋体" w:hAnsi="宋体" w:cs="宋体"/>
                <w:color w:val="000000"/>
                <w:kern w:val="0"/>
                <w:sz w:val="16"/>
                <w:szCs w:val="16"/>
                <w:lang w:val="en-US" w:eastAsia="zh-CN" w:bidi="ar-SA"/>
              </w:rPr>
            </w:pP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lef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定性</w:t>
            </w:r>
          </w:p>
        </w:tc>
        <w:tc>
          <w:tcPr>
            <w:tcW w:w="992"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好</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1</w:t>
            </w:r>
          </w:p>
        </w:tc>
        <w:tc>
          <w:tcPr>
            <w:tcW w:w="709"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0</w:t>
            </w:r>
          </w:p>
        </w:tc>
        <w:tc>
          <w:tcPr>
            <w:tcW w:w="1043"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100</w:t>
            </w:r>
          </w:p>
        </w:tc>
        <w:tc>
          <w:tcPr>
            <w:tcW w:w="709"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20</w:t>
            </w:r>
          </w:p>
        </w:tc>
        <w:tc>
          <w:tcPr>
            <w:tcW w:w="799"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20</w:t>
            </w:r>
          </w:p>
        </w:tc>
        <w:tc>
          <w:tcPr>
            <w:tcW w:w="992" w:type="dxa"/>
            <w:tcBorders>
              <w:top w:val="nil"/>
              <w:left w:val="nil"/>
              <w:bottom w:val="single" w:color="auto" w:sz="4" w:space="0"/>
              <w:right w:val="single" w:color="auto" w:sz="4" w:space="0"/>
            </w:tcBorders>
            <w:noWrap w:val="0"/>
            <w:vAlign w:val="center"/>
          </w:tcPr>
          <w:p>
            <w:pPr>
              <w:jc w:val="left"/>
              <w:rPr>
                <w:rFonts w:hint="eastAsia" w:ascii="宋体" w:hAnsi="宋体" w:cs="宋体"/>
                <w:color w:val="000000"/>
                <w:kern w:val="0"/>
                <w:sz w:val="16"/>
                <w:szCs w:val="16"/>
                <w:lang w:val="en-US" w:eastAsia="zh-CN" w:bidi="ar-SA"/>
              </w:rPr>
            </w:pPr>
          </w:p>
        </w:tc>
        <w:tc>
          <w:tcPr>
            <w:tcW w:w="189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带动医院经济发展</w:t>
            </w:r>
          </w:p>
        </w:tc>
        <w:tc>
          <w:tcPr>
            <w:tcW w:w="567" w:type="dxa"/>
            <w:tcBorders>
              <w:top w:val="nil"/>
              <w:left w:val="nil"/>
              <w:bottom w:val="single" w:color="auto" w:sz="4" w:space="0"/>
              <w:right w:val="single" w:color="auto" w:sz="4" w:space="0"/>
            </w:tcBorders>
            <w:noWrap w:val="0"/>
            <w:vAlign w:val="center"/>
          </w:tcPr>
          <w:p>
            <w:pPr>
              <w:jc w:val="left"/>
              <w:rPr>
                <w:rFonts w:hint="eastAsia" w:ascii="宋体" w:hAnsi="宋体" w:cs="宋体"/>
                <w:color w:val="000000"/>
                <w:kern w:val="0"/>
                <w:sz w:val="16"/>
                <w:szCs w:val="16"/>
                <w:lang w:val="en-US" w:eastAsia="zh-CN" w:bidi="ar-SA"/>
              </w:rPr>
            </w:pP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lef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定性</w:t>
            </w:r>
          </w:p>
        </w:tc>
        <w:tc>
          <w:tcPr>
            <w:tcW w:w="992"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好</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1</w:t>
            </w:r>
          </w:p>
        </w:tc>
        <w:tc>
          <w:tcPr>
            <w:tcW w:w="709"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0</w:t>
            </w:r>
          </w:p>
        </w:tc>
        <w:tc>
          <w:tcPr>
            <w:tcW w:w="1043"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100</w:t>
            </w:r>
          </w:p>
        </w:tc>
        <w:tc>
          <w:tcPr>
            <w:tcW w:w="709"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30</w:t>
            </w:r>
          </w:p>
        </w:tc>
        <w:tc>
          <w:tcPr>
            <w:tcW w:w="799"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30</w:t>
            </w:r>
          </w:p>
        </w:tc>
        <w:tc>
          <w:tcPr>
            <w:tcW w:w="992" w:type="dxa"/>
            <w:tcBorders>
              <w:top w:val="nil"/>
              <w:left w:val="nil"/>
              <w:bottom w:val="single" w:color="auto" w:sz="4" w:space="0"/>
              <w:right w:val="single" w:color="auto" w:sz="4" w:space="0"/>
            </w:tcBorders>
            <w:noWrap w:val="0"/>
            <w:vAlign w:val="center"/>
          </w:tcPr>
          <w:p>
            <w:pPr>
              <w:jc w:val="left"/>
              <w:rPr>
                <w:rFonts w:hint="eastAsia" w:ascii="宋体" w:hAnsi="宋体" w:cs="宋体"/>
                <w:color w:val="000000"/>
                <w:kern w:val="0"/>
                <w:sz w:val="16"/>
                <w:szCs w:val="16"/>
                <w:lang w:val="en-US" w:eastAsia="zh-CN" w:bidi="ar-SA"/>
              </w:rPr>
            </w:pPr>
          </w:p>
        </w:tc>
        <w:tc>
          <w:tcPr>
            <w:tcW w:w="189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499" w:hRule="atLeast"/>
          <w:jc w:val="center"/>
        </w:trPr>
        <w:tc>
          <w:tcPr>
            <w:tcW w:w="1277"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提高医院患者满意度</w:t>
            </w:r>
          </w:p>
        </w:tc>
        <w:tc>
          <w:tcPr>
            <w:tcW w:w="567"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lef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w:t>
            </w:r>
          </w:p>
        </w:tc>
        <w:tc>
          <w:tcPr>
            <w:tcW w:w="850"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lef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w:t>
            </w:r>
          </w:p>
        </w:tc>
        <w:tc>
          <w:tcPr>
            <w:tcW w:w="992"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90</w:t>
            </w:r>
          </w:p>
        </w:tc>
        <w:tc>
          <w:tcPr>
            <w:tcW w:w="851"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90</w:t>
            </w:r>
          </w:p>
        </w:tc>
        <w:tc>
          <w:tcPr>
            <w:tcW w:w="709"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0</w:t>
            </w:r>
          </w:p>
        </w:tc>
        <w:tc>
          <w:tcPr>
            <w:tcW w:w="1043"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100</w:t>
            </w:r>
          </w:p>
        </w:tc>
        <w:tc>
          <w:tcPr>
            <w:tcW w:w="709"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10</w:t>
            </w:r>
          </w:p>
        </w:tc>
        <w:tc>
          <w:tcPr>
            <w:tcW w:w="799" w:type="dxa"/>
            <w:tcBorders>
              <w:top w:val="nil"/>
              <w:left w:val="nil"/>
              <w:bottom w:val="single" w:color="auto" w:sz="4" w:space="0"/>
              <w:right w:val="single" w:color="auto" w:sz="4" w:space="0"/>
            </w:tcBorders>
            <w:noWrap w:val="0"/>
            <w:vAlign w:val="center"/>
          </w:tcPr>
          <w:p>
            <w:pPr>
              <w:keepNext w:val="0"/>
              <w:keepLines w:val="0"/>
              <w:widowControl/>
              <w:suppressLineNumbers w:val="0"/>
              <w:ind w:firstLine="160" w:firstLineChars="100"/>
              <w:jc w:val="right"/>
              <w:textAlignment w:val="center"/>
              <w:rPr>
                <w:rFonts w:hint="eastAsia" w:ascii="宋体" w:hAnsi="宋体" w:cs="宋体"/>
                <w:color w:val="000000"/>
                <w:kern w:val="0"/>
                <w:sz w:val="16"/>
                <w:szCs w:val="16"/>
                <w:lang w:val="en-US" w:eastAsia="zh-CN" w:bidi="ar-SA"/>
              </w:rPr>
            </w:pPr>
            <w:r>
              <w:rPr>
                <w:rFonts w:hint="eastAsia" w:ascii="宋体" w:hAnsi="宋体" w:eastAsia="宋体" w:cs="宋体"/>
                <w:i w:val="0"/>
                <w:iCs w:val="0"/>
                <w:color w:val="000000"/>
                <w:kern w:val="0"/>
                <w:sz w:val="16"/>
                <w:szCs w:val="16"/>
                <w:u w:val="none"/>
                <w:lang w:val="en-US" w:eastAsia="zh-CN" w:bidi="ar"/>
              </w:rPr>
              <w:t>10</w:t>
            </w:r>
          </w:p>
        </w:tc>
        <w:tc>
          <w:tcPr>
            <w:tcW w:w="992" w:type="dxa"/>
            <w:tcBorders>
              <w:top w:val="nil"/>
              <w:left w:val="nil"/>
              <w:bottom w:val="single" w:color="auto" w:sz="4" w:space="0"/>
              <w:right w:val="single" w:color="auto" w:sz="4" w:space="0"/>
            </w:tcBorders>
            <w:noWrap w:val="0"/>
            <w:vAlign w:val="center"/>
          </w:tcPr>
          <w:p>
            <w:pPr>
              <w:jc w:val="left"/>
              <w:rPr>
                <w:rFonts w:hint="eastAsia" w:ascii="宋体" w:hAnsi="宋体" w:cs="宋体"/>
                <w:color w:val="000000"/>
                <w:kern w:val="0"/>
                <w:sz w:val="16"/>
                <w:szCs w:val="16"/>
                <w:lang w:val="en-US" w:eastAsia="zh-CN" w:bidi="ar-SA"/>
              </w:rPr>
            </w:pPr>
          </w:p>
        </w:tc>
        <w:tc>
          <w:tcPr>
            <w:tcW w:w="1894"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hAnsi="宋体" w:cs="宋体"/>
                <w:color w:val="000000"/>
                <w:kern w:val="0"/>
                <w:sz w:val="16"/>
                <w:szCs w:val="16"/>
              </w:rPr>
            </w:pPr>
            <w:r>
              <w:rPr>
                <w:rFonts w:hint="eastAsia" w:ascii="宋体" w:hAnsi="宋体" w:cs="宋体"/>
                <w:color w:val="000000"/>
                <w:kern w:val="0"/>
                <w:sz w:val="16"/>
                <w:szCs w:val="16"/>
              </w:rPr>
              <w:t>　</w:t>
            </w:r>
          </w:p>
        </w:tc>
      </w:tr>
    </w:tbl>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2．绩效自评报告或案例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我单位未委托第三方开展绩效自评。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3．关于绩效自评结果的说明</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我单位绩效自评均已完成年度绩效目标。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（三）重点绩效评价结果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我单位未委托第三方开展重点绩效评价。</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六、专有名词解释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（一）财政拨款收入：指本年度从本级财政部门取得的财政拨款，包括一般公共预算财政拨款和政府性基金预算财政拨款。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（二）事业收入：指事业单位开展专业业务活动及其辅助活动取得的现金流入；事业单位收到的财政专户实际核拨的教育收费等资金在此反映。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（三）经营收入：指事业单位在专业业务活动及其辅助活动之外开展非独立核算经营活动取得的现金流入。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（五）使用非财政拨款结余：指单位在当年的“财政拨款收入”、“事业收入”、“经营收入”、“其他收入”等不足以安排当年支出的情况下，使用以前年度积累的非财政拨款结余弥补本年度收支缺口的资金。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（六）年初结转和结余：指单位上年结转本年使用的基本支出结转、项目支出结转和结余、经营结余。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（七）结余分配：指单位按照国家有关规定，缴纳所得税、提取专用基金、转入非财政拨款结余等当年结余的分配情况。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（八）年末结转和结余：指单位结转下年的基本支出结转、项目支出结转和结余、经营结余。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（十一）经营支出：指事业单位在专业业务活动及其辅助活动之外开展非独立核算经营活动发生的支出。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二）“三公”经费：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三）机关运行经费：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（十四）工资福利支出（支出经济分类科目类级）：反映单位开支的在职职工和编制外长期聘用人员的各类劳动报酬，以及为上述人员缴纳的各项社会保险费等。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（十五）商品和服务支出（支出经济分类科目类级）：反映单位购买商品和服务的支出（不包括用于购置固定资产的支出、战略性和应急储备支出）。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（十六）对个人和家庭的补助（支出经济分类科目类级）：反映用于对个人和家庭的补助支出。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七、决算公开联系方式及信息反馈渠道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本单位决算公开信息反馈和联系方式：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曾媛      023-70608918</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方正仿宋_GBK" w:hAnsi="方正仿宋_GBK" w:eastAsia="方正仿宋_GBK" w:cs="方正仿宋_GBK"/>
          <w:sz w:val="32"/>
          <w:szCs w:val="32"/>
        </w:rPr>
      </w:pPr>
      <w:bookmarkStart w:id="0" w:name="_GoBack"/>
      <w:bookmarkEnd w:id="0"/>
    </w:p>
    <w:sectPr>
      <w:pgSz w:w="11906" w:h="16838"/>
      <w:pgMar w:top="1531" w:right="2098" w:bottom="1531"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YWMyYjk5NDkzODljYTkwZWExNDY1MzEzYzgzODMifQ=="/>
  </w:docVars>
  <w:rsids>
    <w:rsidRoot w:val="7DAF5F58"/>
    <w:rsid w:val="7DAF5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2023-09-18T12:11:00Z</dcterms:created>
  <dc:creator>15</dc:creator>
  <cp:lastModifiedBy>15</cp:lastModifiedBy>
  <dcterms:modified xsi:type="dcterms:W3CDTF">2023-09-18T12:12:28Z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3FCA1A385DFA407298FEFBD2A0DB2468_11</vt:lpwstr>
  </property>
</Properties>
</file>