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重大事故隐患专项排查整治2023行动进展情况月度调度表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：__________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时间：2023年   月 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80"/>
        <w:gridCol w:w="2782"/>
        <w:gridCol w:w="546"/>
        <w:gridCol w:w="421"/>
        <w:gridCol w:w="3081"/>
        <w:gridCol w:w="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执法检查发现的重大事故隐患（个）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执法检查发现重大事故隐患中已完成整改的（个）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挂牌督办的重大事故隐患（个）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挂牌督办重大事故隐患中已完成整改的（个）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对企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业自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查自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改进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行抽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查检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查情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况</w:t>
            </w: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抽查检查的企业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总数（家）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企业主要负责人未按要求亲自研究排查整治工作（家）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企业主要负责人未带队检查（家）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  <w:t>企业未制定全员安全生产责任制职责清单（家）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企业未依法建立安全管理机构和配足安全管理人员（家）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  <w:t>电焊等特种作业岗位人员无证上岗作业（家）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7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外包外租安全管理混乱（家）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  <w:lang w:val="en"/>
              </w:rPr>
              <w:t>8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24"/>
              </w:rPr>
              <w:t>未按规定开展应急演练（家）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精准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严格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1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约谈通报（次）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2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帮扶指导重点企业（家次）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3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行政处罚（次，万元）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4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企业和企业主要负责人“一案双罚”（次）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移送司法机关（人）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6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责令停产整顿（家）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7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曝光、联合惩戒企业（家）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8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公布典型执法案例（个），其中危险作业罪案例（个）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责任倒查追责问责（人）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1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lang w:val="en-US" w:eastAsia="zh-CN" w:bidi="ar"/>
              </w:rPr>
              <w:t>分管领导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lang w:bidi="ar"/>
              </w:rPr>
              <w:t>织专题学习安全生产十五条硬措施（次）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2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lang w:val="en-US" w:eastAsia="zh-CN" w:bidi="ar"/>
              </w:rPr>
              <w:t>分管领导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专题研究（次）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3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lang w:val="en-US" w:eastAsia="zh-CN" w:bidi="ar"/>
              </w:rPr>
              <w:t>站办所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现场督导检查（次）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4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lang w:val="en-US" w:eastAsia="zh-CN" w:bidi="ar"/>
              </w:rPr>
              <w:t>站办所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到企业宣讲（次）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2782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举报奖励（万元），其中匿名举报查实奖励（万元）</w:t>
            </w:r>
          </w:p>
        </w:tc>
        <w:tc>
          <w:tcPr>
            <w:tcW w:w="546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/>
              </w:rPr>
              <w:t>6</w:t>
            </w:r>
          </w:p>
        </w:tc>
        <w:tc>
          <w:tcPr>
            <w:tcW w:w="308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是否在市级主流媒体播放安全生产专题栏目</w:t>
            </w:r>
          </w:p>
        </w:tc>
        <w:tc>
          <w:tcPr>
            <w:tcW w:w="58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hint="eastAsia" w:ascii="Times New Roman" w:hAnsi="Times New Roman" w:eastAsia="方正书宋_GBK" w:cs="方正书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2" w:type="dxa"/>
            <w:gridSpan w:val="7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825" w:hanging="840" w:hangingChars="350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安委办对各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szCs w:val="24"/>
                <w:lang w:val="en-US" w:eastAsia="zh-CN"/>
              </w:rPr>
              <w:t>站办所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工作进展情况进行月度调度。调度表自6月份开始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，每月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日前上报截至上月末的累计情况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联系人：刘江    联系电话：15213737069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834" w:leftChars="148" w:hanging="360" w:hangingChars="150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2．调度表内容应围绕专项行动并对照方案具体要求如实填报，特别是对企业自查情况进行抽查检查时，要深挖细查，查出问题。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outlineLvl w:val="9"/>
              <w:rPr>
                <w:rFonts w:hint="eastAsia" w:ascii="Times New Roman" w:hAnsi="Times New Roman" w:eastAsia="方正书宋_GBK" w:cs="方正书宋_GBK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outlineLvl w:val="9"/>
      </w:pP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填报人：        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F147F"/>
    <w:rsid w:val="5E7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155"/>
      <w:outlineLvl w:val="0"/>
    </w:pPr>
    <w:rPr>
      <w:rFonts w:ascii="宋体" w:hAnsi="宋体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2023-12-21T07:27:00Z</dcterms:created>
  <dc:creator>Administrator</dc:creator>
  <cp:lastModifiedBy>Administrator</cp:lastModifiedBy>
  <dcterms:modified xsi:type="dcterms:W3CDTF">2023-12-21T07:28:16Z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1372BAF83682425080F32A9DF7DDA633</vt:lpwstr>
  </property>
</Properties>
</file>