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720"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丰都县兴义镇人民政府</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720"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2022年度部门决算报告</w:t>
      </w:r>
    </w:p>
    <w:p>
      <w:pPr>
        <w:pStyle w:val="17"/>
        <w:keepNext w:val="0"/>
        <w:keepLines w:val="0"/>
        <w:pageBreakBefore w:val="0"/>
        <w:widowControl/>
        <w:kinsoku/>
        <w:wordWrap/>
        <w:overflowPunct/>
        <w:topLinePunct w:val="0"/>
        <w:autoSpaceDE w:val="0"/>
        <w:autoSpaceDN/>
        <w:bidi w:val="0"/>
        <w:adjustRightInd/>
        <w:snapToGrid/>
        <w:spacing w:before="0" w:beforeAutospacing="0" w:afterAutospacing="0" w:line="720" w:lineRule="exact"/>
        <w:ind w:left="0" w:firstLine="640" w:firstLineChars="200"/>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 xml:space="preserve"> </w:t>
      </w:r>
    </w:p>
    <w:p>
      <w:pPr>
        <w:pStyle w:val="17"/>
        <w:autoSpaceDE w:val="0"/>
        <w:autoSpaceDN/>
        <w:spacing w:before="0" w:beforeAutospacing="0"/>
        <w:ind w:left="0" w:firstLine="640" w:firstLineChars="20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一、部门基本情况</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（一）职能职责。</w:t>
      </w:r>
      <w:r>
        <w:rPr>
          <w:rFonts w:hint="default" w:ascii="Times New Roman" w:hAnsi="Times New Roman" w:eastAsia="方正仿宋_GBK" w:cs="Times New Roman"/>
          <w:kern w:val="2"/>
          <w:sz w:val="32"/>
          <w:szCs w:val="32"/>
        </w:rPr>
        <w:t>贯彻执行党的路线方针政策和国家的法律法规、促进经济社会发展、加强社会管理和公共服务、维护社会和谐稳定。</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highlight w:val="yellow"/>
        </w:rPr>
      </w:pPr>
      <w:r>
        <w:rPr>
          <w:rFonts w:hint="default" w:ascii="Times New Roman" w:hAnsi="Times New Roman" w:eastAsia="方正楷体_GBK" w:cs="Times New Roman"/>
          <w:kern w:val="2"/>
          <w:sz w:val="32"/>
          <w:szCs w:val="32"/>
        </w:rPr>
        <w:t>（二）机构设置。</w:t>
      </w:r>
      <w:r>
        <w:rPr>
          <w:rFonts w:hint="default" w:ascii="Times New Roman" w:hAnsi="Times New Roman" w:eastAsia="方正仿宋_GBK" w:cs="Times New Roman"/>
          <w:kern w:val="2"/>
          <w:sz w:val="32"/>
          <w:szCs w:val="32"/>
        </w:rPr>
        <w:t>设置党政内设机构9个：党政办、党群工作办公室、</w:t>
      </w:r>
      <w:r>
        <w:rPr>
          <w:rFonts w:hint="eastAsia" w:ascii="Times New Roman" w:hAnsi="Times New Roman" w:eastAsia="方正仿宋_GBK" w:cs="Times New Roman"/>
          <w:kern w:val="2"/>
          <w:sz w:val="32"/>
          <w:szCs w:val="32"/>
          <w:lang w:eastAsia="zh-CN"/>
        </w:rPr>
        <w:t>人大常委会办公室</w:t>
      </w:r>
      <w:r>
        <w:rPr>
          <w:rFonts w:hint="default" w:ascii="Times New Roman" w:hAnsi="Times New Roman" w:eastAsia="方正仿宋_GBK" w:cs="Times New Roman"/>
          <w:kern w:val="2"/>
          <w:sz w:val="32"/>
          <w:szCs w:val="32"/>
        </w:rPr>
        <w:t>、经济发展办公室、民政和社区事务办公室、财政办公室、规划建设管理环保办公室、平安建设办公室、应急管理办公室。事业机构5个：农业服务中心、文化服务中心、劳动就业和社会保障服务所、退役军人服务站和综合行政执法大队。核定编制人数共82名，其中机关行政编制42名、机关后勤服务人员事业编制3名、事业编制73名。现有在职人员合计75人，其中行政39人（包括工勤2人），事业36人。</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（三）单位构成。</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本单位无纳入2022年度决算编制的二级预算单位。</w:t>
      </w:r>
    </w:p>
    <w:p>
      <w:pPr>
        <w:pStyle w:val="17"/>
        <w:autoSpaceDE w:val="0"/>
        <w:autoSpaceDN/>
        <w:spacing w:before="0" w:beforeAutospacing="0"/>
        <w:ind w:left="0" w:firstLine="640" w:firstLineChars="20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二、部门决算情况说明</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（一）收入支出决算总体情况说明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1.总体情况。2022年度收入总计6,991.51万元，支出总计6,991.51万元。收支较上年决算数减少301.09万元,下降4.1%，主要原因是本年上级专款比上年度减少。</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收入情况。2022年度收入合计5,071.60万元，较上年决算数减少2,221.00万元，下降30.5%，主要原因是本年上级专款比上年度减少。其中：财政拨款收入5,071.60万元，占100%。此外，使用非财政拨款结余0.00万元，年初结转和结余1,919.91万元。</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2"/>
          <w:sz w:val="32"/>
          <w:szCs w:val="32"/>
        </w:rPr>
        <w:t>3.支出情况</w:t>
      </w:r>
      <w:r>
        <w:rPr>
          <w:rStyle w:val="19"/>
          <w:rFonts w:hint="default" w:ascii="Times New Roman" w:hAnsi="Times New Roman" w:eastAsia="宋体" w:cs="Times New Roman"/>
          <w:b/>
          <w:bCs w:val="0"/>
          <w:shd w:val="clear" w:fill="FFFFFF"/>
        </w:rPr>
        <w:t>。</w:t>
      </w:r>
      <w:r>
        <w:rPr>
          <w:rFonts w:hint="default" w:ascii="Times New Roman" w:hAnsi="Times New Roman" w:eastAsia="方正仿宋_GBK" w:cs="Times New Roman"/>
          <w:kern w:val="2"/>
          <w:sz w:val="32"/>
          <w:szCs w:val="32"/>
        </w:rPr>
        <w:t>2022年度支出合计5,922.64万元，较上年决算增加230.86万元，增长4.1%，主要原因是年中人员变动和专项工作经费增加。其中：基本支出2,688.32万元，占45.4%；项目支出3,234.32万元，占54.6%；此外，结余分配0.00万元。</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4.结转结余情况。2022年度年末结转和结余1,068.87万元，较上年决算数减少531.95万元，下降33.2%，主要原因是上年度的项目结转在本年度未支付完。</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（二）财政拨款收入支出决算总体情况说明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2022年度财政拨款收、支总计6,991.51万元。与2021年相比，财政拨款收、支总计各减少301.09万元，下降4.1%。主要原因是本年上级专款比上年度减少。</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（三）一般公共预算财政拨款收入支出决算情况说明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1.收入情况。2022年度一般公共预算财政拨款收入4,221.49万元，较上年决算数增加402.68万元，增长10.5%。主要原因是增加了上级专项经费，如“防汛抗旱”、“农村</w:t>
      </w:r>
      <w:r>
        <w:rPr>
          <w:rFonts w:hint="eastAsia" w:ascii="Times New Roman" w:hAnsi="Times New Roman" w:eastAsia="方正仿宋_GBK" w:cs="Times New Roman"/>
          <w:kern w:val="2"/>
          <w:sz w:val="32"/>
          <w:szCs w:val="32"/>
          <w:lang w:eastAsia="zh-CN"/>
        </w:rPr>
        <w:t>人畜饮水</w:t>
      </w:r>
      <w:r>
        <w:rPr>
          <w:rFonts w:hint="default" w:ascii="Times New Roman" w:hAnsi="Times New Roman" w:eastAsia="方正仿宋_GBK" w:cs="Times New Roman"/>
          <w:kern w:val="2"/>
          <w:sz w:val="32"/>
          <w:szCs w:val="32"/>
        </w:rPr>
        <w:t>”等专项工作经费以及基础设施项目建设数量的增加</w:t>
      </w:r>
      <w:r>
        <w:rPr>
          <w:rFonts w:hint="default" w:ascii="Times New Roman" w:hAnsi="Times New Roman" w:eastAsia="宋体" w:cs="Times New Roman"/>
          <w:kern w:val="0"/>
          <w:sz w:val="24"/>
          <w:szCs w:val="24"/>
          <w:shd w:val="clear" w:fill="FFFFFF"/>
        </w:rPr>
        <w:t>。</w:t>
      </w:r>
      <w:r>
        <w:rPr>
          <w:rFonts w:hint="default" w:ascii="Times New Roman" w:hAnsi="Times New Roman" w:eastAsia="方正仿宋_GBK" w:cs="Times New Roman"/>
          <w:kern w:val="2"/>
          <w:sz w:val="32"/>
          <w:szCs w:val="32"/>
        </w:rPr>
        <w:t>较年初预算数增加1,864.50万元，增长79.1%。主要原因是增加了上级专项经费，如“防汛抗旱”、“农村</w:t>
      </w:r>
      <w:r>
        <w:rPr>
          <w:rFonts w:hint="eastAsia" w:ascii="Times New Roman" w:hAnsi="Times New Roman" w:eastAsia="方正仿宋_GBK" w:cs="Times New Roman"/>
          <w:kern w:val="2"/>
          <w:sz w:val="32"/>
          <w:szCs w:val="32"/>
          <w:lang w:eastAsia="zh-CN"/>
        </w:rPr>
        <w:t>人畜饮水</w:t>
      </w:r>
      <w:r>
        <w:rPr>
          <w:rFonts w:hint="default" w:ascii="Times New Roman" w:hAnsi="Times New Roman" w:eastAsia="方正仿宋_GBK" w:cs="Times New Roman"/>
          <w:kern w:val="2"/>
          <w:sz w:val="32"/>
          <w:szCs w:val="32"/>
        </w:rPr>
        <w:t>”等专项工作经费以及基础设施项目建设数量的增加。此外，年初财政拨款结转和结余319.09万元。</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2"/>
          <w:sz w:val="32"/>
          <w:szCs w:val="32"/>
        </w:rPr>
        <w:t>2.支出情况。2022年度一般公共预算财政拨款支出4,468.58万元，较上年决算数增加649.77万元，增长17%。主要原因是</w:t>
      </w:r>
      <w:bookmarkStart w:id="0" w:name="_GoBack"/>
      <w:bookmarkEnd w:id="0"/>
      <w:r>
        <w:rPr>
          <w:rFonts w:hint="default" w:ascii="Times New Roman" w:hAnsi="Times New Roman" w:eastAsia="方正仿宋_GBK" w:cs="Times New Roman"/>
          <w:kern w:val="2"/>
          <w:sz w:val="32"/>
          <w:szCs w:val="32"/>
        </w:rPr>
        <w:t>增加了上级专项经费，如“防汛抗旱”、“农村</w:t>
      </w:r>
      <w:r>
        <w:rPr>
          <w:rFonts w:hint="eastAsia" w:ascii="Times New Roman" w:hAnsi="Times New Roman" w:eastAsia="方正仿宋_GBK" w:cs="Times New Roman"/>
          <w:kern w:val="2"/>
          <w:sz w:val="32"/>
          <w:szCs w:val="32"/>
          <w:lang w:eastAsia="zh-CN"/>
        </w:rPr>
        <w:t>人畜饮水</w:t>
      </w:r>
      <w:r>
        <w:rPr>
          <w:rFonts w:hint="default" w:ascii="Times New Roman" w:hAnsi="Times New Roman" w:eastAsia="方正仿宋_GBK" w:cs="Times New Roman"/>
          <w:kern w:val="2"/>
          <w:sz w:val="32"/>
          <w:szCs w:val="32"/>
        </w:rPr>
        <w:t>”等专项工作经费以及基础设施项目建设数量的增加；二是上年度的项目在本年度支付</w:t>
      </w:r>
      <w:r>
        <w:rPr>
          <w:rFonts w:hint="default" w:ascii="Times New Roman" w:hAnsi="Times New Roman" w:eastAsia="宋体" w:cs="Times New Roman"/>
          <w:kern w:val="0"/>
          <w:sz w:val="24"/>
          <w:szCs w:val="24"/>
          <w:shd w:val="clear" w:fill="FFFFFF"/>
        </w:rPr>
        <w:t>。</w:t>
      </w:r>
      <w:r>
        <w:rPr>
          <w:rFonts w:hint="default" w:ascii="Times New Roman" w:hAnsi="Times New Roman" w:eastAsia="方正仿宋_GBK" w:cs="Times New Roman"/>
          <w:kern w:val="2"/>
          <w:sz w:val="32"/>
          <w:szCs w:val="32"/>
        </w:rPr>
        <w:t>较年初预算数增加2,111.59万元，增长89.6%。主要原因是增加了上级专项经费，如“防汛抗旱”、“农村</w:t>
      </w:r>
      <w:r>
        <w:rPr>
          <w:rFonts w:hint="eastAsia" w:ascii="Times New Roman" w:hAnsi="Times New Roman" w:eastAsia="方正仿宋_GBK" w:cs="Times New Roman"/>
          <w:kern w:val="2"/>
          <w:sz w:val="32"/>
          <w:szCs w:val="32"/>
          <w:lang w:eastAsia="zh-CN"/>
        </w:rPr>
        <w:t>人畜饮水</w:t>
      </w:r>
      <w:r>
        <w:rPr>
          <w:rFonts w:hint="default" w:ascii="Times New Roman" w:hAnsi="Times New Roman" w:eastAsia="方正仿宋_GBK" w:cs="Times New Roman"/>
          <w:kern w:val="2"/>
          <w:sz w:val="32"/>
          <w:szCs w:val="32"/>
        </w:rPr>
        <w:t>”等专项工作经费以及基础设施项目建设数量的增加</w:t>
      </w:r>
      <w:r>
        <w:rPr>
          <w:rFonts w:hint="default" w:ascii="Times New Roman" w:hAnsi="Times New Roman" w:eastAsia="宋体" w:cs="Times New Roman"/>
          <w:kern w:val="0"/>
          <w:sz w:val="24"/>
          <w:szCs w:val="24"/>
          <w:shd w:val="clear" w:fill="FFFFFF"/>
        </w:rPr>
        <w:t>。</w:t>
      </w:r>
    </w:p>
    <w:p>
      <w:pPr>
        <w:pStyle w:val="17"/>
        <w:autoSpaceDE w:val="0"/>
        <w:autoSpaceDN/>
        <w:spacing w:before="0" w:beforeAutospacing="0"/>
        <w:ind w:left="0" w:firstLine="64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kern w:val="2"/>
          <w:sz w:val="32"/>
          <w:szCs w:val="32"/>
        </w:rPr>
        <w:t>3.结转结余情况。2022年度年末一般公共预算财政拨款结转和结余72.00万元，较上年决算数增加72.00万元。</w:t>
      </w:r>
      <w:r>
        <w:rPr>
          <w:rFonts w:hint="default" w:ascii="Times New Roman" w:hAnsi="Times New Roman" w:eastAsia="方正仿宋_GBK" w:cs="Times New Roman"/>
          <w:color w:val="000000"/>
          <w:kern w:val="2"/>
          <w:sz w:val="32"/>
          <w:szCs w:val="32"/>
        </w:rPr>
        <w:t>主要原因是</w:t>
      </w:r>
      <w:r>
        <w:rPr>
          <w:rFonts w:hint="default" w:ascii="Times New Roman" w:hAnsi="Times New Roman" w:eastAsia="方正仿宋_GBK" w:cs="Times New Roman"/>
          <w:kern w:val="2"/>
          <w:sz w:val="32"/>
          <w:szCs w:val="32"/>
        </w:rPr>
        <w:t>本年度松材线虫项目上级专款未支付</w:t>
      </w:r>
      <w:r>
        <w:rPr>
          <w:rFonts w:hint="default" w:ascii="Times New Roman" w:hAnsi="Times New Roman" w:eastAsia="方正仿宋_GBK" w:cs="Times New Roman"/>
          <w:color w:val="000000"/>
          <w:kern w:val="2"/>
          <w:sz w:val="32"/>
          <w:szCs w:val="32"/>
        </w:rPr>
        <w:t>。</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2"/>
          <w:sz w:val="32"/>
          <w:szCs w:val="32"/>
        </w:rPr>
        <w:t>4.比较情况。本部门2022年度一般公共预算财政拨款支出主要用于以下几个方面：</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2"/>
          <w:sz w:val="32"/>
          <w:szCs w:val="32"/>
        </w:rPr>
        <w:t>（1）一般公共服务支出1,139.74万元，占25.5%，较年初预算数增加190.17万元，增长20%，主要原因是</w:t>
      </w:r>
      <w:r>
        <w:rPr>
          <w:rFonts w:hint="default" w:ascii="Times New Roman" w:hAnsi="Times New Roman" w:eastAsia="方正仿宋_GBK" w:cs="Times New Roman"/>
          <w:kern w:val="0"/>
          <w:sz w:val="32"/>
          <w:szCs w:val="32"/>
          <w:shd w:val="clear" w:fill="FFFFFF"/>
        </w:rPr>
        <w:t>人员变动。</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（2）公共安全支出4.34万元，占0.1%，较年初预算数增加4.34万元，</w:t>
      </w:r>
      <w:r>
        <w:rPr>
          <w:rFonts w:hint="default" w:ascii="Times New Roman" w:hAnsi="Times New Roman" w:eastAsia="方正仿宋_GBK" w:cs="Times New Roman"/>
          <w:kern w:val="2"/>
          <w:sz w:val="32"/>
          <w:szCs w:val="32"/>
        </w:rPr>
        <w:t>增长0.00%，</w:t>
      </w:r>
      <w:r>
        <w:rPr>
          <w:rFonts w:hint="default" w:ascii="Times New Roman" w:hAnsi="Times New Roman" w:eastAsia="方正仿宋_GBK" w:cs="Times New Roman"/>
          <w:kern w:val="0"/>
          <w:sz w:val="32"/>
          <w:szCs w:val="32"/>
          <w:shd w:val="clear" w:fill="FFFFFF"/>
        </w:rPr>
        <w:t xml:space="preserve">主要原因是专项工作经费增加，如：“流动人口协管员工作经费”。 </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（3）文化旅游体育与传媒支出95.92万元，占2.1%，较年初预算数增加45.03万元，增长88.5%，主要原因是增加了年初项目预算的文化体育类支出。</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社会保障与就业支出526.22万元，占11.8%，较年初预算数增加83.20万元，增长18.8%，主要原因是专项工作经费增加，如：“社区养老服务中心建设资金”、“残疾人基本服务状况和需求动态更新调查补助”等项目。</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（5）卫生健康支出114.06万元，占2.6%，较年初预算数增加22.75万元，增长24.9%，主要原因是专项工作经费增加，如：“新冠疫情防控工作经费”。</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（6）城乡社区支出188.46万元，占4.2%，较年初预算数增加76.02万元，增长67.6%，主要原因是专项工作经费增加，如：“场镇升级改造项目”。</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（7）农林水支出1,729.91万元，占38.7%，较年初预算数增加1,110.77万元，增长179.4%，主要原因是专项工作经费增加，如：“ 病虫害控制”、“ 农产品质量安全”“防灾救灾”、“农业生产发展”、“国土绿化提升行动资金”“  农村安全饮水项目”、“ 农村基础设施建设”等。</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（8）交通运输支出527.07万元，占11.8%，较年初预算数增加527.07万元，增长100%，主要原因是专项工作经费增加，如：“农村公路畅通工程”、“2021年兴义镇四好路工程款”等。</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（9）住房保障支出124.87万元，占2.8%，较年初预算数增加42.26万元，增长51.2%，主要原因是年中人员变动。</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（10）灾害防治及应急管理支出18.00万元，占0.4%，较年初预算数增加18.00万元，增长100%，主要原因是专项工作经费增加，如：“村社区防灾减灾专项工作经费”、“疫情防控经费”等。</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（四）一般公共预算财政拨款基本支出决算情况说明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年度一般公共预算财政拨款基本支出2,688.32万元。其中：人员经费2,165.75万元，较上年决算数增加141.05万元，增长7%，主要原因是人员的变动。人员经费用途主要包括基本工资、津贴补贴、奖金、社会保障缴费、其他工资福利待遇、对个人和家庭的补助等费用。公用经费522.57万元，较上年决算数减少183.67万元，下降26%，主要原因是三公经费以及办公经费的同比减少。公用经费用途主要包括办公费、邮电费、差旅费、会议费、培训费、公务接待费、公务车辆运行维护费、其他商品和服务支出等费用。</w:t>
      </w:r>
    </w:p>
    <w:p>
      <w:pPr>
        <w:pStyle w:val="17"/>
        <w:autoSpaceDE w:val="0"/>
        <w:autoSpaceDN/>
        <w:spacing w:before="0" w:beforeAutospacing="0"/>
        <w:ind w:left="0" w:firstLine="640" w:firstLineChars="200"/>
        <w:rPr>
          <w:rFonts w:hint="default" w:ascii="Times New Roman" w:hAnsi="Times New Roman" w:eastAsia="方正楷体_GBK" w:cs="Times New Roman"/>
          <w:kern w:val="0"/>
          <w:sz w:val="32"/>
          <w:szCs w:val="32"/>
        </w:rPr>
      </w:pPr>
      <w:r>
        <w:rPr>
          <w:rStyle w:val="19"/>
          <w:rFonts w:hint="default" w:ascii="Times New Roman" w:hAnsi="Times New Roman" w:eastAsia="方正楷体_GBK" w:cs="Times New Roman"/>
          <w:b/>
          <w:bCs w:val="0"/>
          <w:sz w:val="32"/>
          <w:szCs w:val="32"/>
          <w:shd w:val="clear" w:fill="FFFFFF"/>
        </w:rPr>
        <w:t>（五）政府性基金预算收支决算情况说明。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年度政府性基金预算财政拨款年初结转结余1,600.82万元，年末结转结余996.87万元。本年收入850.10万元，较上年决算数减少2,623.69万元，下降75.5%，主要原因是本年度上级专项资金比上年度减少，如：“三峡移民后续扶持项目”、“其他国有土地使用权出让收入安排的支出”减少。本年支出1,454.05万元，较上年决算数减少418.92万元，下降22.4%，主要原因是本年度上级专项资金比上年度减少。如：“三峡移民后续扶持项目”、“其他国有土地使用权出让收入安排的支出”减少。</w:t>
      </w:r>
    </w:p>
    <w:p>
      <w:pPr>
        <w:pStyle w:val="17"/>
        <w:autoSpaceDE w:val="0"/>
        <w:autoSpaceDN/>
        <w:spacing w:before="0" w:beforeAutospacing="0"/>
        <w:ind w:left="0" w:firstLine="640" w:firstLineChars="200"/>
        <w:rPr>
          <w:rFonts w:hint="default" w:ascii="Times New Roman" w:hAnsi="Times New Roman" w:eastAsia="方正楷体_GBK" w:cs="Times New Roman"/>
          <w:kern w:val="0"/>
          <w:sz w:val="32"/>
          <w:szCs w:val="32"/>
        </w:rPr>
      </w:pPr>
      <w:r>
        <w:rPr>
          <w:rStyle w:val="19"/>
          <w:rFonts w:hint="default" w:ascii="Times New Roman" w:hAnsi="Times New Roman" w:eastAsia="方正楷体_GBK" w:cs="Times New Roman"/>
          <w:b/>
          <w:bCs w:val="0"/>
          <w:sz w:val="32"/>
          <w:szCs w:val="32"/>
          <w:shd w:val="clear" w:fill="FFFFFF"/>
        </w:rPr>
        <w:t>（六）国有资本经营预算财政拨款支出决算情况说明。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本部门2022年度无国有资本经营预算财政拨款支出。</w:t>
      </w:r>
    </w:p>
    <w:p>
      <w:pPr>
        <w:pStyle w:val="17"/>
        <w:autoSpaceDE w:val="0"/>
        <w:autoSpaceDN/>
        <w:spacing w:before="0" w:beforeAutospacing="0"/>
        <w:ind w:left="0" w:firstLine="640" w:firstLineChars="20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三、“三公”经费情况说明</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（一）“三公”经费支出总体情况说明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年度“三公”经费支出共计14.14万元，较年初预算数减少27.06万元，下降65.7%，主要原因是认真贯彻落实中央八项规定精神和厉行节约要求。较上年支出数减少5.51万元，下降28%，主要原因是认真贯彻落实中央八项规定精神和厉行节约要求。</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（二）“三公”经费分项支出情况</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2022年度本部门因公出国（境）费用0.00万元，本单位2022年度未发生因公出国（境）支出，与上年持平。</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公务车购置费0.00万元，本单位2022年度未发生公务车购置费，与上年持平。</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公务车运行维护费13.03万元，主要用于因公出行、项目检查等工作所需车辆产生的公务用车燃料费、维修费、过路过桥费、保险费等。费用支出较年初预算数减少10.97万元，下降45.7%，主要原因是严格控制公务车使用。较上年支出数减少3.80万元，下降22.6%，主要原因是严格控制公务车使用。</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公务接待费1.11万元，主要用于接待上级部门检查工作、招商引资等发生的公务接待费。费用支出较年初预算数减少16.09万元，下降93.5%，主要原因是认真贯彻落实中央八项规定精神和厉行节约要求。较上年支出数减少1.71万元，下降60.6%，主要原因是认真贯彻落实中央八项规定精神和厉行节约要求。</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（三）“三公”经费实物量情况</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年度本部门因公出国（境）共计0个团组，0人；公务用车购置0辆，公务车保有量为6辆；国内公务接待36批次200人，其中：国内外事接待0批次，0人；国（境）外公务接待0批次，0人。2022年本部门人均接待费55.27元，车均购置费0.00万元，车均维护费2.17万元。</w:t>
      </w:r>
    </w:p>
    <w:p>
      <w:pPr>
        <w:pStyle w:val="17"/>
        <w:autoSpaceDE w:val="0"/>
        <w:autoSpaceDN/>
        <w:spacing w:before="0" w:beforeAutospacing="0"/>
        <w:ind w:left="0" w:firstLine="640" w:firstLineChars="20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四、其他需要说明的事项</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（一）财政拨款会议费和培训费情况说明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年度会议费支出4.00万元，较上年决算数减少12.55万元，下降75.8%，主要原因是2021年为县乡人大换届年，因此2021年会议费比2022年多。本年度培训费支出0.44万元，较上年决算数减少1.90万元，下降81.2%，主要原因是去年的培训费是上级部门安排的，但本年度上级部门未安排专项培训。</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（二）机关运行经费支出情况说明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2022年度本部门机关运行经费支出375.37万元，</w:t>
      </w:r>
      <w:r>
        <w:rPr>
          <w:rFonts w:hint="eastAsia" w:ascii="Times New Roman" w:hAnsi="Times New Roman" w:eastAsia="方正仿宋_GBK" w:cs="Times New Roman"/>
          <w:kern w:val="0"/>
          <w:sz w:val="32"/>
          <w:szCs w:val="32"/>
          <w:shd w:val="clear" w:fill="FFFFFF"/>
          <w:lang w:eastAsia="zh-CN"/>
        </w:rPr>
        <w:t>主要用于开支</w:t>
      </w:r>
      <w:r>
        <w:rPr>
          <w:rFonts w:hint="default" w:ascii="Times New Roman" w:hAnsi="Times New Roman" w:eastAsia="方正仿宋_GBK" w:cs="Times New Roman"/>
          <w:kern w:val="0"/>
          <w:sz w:val="32"/>
          <w:szCs w:val="32"/>
          <w:shd w:val="clear" w:fill="FFFFFF"/>
        </w:rPr>
        <w:t>行政单位的办公费、印刷费、手续费、日常维护费、水电费、物管费、邮电费、差旅费、租赁费、公务用车运行维护等。机关运行经费较上年决算数减少76.76万元，下降17%，主要原因是压减支出。</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（三）国有资产占用情况说明</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截至2022年12月31日，本部门共有车辆8辆，其中，副部（省）级及以上领导用车0辆、主要领导干部用车0辆、机要通信用车1辆、应急保障用车2辆、执法执勤用车0辆，特种专业技术用车5辆，离退休干部用车0辆，其他用车0辆，单价100万元（含）以上设备（不含车辆）0台（套）。</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（四）政府采购支出说明</w:t>
      </w:r>
    </w:p>
    <w:p>
      <w:pPr>
        <w:pStyle w:val="17"/>
        <w:autoSpaceDE w:val="0"/>
        <w:autoSpaceDN/>
        <w:spacing w:before="0" w:beforeAutospacing="0"/>
        <w:ind w:left="0"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fill="FFFFFF"/>
        </w:rPr>
        <w:t>2022年度我单位未发生政府采购事项，无相关经费支出。</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五、预算绩效管理情况说明</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2"/>
          <w:sz w:val="32"/>
          <w:szCs w:val="32"/>
        </w:rPr>
        <w:t>（一）预算绩效管理工作开展情况</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根据预算绩效管理要求，本单位对部门整体和116个项目开展了绩效自评，其中，以填报自评表形式开展自评116项，涉及资金4105.51万元。从评价情况来看，有关项目预算执行及时、有效，绩效目标得到较好的实现，绩效管理水平不断提高，绩效指标体系不断完善，2022年财政预算安排116个项目，评价等级均为优等级，已达到预期绩效目标。</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（二）绩效自评结果。</w:t>
      </w:r>
    </w:p>
    <w:p>
      <w:pPr>
        <w:pStyle w:val="17"/>
        <w:autoSpaceDE w:val="0"/>
        <w:autoSpaceDN/>
        <w:spacing w:before="0" w:beforeAutospacing="0"/>
        <w:ind w:left="0" w:firstLine="640" w:firstLineChars="200"/>
        <w:rPr>
          <w:rFonts w:hint="default" w:ascii="Times New Roman" w:hAnsi="Times New Roman" w:eastAsia="方正楷体_GBK" w:cs="Times New Roman"/>
          <w:kern w:val="0"/>
          <w:sz w:val="28"/>
          <w:szCs w:val="28"/>
        </w:rPr>
      </w:pPr>
      <w:r>
        <w:rPr>
          <w:rFonts w:hint="default" w:ascii="Times New Roman" w:hAnsi="Times New Roman" w:eastAsia="方正仿宋_GBK" w:cs="Times New Roman"/>
          <w:kern w:val="2"/>
          <w:sz w:val="32"/>
          <w:szCs w:val="32"/>
        </w:rPr>
        <w:t>1.绩效目标自评表。</w:t>
      </w:r>
    </w:p>
    <w:tbl>
      <w:tblPr>
        <w:tblStyle w:val="10"/>
        <w:tblW w:w="11084" w:type="dxa"/>
        <w:tblInd w:w="-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7"/>
        <w:gridCol w:w="676"/>
        <w:gridCol w:w="850"/>
        <w:gridCol w:w="1016"/>
        <w:gridCol w:w="1256"/>
        <w:gridCol w:w="862"/>
        <w:gridCol w:w="1043"/>
        <w:gridCol w:w="709"/>
        <w:gridCol w:w="799"/>
        <w:gridCol w:w="992"/>
        <w:gridCol w:w="902"/>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08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微软雅黑" w:cs="Times New Roman"/>
                <w:b/>
                <w:bCs/>
                <w:color w:val="000000"/>
                <w:kern w:val="0"/>
                <w:sz w:val="36"/>
                <w:szCs w:val="36"/>
              </w:rPr>
            </w:pPr>
            <w:r>
              <w:rPr>
                <w:rFonts w:hint="default" w:ascii="Times New Roman" w:hAnsi="Times New Roman" w:eastAsia="微软雅黑" w:cs="Times New Roman"/>
                <w:b/>
                <w:bCs/>
                <w:color w:val="000000"/>
                <w:kern w:val="0"/>
                <w:sz w:val="32"/>
                <w:szCs w:val="32"/>
              </w:rPr>
              <w:t>2022年度部门整体绩效自评表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项目名称：</w:t>
            </w:r>
          </w:p>
        </w:tc>
        <w:tc>
          <w:tcPr>
            <w:tcW w:w="152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渝财建【2021】83号关于下达车辆购置税收入补助地方资金预算（第一批）资金（2020年“四好农村路”）</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项目编码：</w:t>
            </w:r>
          </w:p>
        </w:tc>
        <w:tc>
          <w:tcPr>
            <w:tcW w:w="211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50023023T000002816045</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自评总分：</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91.5</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项目主管部门：</w:t>
            </w:r>
          </w:p>
        </w:tc>
        <w:tc>
          <w:tcPr>
            <w:tcW w:w="152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918-丰都县兴义镇</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财政归口处室：</w:t>
            </w:r>
          </w:p>
        </w:tc>
        <w:tc>
          <w:tcPr>
            <w:tcW w:w="211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007-基财科</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right="483"/>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部门</w:t>
            </w:r>
          </w:p>
          <w:p>
            <w:pPr>
              <w:keepNext w:val="0"/>
              <w:keepLines w:val="0"/>
              <w:widowControl/>
              <w:suppressLineNumbers w:val="0"/>
              <w:spacing w:line="240" w:lineRule="atLeast"/>
              <w:ind w:right="161"/>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谭国权</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right="181"/>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联系</w:t>
            </w:r>
          </w:p>
          <w:p>
            <w:pPr>
              <w:keepNext w:val="0"/>
              <w:keepLines w:val="0"/>
              <w:widowControl/>
              <w:suppressLineNumbers w:val="0"/>
              <w:spacing w:line="240" w:lineRule="atLeast"/>
              <w:ind w:right="181"/>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电话</w:t>
            </w: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15826273526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1108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 w:val="18"/>
                <w:szCs w:val="18"/>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trPr>
        <w:tc>
          <w:tcPr>
            <w:tcW w:w="19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186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right="724"/>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年初预算数</w:t>
            </w:r>
          </w:p>
        </w:tc>
        <w:tc>
          <w:tcPr>
            <w:tcW w:w="211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全年（调整）</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预算数</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right="161"/>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全年执行数</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right="322"/>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执行率</w:t>
            </w:r>
          </w:p>
        </w:tc>
        <w:tc>
          <w:tcPr>
            <w:tcW w:w="9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执行率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权重</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执行率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9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年度总金额</w:t>
            </w:r>
          </w:p>
        </w:tc>
        <w:tc>
          <w:tcPr>
            <w:tcW w:w="186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w:t>
            </w:r>
          </w:p>
        </w:tc>
        <w:tc>
          <w:tcPr>
            <w:tcW w:w="211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300000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45800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w:t>
            </w:r>
          </w:p>
        </w:tc>
        <w:tc>
          <w:tcPr>
            <w:tcW w:w="9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其中：财政拨款</w:t>
            </w:r>
          </w:p>
        </w:tc>
        <w:tc>
          <w:tcPr>
            <w:tcW w:w="186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w:t>
            </w:r>
          </w:p>
        </w:tc>
        <w:tc>
          <w:tcPr>
            <w:tcW w:w="211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300000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45800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15　</w:t>
            </w:r>
          </w:p>
        </w:tc>
        <w:tc>
          <w:tcPr>
            <w:tcW w:w="9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10　</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1108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 w:val="24"/>
                <w:szCs w:val="24"/>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年初绩效目标</w:t>
            </w:r>
          </w:p>
        </w:tc>
        <w:tc>
          <w:tcPr>
            <w:tcW w:w="3870"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全年（调整）绩效目标</w:t>
            </w:r>
          </w:p>
        </w:tc>
        <w:tc>
          <w:tcPr>
            <w:tcW w:w="3395"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81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w:t>
            </w:r>
          </w:p>
        </w:tc>
        <w:tc>
          <w:tcPr>
            <w:tcW w:w="387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渝财建【2021】83号关于下达车辆购置税收入补助地方资金预算（第一批）资金（2020年“四好农村路”）全镇共14条，11.466公里</w:t>
            </w:r>
          </w:p>
        </w:tc>
        <w:tc>
          <w:tcPr>
            <w:tcW w:w="3395"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108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 w:val="24"/>
                <w:szCs w:val="24"/>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名称</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计量单位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性质</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指标值</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全年完成值</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偏离度（%）</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得分系数（%）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权重</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得分</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是否核心指标</w:t>
            </w: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建设公路里程</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公里</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10.776</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10.776</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20</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20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验收合格率</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20</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20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完成时间</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年</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总投入</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万元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467.982</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388.397358</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改善相关村的交通问题</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定性</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有效改善</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全部完成</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20</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20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群众满意度</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95</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98</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1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12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10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7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p>
        </w:tc>
        <w:tc>
          <w:tcPr>
            <w:tcW w:w="16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color w:val="000000"/>
                <w:kern w:val="0"/>
                <w:sz w:val="16"/>
                <w:szCs w:val="16"/>
              </w:rPr>
            </w:pPr>
          </w:p>
        </w:tc>
      </w:tr>
    </w:tbl>
    <w:p>
      <w:pPr>
        <w:pStyle w:val="17"/>
        <w:autoSpaceDE w:val="0"/>
        <w:autoSpaceDN/>
        <w:spacing w:before="0" w:beforeAutospacing="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 xml:space="preserve"> </w:t>
      </w:r>
    </w:p>
    <w:tbl>
      <w:tblPr>
        <w:tblStyle w:val="10"/>
        <w:tblW w:w="10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0"/>
        <w:gridCol w:w="541"/>
        <w:gridCol w:w="804"/>
        <w:gridCol w:w="935"/>
        <w:gridCol w:w="1293"/>
        <w:gridCol w:w="1080"/>
        <w:gridCol w:w="1119"/>
        <w:gridCol w:w="537"/>
        <w:gridCol w:w="756"/>
        <w:gridCol w:w="935"/>
        <w:gridCol w:w="85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1098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微软雅黑" w:cs="Times New Roman"/>
                <w:b/>
                <w:bCs/>
                <w:color w:val="000000"/>
                <w:kern w:val="0"/>
                <w:sz w:val="36"/>
                <w:szCs w:val="36"/>
              </w:rPr>
            </w:pPr>
            <w:r>
              <w:rPr>
                <w:rFonts w:hint="default" w:ascii="Times New Roman" w:hAnsi="Times New Roman" w:eastAsia="微软雅黑" w:cs="Times New Roman"/>
                <w:b/>
                <w:bCs/>
                <w:color w:val="000000"/>
                <w:kern w:val="0"/>
                <w:sz w:val="32"/>
                <w:szCs w:val="32"/>
              </w:rPr>
              <w:t>2022年度项目绩效自评表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项目名称：</w:t>
            </w:r>
          </w:p>
        </w:tc>
        <w:tc>
          <w:tcPr>
            <w:tcW w:w="1345"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丰都县水利局2022年度抗旱油电补助</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项目编码：</w:t>
            </w:r>
          </w:p>
        </w:tc>
        <w:tc>
          <w:tcPr>
            <w:tcW w:w="237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50023023T000003164331</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自评总分：</w:t>
            </w:r>
          </w:p>
        </w:tc>
        <w:tc>
          <w:tcPr>
            <w:tcW w:w="129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100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项目主管部门：</w:t>
            </w:r>
          </w:p>
        </w:tc>
        <w:tc>
          <w:tcPr>
            <w:tcW w:w="1345"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918-丰都县兴义镇</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财政归口处室：</w:t>
            </w:r>
          </w:p>
        </w:tc>
        <w:tc>
          <w:tcPr>
            <w:tcW w:w="237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007-基财科</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right="483"/>
              <w:jc w:val="both"/>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部门</w:t>
            </w:r>
          </w:p>
          <w:p>
            <w:pPr>
              <w:keepNext w:val="0"/>
              <w:keepLines w:val="0"/>
              <w:widowControl/>
              <w:suppressLineNumbers w:val="0"/>
              <w:spacing w:line="240" w:lineRule="atLeast"/>
              <w:ind w:right="161"/>
              <w:jc w:val="both"/>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联系人：</w:t>
            </w:r>
          </w:p>
        </w:tc>
        <w:tc>
          <w:tcPr>
            <w:tcW w:w="129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陈秀娟</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right="181"/>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联系</w:t>
            </w:r>
          </w:p>
          <w:p>
            <w:pPr>
              <w:keepNext w:val="0"/>
              <w:keepLines w:val="0"/>
              <w:widowControl/>
              <w:suppressLineNumbers w:val="0"/>
              <w:spacing w:line="240" w:lineRule="atLeast"/>
              <w:ind w:right="181"/>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电话</w:t>
            </w: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tLeast"/>
              <w:ind w:left="0" w:firstLine="160" w:firstLineChars="100"/>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13512311429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jc w:val="center"/>
        </w:trPr>
        <w:tc>
          <w:tcPr>
            <w:tcW w:w="1098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 w:val="18"/>
                <w:szCs w:val="18"/>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173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right="724"/>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年初预算数</w:t>
            </w:r>
          </w:p>
        </w:tc>
        <w:tc>
          <w:tcPr>
            <w:tcW w:w="237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全年（调整）</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预算数</w:t>
            </w:r>
          </w:p>
        </w:tc>
        <w:tc>
          <w:tcPr>
            <w:tcW w:w="165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right="161"/>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全年执行数</w:t>
            </w:r>
          </w:p>
        </w:tc>
        <w:tc>
          <w:tcPr>
            <w:tcW w:w="169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right="322"/>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执行率</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执行率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权重</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执行率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7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年度总金额</w:t>
            </w:r>
          </w:p>
        </w:tc>
        <w:tc>
          <w:tcPr>
            <w:tcW w:w="173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w:t>
            </w:r>
          </w:p>
        </w:tc>
        <w:tc>
          <w:tcPr>
            <w:tcW w:w="237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40000　</w:t>
            </w:r>
          </w:p>
        </w:tc>
        <w:tc>
          <w:tcPr>
            <w:tcW w:w="165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w:t>
            </w:r>
          </w:p>
        </w:tc>
        <w:tc>
          <w:tcPr>
            <w:tcW w:w="169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17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其中：财政拨款</w:t>
            </w:r>
          </w:p>
        </w:tc>
        <w:tc>
          <w:tcPr>
            <w:tcW w:w="173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w:t>
            </w:r>
          </w:p>
        </w:tc>
        <w:tc>
          <w:tcPr>
            <w:tcW w:w="237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40000　</w:t>
            </w:r>
          </w:p>
        </w:tc>
        <w:tc>
          <w:tcPr>
            <w:tcW w:w="165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40000　</w:t>
            </w:r>
          </w:p>
        </w:tc>
        <w:tc>
          <w:tcPr>
            <w:tcW w:w="169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100　</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10　</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righ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98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 w:val="24"/>
                <w:szCs w:val="24"/>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年初绩效目标</w:t>
            </w:r>
          </w:p>
        </w:tc>
        <w:tc>
          <w:tcPr>
            <w:tcW w:w="402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全年（调整）绩效目标</w:t>
            </w:r>
          </w:p>
        </w:tc>
        <w:tc>
          <w:tcPr>
            <w:tcW w:w="347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 w:hRule="atLeast"/>
          <w:jc w:val="center"/>
        </w:trPr>
        <w:tc>
          <w:tcPr>
            <w:tcW w:w="348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w:t>
            </w:r>
          </w:p>
        </w:tc>
        <w:tc>
          <w:tcPr>
            <w:tcW w:w="4029"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完成工程建设年度任务</w:t>
            </w:r>
          </w:p>
        </w:tc>
        <w:tc>
          <w:tcPr>
            <w:tcW w:w="3479"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　完成工程建设年度任务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98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 w:val="24"/>
                <w:szCs w:val="24"/>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名称</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计量单位</w:t>
            </w: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性质</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指标值</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全年完成值</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偏离度（%）</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得分系数（%）</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权重</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指标</w:t>
            </w:r>
          </w:p>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得分</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是否核心指标</w:t>
            </w: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color w:val="000000"/>
                <w:kern w:val="0"/>
                <w:sz w:val="16"/>
                <w:szCs w:val="16"/>
              </w:rPr>
            </w:pPr>
            <w:r>
              <w:rPr>
                <w:rFonts w:hint="default" w:ascii="Times New Roman" w:hAnsi="Times New Roman" w:eastAsia="宋体" w:cs="Times New Roman"/>
                <w:b/>
                <w:bCs/>
                <w:color w:val="000000"/>
                <w:kern w:val="0"/>
                <w:sz w:val="16"/>
                <w:szCs w:val="16"/>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i w:val="0"/>
                <w:iCs w:val="0"/>
                <w:color w:val="000000"/>
                <w:kern w:val="2"/>
                <w:sz w:val="16"/>
                <w:szCs w:val="16"/>
              </w:rPr>
            </w:pPr>
            <w:r>
              <w:rPr>
                <w:rFonts w:hint="default" w:ascii="Times New Roman" w:hAnsi="Times New Roman" w:eastAsia="方正仿宋_GBK" w:cs="Times New Roman"/>
                <w:i w:val="0"/>
                <w:iCs w:val="0"/>
                <w:color w:val="000000"/>
                <w:kern w:val="0"/>
                <w:sz w:val="16"/>
                <w:szCs w:val="16"/>
              </w:rPr>
              <w:t>补助部门</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个</w:t>
            </w: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4</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4</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bCs/>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补助乡镇</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个</w:t>
            </w: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30</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30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工程施工验收</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定性</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好</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全部完成</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资金下达到县级6个月内预算执</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w:t>
            </w: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textAlignment w:val="center"/>
              <w:rPr>
                <w:rFonts w:hint="default" w:ascii="Times New Roman" w:hAnsi="Times New Roman" w:eastAsia="方正仿宋_GBK" w:cs="Times New Roman"/>
                <w:b w:val="0"/>
                <w:bCs w:val="0"/>
                <w:i w:val="0"/>
                <w:iCs w:val="0"/>
                <w:color w:val="000000"/>
                <w:kern w:val="2"/>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80</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80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保障抗旱供水安全</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i w:val="0"/>
                <w:iCs w:val="0"/>
                <w:color w:val="000000"/>
                <w:kern w:val="0"/>
                <w:sz w:val="16"/>
                <w:szCs w:val="16"/>
              </w:rPr>
              <w:t>定性</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好</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全部完成</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保障居民社会生活平稳</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i w:val="0"/>
                <w:iCs w:val="0"/>
                <w:color w:val="000000"/>
                <w:kern w:val="0"/>
                <w:sz w:val="16"/>
                <w:szCs w:val="16"/>
              </w:rPr>
              <w:t>定性</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好</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全部完成</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促进地区生态和谐发展</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i w:val="0"/>
                <w:iCs w:val="0"/>
                <w:color w:val="000000"/>
                <w:kern w:val="0"/>
                <w:sz w:val="16"/>
                <w:szCs w:val="16"/>
              </w:rPr>
              <w:t>定性</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好</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全部完成</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服务群众满意度</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w:t>
            </w: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90</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90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补助金额</w:t>
            </w:r>
          </w:p>
        </w:tc>
        <w:tc>
          <w:tcPr>
            <w:tcW w:w="5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万元</w:t>
            </w:r>
          </w:p>
        </w:tc>
        <w:tc>
          <w:tcPr>
            <w:tcW w:w="8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i w:val="0"/>
                <w:iCs w:val="0"/>
                <w:color w:val="000000"/>
                <w:kern w:val="0"/>
                <w:sz w:val="16"/>
                <w:szCs w:val="16"/>
              </w:rPr>
              <w:t>＝</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4</w:t>
            </w:r>
          </w:p>
        </w:tc>
        <w:tc>
          <w:tcPr>
            <w:tcW w:w="1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4</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0</w:t>
            </w:r>
          </w:p>
        </w:tc>
        <w:tc>
          <w:tcPr>
            <w:tcW w:w="11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100</w:t>
            </w:r>
          </w:p>
        </w:tc>
        <w:tc>
          <w:tcPr>
            <w:tcW w:w="5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7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r>
              <w:rPr>
                <w:rFonts w:hint="default" w:ascii="Times New Roman" w:hAnsi="Times New Roman" w:eastAsia="方正仿宋_GBK" w:cs="Times New Roman"/>
                <w:b w:val="0"/>
                <w:bCs w:val="0"/>
                <w:color w:val="000000"/>
                <w:kern w:val="0"/>
                <w:sz w:val="16"/>
                <w:szCs w:val="16"/>
              </w:rPr>
              <w:t>10</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firstLine="160" w:firstLineChars="100"/>
              <w:jc w:val="center"/>
              <w:rPr>
                <w:rFonts w:hint="default" w:ascii="Times New Roman" w:hAnsi="Times New Roman" w:eastAsia="方正仿宋_GBK" w:cs="Times New Roman"/>
                <w:b w:val="0"/>
                <w:bCs w:val="0"/>
                <w:color w:val="000000"/>
                <w:kern w:val="0"/>
                <w:sz w:val="16"/>
                <w:szCs w:val="16"/>
              </w:rPr>
            </w:pPr>
          </w:p>
        </w:tc>
        <w:tc>
          <w:tcPr>
            <w:tcW w:w="178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方正仿宋_GBK" w:cs="Times New Roman"/>
                <w:color w:val="000000"/>
                <w:kern w:val="0"/>
                <w:sz w:val="16"/>
                <w:szCs w:val="16"/>
              </w:rPr>
            </w:pPr>
          </w:p>
        </w:tc>
      </w:tr>
    </w:tbl>
    <w:p>
      <w:pPr>
        <w:pStyle w:val="17"/>
        <w:autoSpaceDE w:val="0"/>
        <w:autoSpaceDN/>
        <w:spacing w:before="0" w:beforeAutospacing="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 xml:space="preserve"> </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2"/>
          <w:sz w:val="32"/>
          <w:szCs w:val="32"/>
        </w:rPr>
        <w:t>2.绩效自评报告或案例。</w:t>
      </w:r>
    </w:p>
    <w:p>
      <w:pPr>
        <w:pStyle w:val="17"/>
        <w:autoSpaceDE w:val="0"/>
        <w:autoSpaceDN/>
        <w:spacing w:before="0" w:beforeAutospacing="0"/>
        <w:ind w:left="0" w:firstLine="640" w:firstLineChars="200"/>
        <w:rPr>
          <w:rFonts w:hint="default" w:ascii="Times New Roman" w:hAnsi="Times New Roman" w:eastAsia="方正仿宋_GBK" w:cs="Times New Roman"/>
          <w:color w:val="333333"/>
          <w:kern w:val="0"/>
          <w:sz w:val="32"/>
          <w:szCs w:val="32"/>
          <w:shd w:val="clear" w:fill="FFFFFF"/>
        </w:rPr>
      </w:pPr>
      <w:r>
        <w:rPr>
          <w:rFonts w:hint="default" w:ascii="Times New Roman" w:hAnsi="Times New Roman" w:eastAsia="方正仿宋_GBK" w:cs="Times New Roman"/>
          <w:color w:val="333333"/>
          <w:kern w:val="0"/>
          <w:sz w:val="32"/>
          <w:szCs w:val="32"/>
          <w:shd w:val="clear" w:fill="FFFFFF"/>
        </w:rPr>
        <w:t>我单位未委托第三方开展绩效自评。</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2"/>
          <w:sz w:val="32"/>
          <w:szCs w:val="32"/>
        </w:rPr>
        <w:t>3.关于绩效自评结果的说明</w:t>
      </w:r>
      <w:r>
        <w:rPr>
          <w:rStyle w:val="19"/>
          <w:rFonts w:hint="default" w:ascii="Times New Roman" w:hAnsi="Times New Roman" w:eastAsia="宋体" w:cs="Times New Roman"/>
          <w:b/>
          <w:bCs w:val="0"/>
          <w:shd w:val="clear" w:fill="FFFFFF"/>
        </w:rPr>
        <w:t>。</w:t>
      </w:r>
    </w:p>
    <w:p>
      <w:pPr>
        <w:pStyle w:val="17"/>
        <w:autoSpaceDE w:val="0"/>
        <w:autoSpaceDN/>
        <w:spacing w:before="0" w:beforeAutospacing="0"/>
        <w:ind w:left="0" w:firstLine="640" w:firstLineChars="200"/>
        <w:rPr>
          <w:rFonts w:hint="default" w:ascii="Times New Roman" w:hAnsi="Times New Roman" w:eastAsia="方正仿宋_GBK" w:cs="Times New Roman"/>
          <w:color w:val="333333"/>
          <w:kern w:val="0"/>
          <w:sz w:val="32"/>
          <w:szCs w:val="32"/>
          <w:shd w:val="clear" w:fill="FFFFFF"/>
        </w:rPr>
      </w:pPr>
      <w:r>
        <w:rPr>
          <w:rFonts w:hint="default" w:ascii="Times New Roman" w:hAnsi="Times New Roman" w:eastAsia="方正仿宋_GBK" w:cs="Times New Roman"/>
          <w:color w:val="333333"/>
          <w:kern w:val="0"/>
          <w:sz w:val="32"/>
          <w:szCs w:val="32"/>
          <w:shd w:val="clear" w:fill="FFFFFF"/>
        </w:rPr>
        <w:t>我单位绩效自评均已达到预期绩效目标。</w:t>
      </w:r>
    </w:p>
    <w:p>
      <w:pPr>
        <w:pStyle w:val="17"/>
        <w:autoSpaceDE w:val="0"/>
        <w:autoSpaceDN/>
        <w:spacing w:before="0" w:beforeAutospacing="0"/>
        <w:ind w:left="0" w:firstLine="640" w:firstLineChars="20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（三）重点绩效评价结果。</w:t>
      </w:r>
    </w:p>
    <w:p>
      <w:pPr>
        <w:pStyle w:val="17"/>
        <w:autoSpaceDE w:val="0"/>
        <w:autoSpaceDN/>
        <w:spacing w:before="0" w:beforeAutospacing="0"/>
        <w:ind w:left="0" w:firstLine="640" w:firstLineChars="200"/>
        <w:rPr>
          <w:rFonts w:hint="default" w:ascii="Times New Roman" w:hAnsi="Times New Roman" w:eastAsia="方正仿宋_GBK" w:cs="Times New Roman"/>
          <w:color w:val="333333"/>
          <w:kern w:val="0"/>
          <w:sz w:val="32"/>
          <w:szCs w:val="32"/>
          <w:shd w:val="clear" w:fill="FFFFFF"/>
        </w:rPr>
      </w:pPr>
      <w:r>
        <w:rPr>
          <w:rFonts w:hint="default" w:ascii="Times New Roman" w:hAnsi="Times New Roman" w:eastAsia="方正仿宋_GBK" w:cs="Times New Roman"/>
          <w:color w:val="333333"/>
          <w:kern w:val="0"/>
          <w:sz w:val="32"/>
          <w:szCs w:val="32"/>
          <w:shd w:val="clear" w:fill="FFFFFF"/>
        </w:rPr>
        <w:t>我单位未委托第三方开展重点绩效评价。</w:t>
      </w:r>
    </w:p>
    <w:p>
      <w:pPr>
        <w:pStyle w:val="17"/>
        <w:autoSpaceDE w:val="0"/>
        <w:autoSpaceDN/>
        <w:spacing w:before="0" w:beforeAutospacing="0"/>
        <w:ind w:left="0" w:firstLine="640" w:firstLineChars="20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六、专业名词解释</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2"/>
          <w:sz w:val="32"/>
          <w:szCs w:val="32"/>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（五）使用非财政拨款结余：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2"/>
          <w:sz w:val="32"/>
          <w:szCs w:val="32"/>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2"/>
          <w:sz w:val="32"/>
          <w:szCs w:val="32"/>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7"/>
        <w:autoSpaceDE w:val="0"/>
        <w:autoSpaceDN/>
        <w:spacing w:before="0" w:beforeAutospacing="0"/>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（十二）“三公”经费：</w:t>
      </w:r>
      <w:r>
        <w:rPr>
          <w:rFonts w:hint="default" w:ascii="Times New Roman" w:hAnsi="Times New Roman" w:eastAsia="方正仿宋_GBK" w:cs="Times New Roman"/>
          <w:kern w:val="0"/>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2"/>
          <w:sz w:val="32"/>
          <w:szCs w:val="32"/>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2"/>
          <w:sz w:val="32"/>
          <w:szCs w:val="32"/>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2"/>
          <w:sz w:val="32"/>
          <w:szCs w:val="32"/>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2"/>
          <w:sz w:val="32"/>
          <w:szCs w:val="32"/>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pPr>
        <w:pStyle w:val="17"/>
        <w:autoSpaceDE w:val="0"/>
        <w:autoSpaceDN/>
        <w:spacing w:before="0" w:beforeAutospacing="0"/>
        <w:ind w:left="0" w:firstLine="640" w:firstLineChars="200"/>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2"/>
          <w:sz w:val="32"/>
          <w:szCs w:val="32"/>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7"/>
        <w:autoSpaceDE w:val="0"/>
        <w:autoSpaceDN/>
        <w:spacing w:before="0" w:beforeAutospacing="0"/>
        <w:ind w:left="0" w:firstLine="640" w:firstLineChars="20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七、决算公开联系方式及信息反馈渠道</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本单位决算公开信息反馈和联系方式：</w:t>
      </w:r>
    </w:p>
    <w:p>
      <w:pPr>
        <w:pStyle w:val="17"/>
        <w:autoSpaceDE w:val="0"/>
        <w:autoSpaceDN/>
        <w:spacing w:before="0" w:beforeAutospacing="0"/>
        <w:ind w:lef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陈丽   023-70648019</w:t>
      </w:r>
    </w:p>
    <w:p>
      <w:pPr>
        <w:pStyle w:val="17"/>
        <w:autoSpaceDE w:val="0"/>
        <w:autoSpaceDN/>
        <w:spacing w:before="0" w:beforeAutospacing="0"/>
        <w:ind w:left="0"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p>
    <w:sectPr>
      <w:pgSz w:w="11915" w:h="16851"/>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1A22048C"/>
    <w:rsid w:val="1B776A68"/>
    <w:rsid w:val="20895274"/>
    <w:rsid w:val="2DB70319"/>
    <w:rsid w:val="32594190"/>
    <w:rsid w:val="330E38B7"/>
    <w:rsid w:val="33421C25"/>
    <w:rsid w:val="509947B0"/>
    <w:rsid w:val="516923D4"/>
    <w:rsid w:val="54FE1085"/>
    <w:rsid w:val="5CA95D7B"/>
    <w:rsid w:val="5FC57EE1"/>
    <w:rsid w:val="71B86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11"/>
    <w:qFormat/>
    <w:uiPriority w:val="0"/>
    <w:rPr>
      <w:rFonts w:hint="default" w:ascii="Times New Roman" w:hAnsi="Times New Roman" w:cs="Times New Roman"/>
    </w:rPr>
  </w:style>
  <w:style w:type="character" w:customStyle="1" w:styleId="13">
    <w:name w:val="10"/>
    <w:basedOn w:val="11"/>
    <w:qFormat/>
    <w:uiPriority w:val="0"/>
    <w:rPr>
      <w:rFonts w:hint="default" w:ascii="Times New Roman" w:hAnsi="Times New Roman" w:cs="Times New Roman"/>
    </w:rPr>
  </w:style>
  <w:style w:type="character" w:customStyle="1" w:styleId="14">
    <w:name w:val="29"/>
    <w:basedOn w:val="11"/>
    <w:qFormat/>
    <w:uiPriority w:val="0"/>
    <w:rPr>
      <w:rFonts w:hint="eastAsia" w:ascii="宋体" w:hAnsi="宋体" w:eastAsia="宋体" w:cs="宋体"/>
      <w:b/>
      <w:bCs/>
      <w:sz w:val="32"/>
      <w:szCs w:val="32"/>
    </w:rPr>
  </w:style>
  <w:style w:type="character" w:customStyle="1" w:styleId="15">
    <w:name w:val="33"/>
    <w:basedOn w:val="11"/>
    <w:qFormat/>
    <w:uiPriority w:val="0"/>
    <w:rPr>
      <w:rFonts w:hint="default" w:ascii="等线 Light" w:hAnsi="等线 Light" w:eastAsia="等线 Light" w:cs="Times New Roman"/>
      <w:b/>
      <w:bCs/>
      <w:sz w:val="28"/>
      <w:szCs w:val="28"/>
    </w:rPr>
  </w:style>
  <w:style w:type="paragraph" w:customStyle="1" w:styleId="16">
    <w:name w:val="msonormal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26"/>
    <w:basedOn w:val="11"/>
    <w:qFormat/>
    <w:uiPriority w:val="0"/>
    <w:rPr>
      <w:rFonts w:hint="default" w:ascii="Times New Roman" w:hAnsi="Times New Roman" w:cs="Times New Roman"/>
    </w:rPr>
  </w:style>
  <w:style w:type="character" w:customStyle="1" w:styleId="19">
    <w:name w:val="17"/>
    <w:basedOn w:val="11"/>
    <w:uiPriority w:val="0"/>
    <w:rPr>
      <w:rFonts w:hint="default" w:ascii="Times New Roman" w:hAnsi="Times New Roman" w:cs="Times New Roman"/>
      <w:b/>
    </w:rPr>
  </w:style>
  <w:style w:type="character" w:customStyle="1" w:styleId="20">
    <w:name w:val="35"/>
    <w:basedOn w:val="11"/>
    <w:qFormat/>
    <w:uiPriority w:val="0"/>
    <w:rPr>
      <w:rFonts w:hint="default" w:ascii="等线 Light" w:hAnsi="等线 Light" w:eastAsia="等线 Light" w:cs="Times New Roman"/>
      <w:b/>
      <w:bCs/>
      <w:sz w:val="24"/>
      <w:szCs w:val="24"/>
    </w:rPr>
  </w:style>
  <w:style w:type="character" w:customStyle="1" w:styleId="21">
    <w:name w:val="32"/>
    <w:basedOn w:val="11"/>
    <w:uiPriority w:val="0"/>
    <w:rPr>
      <w:rFonts w:hint="default" w:ascii="Courier New" w:hAnsi="Courier New" w:eastAsia="宋体" w:cs="Courier New"/>
    </w:rPr>
  </w:style>
  <w:style w:type="character" w:customStyle="1" w:styleId="22">
    <w:name w:val="16"/>
    <w:basedOn w:val="11"/>
    <w:uiPriority w:val="0"/>
    <w:rPr>
      <w:rFonts w:hint="default" w:ascii="Times New Roman" w:hAnsi="Times New Roman" w:cs="Times New Roman"/>
    </w:rPr>
  </w:style>
  <w:style w:type="character" w:customStyle="1" w:styleId="23">
    <w:name w:val="18"/>
    <w:basedOn w:val="11"/>
    <w:uiPriority w:val="0"/>
    <w:rPr>
      <w:rFonts w:hint="default" w:ascii="等线 Light" w:hAnsi="等线 Light" w:eastAsia="等线 Light" w:cs="Times New Roman"/>
      <w:b/>
      <w:bCs/>
      <w:sz w:val="32"/>
      <w:szCs w:val="32"/>
    </w:rPr>
  </w:style>
  <w:style w:type="character" w:customStyle="1" w:styleId="24">
    <w:name w:val="24"/>
    <w:basedOn w:val="11"/>
    <w:uiPriority w:val="0"/>
    <w:rPr>
      <w:rFonts w:hint="eastAsia" w:ascii="宋体" w:hAnsi="宋体" w:eastAsia="宋体" w:cs="宋体"/>
      <w:b/>
      <w:bCs/>
      <w:sz w:val="28"/>
      <w:szCs w:val="28"/>
    </w:rPr>
  </w:style>
  <w:style w:type="character" w:customStyle="1" w:styleId="25">
    <w:name w:val="19"/>
    <w:basedOn w:val="11"/>
    <w:uiPriority w:val="0"/>
    <w:rPr>
      <w:rFonts w:hint="default" w:ascii="Courier New" w:hAnsi="Courier New" w:eastAsia="宋体" w:cs="Courier New"/>
    </w:rPr>
  </w:style>
  <w:style w:type="character" w:customStyle="1" w:styleId="26">
    <w:name w:val="20"/>
    <w:basedOn w:val="11"/>
    <w:uiPriority w:val="0"/>
    <w:rPr>
      <w:rFonts w:hint="default" w:ascii="Times New Roman" w:hAnsi="Times New Roman" w:cs="Times New Roman"/>
    </w:rPr>
  </w:style>
  <w:style w:type="character" w:customStyle="1" w:styleId="27">
    <w:name w:val="21"/>
    <w:basedOn w:val="11"/>
    <w:uiPriority w:val="0"/>
    <w:rPr>
      <w:rFonts w:hint="eastAsia" w:ascii="宋体" w:hAnsi="宋体" w:eastAsia="宋体" w:cs="宋体"/>
      <w:b/>
      <w:bCs/>
      <w:kern w:val="44"/>
      <w:sz w:val="44"/>
      <w:szCs w:val="44"/>
    </w:rPr>
  </w:style>
  <w:style w:type="character" w:customStyle="1" w:styleId="28">
    <w:name w:val="30"/>
    <w:basedOn w:val="11"/>
    <w:qFormat/>
    <w:uiPriority w:val="0"/>
    <w:rPr>
      <w:rFonts w:hint="default" w:ascii="Times New Roman" w:hAnsi="Times New Roman" w:cs="Times New Roman"/>
    </w:rPr>
  </w:style>
  <w:style w:type="character" w:customStyle="1" w:styleId="29">
    <w:name w:val="22"/>
    <w:basedOn w:val="11"/>
    <w:uiPriority w:val="0"/>
    <w:rPr>
      <w:rFonts w:hint="eastAsia" w:ascii="宋体" w:hAnsi="宋体" w:eastAsia="宋体" w:cs="宋体"/>
      <w:b/>
      <w:bCs/>
      <w:kern w:val="44"/>
      <w:sz w:val="44"/>
      <w:szCs w:val="44"/>
    </w:rPr>
  </w:style>
  <w:style w:type="paragraph" w:customStyle="1" w:styleId="30">
    <w:name w:val="HTML 预设格式 Char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31">
    <w:name w:val="23"/>
    <w:basedOn w:val="11"/>
    <w:uiPriority w:val="0"/>
    <w:rPr>
      <w:rFonts w:hint="default" w:ascii="等线 Light" w:hAnsi="等线 Light" w:eastAsia="等线 Light" w:cs="Times New Roman"/>
      <w:b/>
      <w:bCs/>
      <w:sz w:val="28"/>
      <w:szCs w:val="28"/>
    </w:rPr>
  </w:style>
  <w:style w:type="character" w:customStyle="1" w:styleId="32">
    <w:name w:val="25"/>
    <w:basedOn w:val="11"/>
    <w:uiPriority w:val="0"/>
    <w:rPr>
      <w:rFonts w:hint="default" w:ascii="等线 Light" w:hAnsi="等线 Light" w:eastAsia="等线 Light" w:cs="Times New Roman"/>
      <w:b/>
      <w:bCs/>
      <w:sz w:val="32"/>
      <w:szCs w:val="32"/>
    </w:rPr>
  </w:style>
  <w:style w:type="character" w:customStyle="1" w:styleId="33">
    <w:name w:val="27"/>
    <w:basedOn w:val="11"/>
    <w:uiPriority w:val="0"/>
    <w:rPr>
      <w:rFonts w:hint="default" w:ascii="Times New Roman" w:hAnsi="Times New Roman" w:cs="Times New Roman"/>
    </w:rPr>
  </w:style>
  <w:style w:type="character" w:customStyle="1" w:styleId="34">
    <w:name w:val="28"/>
    <w:basedOn w:val="11"/>
    <w:uiPriority w:val="0"/>
    <w:rPr>
      <w:rFonts w:hint="default" w:ascii="Times New Roman" w:hAnsi="Times New Roman" w:cs="Times New Roman"/>
    </w:rPr>
  </w:style>
  <w:style w:type="character" w:customStyle="1" w:styleId="35">
    <w:name w:val="31"/>
    <w:basedOn w:val="11"/>
    <w:qFormat/>
    <w:uiPriority w:val="0"/>
    <w:rPr>
      <w:rFonts w:hint="default" w:ascii="等线 Light" w:hAnsi="等线 Light" w:eastAsia="等线 Light" w:cs="Times New Roman"/>
      <w:b/>
      <w:bCs/>
      <w:sz w:val="24"/>
      <w:szCs w:val="24"/>
    </w:rPr>
  </w:style>
  <w:style w:type="character" w:customStyle="1" w:styleId="36">
    <w:name w:val="34"/>
    <w:basedOn w:val="11"/>
    <w:qFormat/>
    <w:uiPriority w:val="0"/>
    <w:rPr>
      <w:rFonts w:hint="eastAsia" w:ascii="宋体" w:hAnsi="宋体" w:eastAsia="宋体" w:cs="宋体"/>
      <w:b/>
      <w:bCs/>
      <w:sz w:val="32"/>
      <w:szCs w:val="32"/>
    </w:rPr>
  </w:style>
  <w:style w:type="character" w:customStyle="1" w:styleId="37">
    <w:name w:val="36"/>
    <w:basedOn w:val="11"/>
    <w:qFormat/>
    <w:uiPriority w:val="0"/>
    <w:rPr>
      <w:rFonts w:hint="eastAsia" w:ascii="宋体" w:hAnsi="宋体" w:eastAsia="宋体" w:cs="宋体"/>
      <w:b/>
      <w:bCs/>
      <w:sz w:val="28"/>
      <w:szCs w:val="28"/>
    </w:rPr>
  </w:style>
  <w:style w:type="paragraph" w:customStyle="1" w:styleId="38">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9">
    <w:name w:val="pre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0">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41">
    <w:name w:val="msonormal11"/>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42">
    <w:name w:val="HTML 预设格式 Char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Characters>6959</Characters>
  <Lines>54</Lines>
  <Paragraphs>15</Paragraphs>
  <TotalTime>0</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2023-12-21T01:37:00Z</dcterms:created>
  <dc:creator>Administrator</dc:creator>
  <cp:lastModifiedBy>温星星</cp:lastModifiedBy>
  <dcterms:modified xsi:type="dcterms:W3CDTF">2023-12-28T03:32:52Z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EE08CBFC29C9433DA2D924FCF2DEB9E5_13</vt:lpwstr>
  </property>
</Properties>
</file>