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Autospacing="0" w:line="560" w:lineRule="exact"/>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丰都县兴龙镇人民政府</w:t>
      </w:r>
    </w:p>
    <w:p>
      <w:pPr>
        <w:pStyle w:val="9"/>
        <w:spacing w:before="0" w:beforeAutospacing="0" w:afterAutospacing="0" w:line="560" w:lineRule="exact"/>
        <w:jc w:val="center"/>
        <w:rPr>
          <w:rFonts w:hint="default" w:ascii="方正小标宋_GBK" w:hAnsi="方正小标宋_GBK" w:eastAsia="方正小标宋_GBK" w:cs="方正小标宋_GBK"/>
          <w:sz w:val="36"/>
          <w:szCs w:val="36"/>
        </w:rPr>
      </w:pPr>
      <w:r>
        <w:rPr>
          <w:rFonts w:hint="default" w:ascii="方正小标宋_GBK" w:hAnsi="方正小标宋_GBK" w:eastAsia="方正小标宋_GBK" w:cs="方正小标宋_GBK"/>
          <w:sz w:val="36"/>
          <w:szCs w:val="36"/>
        </w:rPr>
        <w:t>2024</w:t>
      </w:r>
      <w:r>
        <w:rPr>
          <w:rFonts w:ascii="方正小标宋_GBK" w:hAnsi="方正小标宋_GBK" w:eastAsia="方正小标宋_GBK" w:cs="方正小标宋_GBK"/>
          <w:sz w:val="36"/>
          <w:szCs w:val="36"/>
        </w:rPr>
        <w:t>年度决算公开说明</w:t>
      </w:r>
    </w:p>
    <w:p>
      <w:pPr>
        <w:pStyle w:val="9"/>
        <w:spacing w:before="0" w:beforeAutospacing="0" w:after="0" w:afterAutospacing="0" w:line="596" w:lineRule="exact"/>
        <w:rPr>
          <w:rFonts w:hint="default"/>
          <w:sz w:val="27"/>
          <w:szCs w:val="27"/>
          <w:shd w:val="clear" w:color="auto" w:fill="FFFF00"/>
        </w:rPr>
      </w:pPr>
    </w:p>
    <w:p>
      <w:pPr>
        <w:pStyle w:val="9"/>
        <w:spacing w:beforeAutospacing="0" w:afterAutospacing="0" w:line="560" w:lineRule="exact"/>
        <w:ind w:firstLine="640" w:firstLineChars="200"/>
        <w:rPr>
          <w:rStyle w:val="11"/>
          <w:rFonts w:hint="default" w:ascii="方正黑体_GBK" w:hAnsi="方正黑体_GBK" w:eastAsia="方正黑体_GBK" w:cs="方正黑体_GBK"/>
          <w:b w:val="0"/>
          <w:sz w:val="32"/>
          <w:szCs w:val="32"/>
          <w:shd w:val="clear" w:color="auto" w:fill="FFFFFF"/>
        </w:rPr>
      </w:pPr>
      <w:r>
        <w:rPr>
          <w:rStyle w:val="11"/>
          <w:rFonts w:ascii="方正黑体_GBK" w:hAnsi="方正黑体_GBK" w:eastAsia="方正黑体_GBK" w:cs="方正黑体_GBK"/>
          <w:b w:val="0"/>
          <w:sz w:val="32"/>
          <w:szCs w:val="32"/>
          <w:shd w:val="clear" w:color="auto" w:fill="FFFFFF"/>
        </w:rPr>
        <w:t>一、部门基本情况</w:t>
      </w:r>
    </w:p>
    <w:p>
      <w:pPr>
        <w:pStyle w:val="9"/>
        <w:spacing w:beforeAutospacing="0" w:afterAutospacing="0" w:line="560" w:lineRule="exact"/>
        <w:ind w:firstLine="420"/>
        <w:rPr>
          <w:rStyle w:val="11"/>
          <w:rFonts w:hint="default" w:ascii="方正楷体_GBK" w:hAnsi="方正楷体_GBK" w:eastAsia="方正楷体_GBK" w:cs="方正楷体_GBK"/>
          <w:b w:val="0"/>
          <w:sz w:val="32"/>
          <w:szCs w:val="32"/>
          <w:shd w:val="clear" w:color="auto" w:fill="FFFFFF"/>
        </w:rPr>
      </w:pPr>
      <w:r>
        <w:rPr>
          <w:rStyle w:val="11"/>
          <w:rFonts w:ascii="方正楷体_GBK" w:hAnsi="方正楷体_GBK" w:eastAsia="方正楷体_GBK" w:cs="方正楷体_GBK"/>
          <w:b w:val="0"/>
          <w:sz w:val="32"/>
          <w:szCs w:val="32"/>
          <w:shd w:val="clear" w:color="auto" w:fill="FFFFFF"/>
        </w:rPr>
        <w:t>（一）职能职责</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1.执行本级人民代表大会的决议和上级国家行政机关的决定和命令，发布决定和命令。</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2.执行本行政区域内的经济和社会发展计划，加强公共设施的建设和管理，发展各项服务事业。</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3.依法管理本级财政、执行本级预算。</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4.为农民提供有效的科技、教育、文化、信息、卫生、体育、医疗、人才开发、劳动就业、安全生产等方面的服务。</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5.保护国有资产和集体所有的财产，保护公民私人所有的合法财产、保障公民的人身权利、民主权利和其他权利，保护各种组织的合法权益。</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6.开展社会主义民主与法制教育，加强社会治安综合治理，调解民事纠纷，维护社会秩序。</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7.保护妇女、儿童和老人的合法权益。</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8.负责民政工作，发展社会福利事业，做好社会保障工作，办理兵役事项。</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9.承办上级人民政府交办的其他事项。</w:t>
      </w:r>
    </w:p>
    <w:p>
      <w:pPr>
        <w:pStyle w:val="9"/>
        <w:spacing w:beforeAutospacing="0" w:afterAutospacing="0" w:line="560" w:lineRule="exact"/>
        <w:ind w:firstLine="420"/>
        <w:rPr>
          <w:rStyle w:val="11"/>
          <w:rFonts w:hint="default" w:ascii="方正楷体_GBK" w:hAnsi="方正楷体_GBK" w:eastAsia="方正楷体_GBK" w:cs="方正楷体_GBK"/>
          <w:b w:val="0"/>
          <w:sz w:val="32"/>
          <w:szCs w:val="32"/>
          <w:shd w:val="clear" w:color="auto" w:fill="FFFFFF"/>
        </w:rPr>
      </w:pPr>
      <w:r>
        <w:rPr>
          <w:rStyle w:val="11"/>
          <w:rFonts w:hint="default" w:ascii="方正楷体_GBK" w:hAnsi="方正楷体_GBK" w:eastAsia="方正楷体_GBK" w:cs="方正楷体_GBK"/>
          <w:b w:val="0"/>
          <w:sz w:val="32"/>
          <w:szCs w:val="32"/>
          <w:shd w:val="clear" w:color="auto" w:fill="FFFFFF"/>
        </w:rPr>
        <w:t>（二）机构设置</w:t>
      </w:r>
    </w:p>
    <w:p>
      <w:pPr>
        <w:pStyle w:val="9"/>
        <w:spacing w:beforeAutospacing="0" w:afterAutospacing="0" w:line="560" w:lineRule="exact"/>
        <w:ind w:firstLine="640" w:firstLineChars="200"/>
        <w:rPr>
          <w:rStyle w:val="11"/>
          <w:rFonts w:hint="default" w:ascii="Times New Roman" w:hAnsi="Times New Roman" w:eastAsia="方正仿宋_GBK"/>
          <w:b w:val="0"/>
          <w:sz w:val="32"/>
          <w:szCs w:val="32"/>
          <w:shd w:val="clear" w:color="auto" w:fill="FFFFFF"/>
        </w:rPr>
      </w:pPr>
      <w:r>
        <w:rPr>
          <w:rStyle w:val="11"/>
          <w:rFonts w:hint="default" w:ascii="Times New Roman" w:hAnsi="Times New Roman" w:eastAsia="方正仿宋_GBK"/>
          <w:b w:val="0"/>
          <w:sz w:val="32"/>
          <w:szCs w:val="32"/>
          <w:shd w:val="clear" w:color="auto" w:fill="FFFFFF"/>
        </w:rPr>
        <w:t>丰都县兴龙镇人民政府下设综合办事机构</w:t>
      </w:r>
      <w:r>
        <w:rPr>
          <w:rStyle w:val="11"/>
          <w:rFonts w:ascii="Times New Roman" w:hAnsi="Times New Roman" w:eastAsia="方正仿宋_GBK"/>
          <w:b w:val="0"/>
          <w:sz w:val="32"/>
          <w:szCs w:val="32"/>
          <w:shd w:val="clear" w:color="auto" w:fill="FFFFFF"/>
        </w:rPr>
        <w:t>5</w:t>
      </w:r>
      <w:r>
        <w:rPr>
          <w:rStyle w:val="11"/>
          <w:rFonts w:hint="default" w:ascii="Times New Roman" w:hAnsi="Times New Roman" w:eastAsia="方正仿宋_GBK"/>
          <w:b w:val="0"/>
          <w:sz w:val="32"/>
          <w:szCs w:val="32"/>
          <w:shd w:val="clear" w:color="auto" w:fill="FFFFFF"/>
        </w:rPr>
        <w:t>个，分别是</w:t>
      </w:r>
      <w:r>
        <w:rPr>
          <w:rStyle w:val="11"/>
          <w:rFonts w:ascii="Times New Roman" w:hAnsi="Times New Roman" w:eastAsia="方正仿宋_GBK"/>
          <w:b w:val="0"/>
          <w:sz w:val="32"/>
          <w:szCs w:val="32"/>
          <w:shd w:val="clear" w:color="auto" w:fill="FFFFFF"/>
        </w:rPr>
        <w:t>基层治理综合指挥室、党的建设办公室、经济发展办公室、民生服务办公室、平安法治办公室</w:t>
      </w:r>
      <w:r>
        <w:rPr>
          <w:rStyle w:val="11"/>
          <w:rFonts w:hint="default" w:ascii="Times New Roman" w:hAnsi="Times New Roman" w:eastAsia="方正仿宋_GBK"/>
          <w:b w:val="0"/>
          <w:sz w:val="32"/>
          <w:szCs w:val="32"/>
          <w:shd w:val="clear" w:color="auto" w:fill="FFFFFF"/>
        </w:rPr>
        <w:t>。下设事业单位5个，分别是</w:t>
      </w:r>
      <w:r>
        <w:rPr>
          <w:rStyle w:val="11"/>
          <w:rFonts w:ascii="Times New Roman" w:hAnsi="Times New Roman" w:eastAsia="方正仿宋_GBK"/>
          <w:b w:val="0"/>
          <w:sz w:val="32"/>
          <w:szCs w:val="32"/>
          <w:shd w:val="clear" w:color="auto" w:fill="FFFFFF"/>
        </w:rPr>
        <w:t>兴龙镇便民服务中心（退役军人服务站）、兴龙镇综合行政执法大队、兴龙镇新时代文明实践服务中心、兴龙镇产业发展服务中心、兴龙镇</w:t>
      </w:r>
      <w:r>
        <w:rPr>
          <w:rStyle w:val="11"/>
          <w:rFonts w:hint="default" w:ascii="Times New Roman" w:hAnsi="Times New Roman" w:eastAsia="方正仿宋_GBK"/>
          <w:b w:val="0"/>
          <w:sz w:val="32"/>
          <w:szCs w:val="32"/>
          <w:shd w:val="clear" w:color="auto" w:fill="FFFFFF"/>
        </w:rPr>
        <w:t>村镇建设服务中心</w:t>
      </w:r>
      <w:r>
        <w:rPr>
          <w:rStyle w:val="11"/>
          <w:rFonts w:ascii="Times New Roman" w:hAnsi="Times New Roman" w:eastAsia="方正仿宋_GBK"/>
          <w:b w:val="0"/>
          <w:sz w:val="32"/>
          <w:szCs w:val="32"/>
          <w:shd w:val="clear" w:color="auto" w:fill="FFFFFF"/>
        </w:rPr>
        <w:t>。</w:t>
      </w:r>
    </w:p>
    <w:p>
      <w:pPr>
        <w:pStyle w:val="9"/>
        <w:spacing w:beforeAutospacing="0" w:afterAutospacing="0" w:line="560" w:lineRule="exact"/>
        <w:ind w:firstLine="640" w:firstLineChars="200"/>
        <w:rPr>
          <w:rStyle w:val="11"/>
          <w:rFonts w:hint="default" w:ascii="方正黑体_GBK" w:hAnsi="方正黑体_GBK" w:eastAsia="方正黑体_GBK" w:cs="方正黑体_GBK"/>
          <w:b w:val="0"/>
          <w:sz w:val="32"/>
          <w:szCs w:val="32"/>
          <w:shd w:val="clear" w:color="auto" w:fill="FFFFFF"/>
        </w:rPr>
      </w:pPr>
      <w:r>
        <w:rPr>
          <w:rStyle w:val="11"/>
          <w:rFonts w:ascii="方正黑体_GBK" w:hAnsi="方正黑体_GBK" w:eastAsia="方正黑体_GBK" w:cs="方正黑体_GBK"/>
          <w:b w:val="0"/>
          <w:sz w:val="32"/>
          <w:szCs w:val="32"/>
          <w:shd w:val="clear" w:color="auto" w:fill="FFFFFF"/>
        </w:rPr>
        <w:t>二、部门决算收支情况说明</w:t>
      </w:r>
    </w:p>
    <w:p>
      <w:pPr>
        <w:pStyle w:val="14"/>
        <w:autoSpaceDE w:val="0"/>
        <w:spacing w:line="560" w:lineRule="exact"/>
        <w:ind w:firstLine="640"/>
        <w:rPr>
          <w:rStyle w:val="11"/>
          <w:rFonts w:ascii="方正楷体_GBK" w:hAnsi="方正楷体_GBK" w:eastAsia="方正楷体_GBK" w:cs="方正楷体_GBK"/>
          <w:b w:val="0"/>
          <w:sz w:val="32"/>
          <w:szCs w:val="32"/>
          <w:shd w:val="clear" w:color="auto" w:fill="FFFFFF"/>
        </w:rPr>
      </w:pPr>
      <w:r>
        <w:rPr>
          <w:rStyle w:val="11"/>
          <w:rFonts w:hint="eastAsia" w:ascii="方正楷体_GBK" w:hAnsi="方正楷体_GBK" w:eastAsia="方正楷体_GBK" w:cs="方正楷体_GBK"/>
          <w:b w:val="0"/>
          <w:sz w:val="32"/>
          <w:szCs w:val="32"/>
          <w:shd w:val="clear" w:color="auto" w:fill="FFFFFF"/>
        </w:rPr>
        <w:t>（一）收入支出决算总体情况说明</w:t>
      </w:r>
    </w:p>
    <w:p>
      <w:pPr>
        <w:pStyle w:val="9"/>
        <w:spacing w:beforeAutospacing="0" w:afterAutospacing="0" w:line="560" w:lineRule="exact"/>
        <w:ind w:firstLine="640" w:firstLineChars="200"/>
        <w:rPr>
          <w:rStyle w:val="11"/>
          <w:rFonts w:hint="default" w:ascii="Times New Roman" w:hAnsi="Times New Roman" w:eastAsia="方正仿宋_GBK"/>
          <w:b w:val="0"/>
          <w:sz w:val="32"/>
          <w:szCs w:val="32"/>
          <w:shd w:val="clear" w:color="auto" w:fill="FFFFFF"/>
        </w:rPr>
      </w:pPr>
      <w:r>
        <w:rPr>
          <w:rStyle w:val="11"/>
          <w:rFonts w:hint="default" w:ascii="Times New Roman" w:hAnsi="Times New Roman" w:eastAsia="方正仿宋_GBK"/>
          <w:b w:val="0"/>
          <w:sz w:val="32"/>
          <w:szCs w:val="32"/>
          <w:shd w:val="clear" w:color="auto" w:fill="FFFFFF"/>
        </w:rPr>
        <w:t>2024年度收</w:t>
      </w:r>
      <w:r>
        <w:rPr>
          <w:rStyle w:val="11"/>
          <w:rFonts w:ascii="Times New Roman" w:hAnsi="Times New Roman" w:eastAsia="方正仿宋_GBK"/>
          <w:b w:val="0"/>
          <w:sz w:val="32"/>
          <w:szCs w:val="32"/>
          <w:shd w:val="clear" w:color="auto" w:fill="FFFFFF"/>
        </w:rPr>
        <w:t>、支</w:t>
      </w:r>
      <w:r>
        <w:rPr>
          <w:rStyle w:val="11"/>
          <w:rFonts w:hint="default" w:ascii="Times New Roman" w:hAnsi="Times New Roman" w:eastAsia="方正仿宋_GBK"/>
          <w:b w:val="0"/>
          <w:sz w:val="32"/>
          <w:szCs w:val="32"/>
          <w:shd w:val="clear" w:color="auto" w:fill="FFFFFF"/>
        </w:rPr>
        <w:t>总计</w:t>
      </w:r>
      <w:r>
        <w:rPr>
          <w:rStyle w:val="11"/>
          <w:rFonts w:ascii="Times New Roman" w:hAnsi="Times New Roman" w:eastAsia="方正仿宋_GBK"/>
          <w:b w:val="0"/>
          <w:sz w:val="32"/>
          <w:szCs w:val="32"/>
          <w:shd w:val="clear" w:color="auto" w:fill="FFFFFF"/>
        </w:rPr>
        <w:t>均为</w:t>
      </w:r>
      <w:r>
        <w:rPr>
          <w:rStyle w:val="11"/>
          <w:rFonts w:hint="default" w:ascii="Times New Roman" w:hAnsi="Times New Roman" w:eastAsia="方正仿宋_GBK"/>
          <w:b w:val="0"/>
          <w:sz w:val="32"/>
          <w:szCs w:val="32"/>
          <w:shd w:val="clear" w:color="auto" w:fill="FFFFFF"/>
        </w:rPr>
        <w:t>3185.07万元。收、支与2023年度相比，增加367.63万元，增长13.1%，主要原因是本年新增招考录用人员，公用经费增加</w:t>
      </w:r>
      <w:r>
        <w:rPr>
          <w:rStyle w:val="11"/>
          <w:rFonts w:ascii="Times New Roman" w:hAnsi="Times New Roman" w:eastAsia="方正仿宋_GBK"/>
          <w:b w:val="0"/>
          <w:sz w:val="32"/>
          <w:szCs w:val="32"/>
          <w:shd w:val="clear" w:color="auto" w:fill="FFFFFF"/>
        </w:rPr>
        <w:t>。</w:t>
      </w:r>
    </w:p>
    <w:p>
      <w:pPr>
        <w:pStyle w:val="9"/>
        <w:spacing w:beforeAutospacing="0" w:afterAutospacing="0" w:line="560" w:lineRule="exact"/>
        <w:ind w:firstLine="640" w:firstLineChars="200"/>
        <w:rPr>
          <w:rStyle w:val="11"/>
          <w:rFonts w:hint="default" w:ascii="Times New Roman" w:hAnsi="Times New Roman" w:eastAsia="方正仿宋_GBK"/>
          <w:b w:val="0"/>
          <w:sz w:val="32"/>
          <w:szCs w:val="32"/>
          <w:shd w:val="clear" w:color="auto" w:fill="FFFFFF"/>
        </w:rPr>
      </w:pPr>
      <w:r>
        <w:rPr>
          <w:rStyle w:val="11"/>
          <w:rFonts w:ascii="Times New Roman" w:hAnsi="Times New Roman" w:eastAsia="方正仿宋_GBK"/>
          <w:b w:val="0"/>
          <w:sz w:val="32"/>
          <w:szCs w:val="32"/>
          <w:shd w:val="clear" w:color="auto" w:fill="FFFFFF"/>
        </w:rPr>
        <w:t>1</w:t>
      </w:r>
      <w:r>
        <w:rPr>
          <w:rStyle w:val="11"/>
          <w:rFonts w:hint="default" w:ascii="Times New Roman" w:hAnsi="Times New Roman" w:eastAsia="方正仿宋_GBK"/>
          <w:b w:val="0"/>
          <w:sz w:val="32"/>
          <w:szCs w:val="32"/>
          <w:shd w:val="clear" w:color="auto" w:fill="FFFFFF"/>
        </w:rPr>
        <w:t>.收入情况。2024年度收入合计3138.00万元，与2023年度相比，增加469.02万元，增长17.6%，主要原因是本年新增招考录用人员，公用经费增加</w:t>
      </w:r>
      <w:r>
        <w:rPr>
          <w:rStyle w:val="11"/>
          <w:rFonts w:ascii="Times New Roman" w:hAnsi="Times New Roman" w:eastAsia="方正仿宋_GBK"/>
          <w:b w:val="0"/>
          <w:sz w:val="32"/>
          <w:szCs w:val="32"/>
          <w:shd w:val="clear" w:color="auto" w:fill="FFFFFF"/>
        </w:rPr>
        <w:t>。</w:t>
      </w:r>
      <w:r>
        <w:rPr>
          <w:rStyle w:val="11"/>
          <w:rFonts w:hint="default" w:ascii="Times New Roman" w:hAnsi="Times New Roman" w:eastAsia="方正仿宋_GBK"/>
          <w:b w:val="0"/>
          <w:sz w:val="32"/>
          <w:szCs w:val="32"/>
          <w:shd w:val="clear" w:color="auto" w:fill="FFFFFF"/>
        </w:rPr>
        <w:t>其中：财政拨款收入3138.00万元，占100.0%；事业收入0.00万元，占0.0%；经营收入0.00万元，占0.0%；其他收入0.00万元，占0.0%。此外，</w:t>
      </w:r>
      <w:r>
        <w:rPr>
          <w:rStyle w:val="11"/>
          <w:rFonts w:ascii="Times New Roman" w:hAnsi="Times New Roman" w:eastAsia="方正仿宋_GBK"/>
          <w:b w:val="0"/>
          <w:sz w:val="32"/>
          <w:szCs w:val="32"/>
          <w:shd w:val="clear" w:color="auto" w:fill="FFFFFF"/>
        </w:rPr>
        <w:t>使用非财政拨款结余（含专用结余）</w:t>
      </w:r>
      <w:r>
        <w:rPr>
          <w:rStyle w:val="11"/>
          <w:rFonts w:hint="default" w:ascii="Times New Roman" w:hAnsi="Times New Roman" w:eastAsia="方正仿宋_GBK"/>
          <w:b w:val="0"/>
          <w:sz w:val="32"/>
          <w:szCs w:val="32"/>
          <w:shd w:val="clear" w:color="auto" w:fill="FFFFFF"/>
        </w:rPr>
        <w:t>0.00万元，年初结转和结余47.07万元。</w:t>
      </w:r>
    </w:p>
    <w:p>
      <w:pPr>
        <w:pStyle w:val="9"/>
        <w:spacing w:beforeAutospacing="0" w:afterAutospacing="0" w:line="560" w:lineRule="exact"/>
        <w:ind w:firstLine="640" w:firstLineChars="200"/>
        <w:rPr>
          <w:rStyle w:val="11"/>
          <w:rFonts w:hint="default" w:ascii="Times New Roman" w:hAnsi="Times New Roman" w:eastAsia="方正仿宋_GBK"/>
          <w:b w:val="0"/>
          <w:sz w:val="32"/>
          <w:szCs w:val="32"/>
          <w:shd w:val="clear" w:color="auto" w:fill="FFFFFF"/>
        </w:rPr>
      </w:pPr>
      <w:r>
        <w:rPr>
          <w:rStyle w:val="11"/>
          <w:rFonts w:ascii="Times New Roman" w:hAnsi="Times New Roman" w:eastAsia="方正仿宋_GBK"/>
          <w:b w:val="0"/>
          <w:sz w:val="32"/>
          <w:szCs w:val="32"/>
          <w:shd w:val="clear" w:color="auto" w:fill="FFFFFF"/>
        </w:rPr>
        <w:t>2</w:t>
      </w:r>
      <w:r>
        <w:rPr>
          <w:rStyle w:val="11"/>
          <w:rFonts w:hint="default" w:ascii="Times New Roman" w:hAnsi="Times New Roman" w:eastAsia="方正仿宋_GBK"/>
          <w:b w:val="0"/>
          <w:sz w:val="32"/>
          <w:szCs w:val="32"/>
          <w:shd w:val="clear" w:color="auto" w:fill="FFFFFF"/>
        </w:rPr>
        <w:t>.支出情况。2024年度支出合计3174.69万元，与2023年度相比，增加370.63万元，增长13.2%，主要原因是本年新增招考录用人员，公用经费增加</w:t>
      </w:r>
      <w:r>
        <w:rPr>
          <w:rStyle w:val="11"/>
          <w:rFonts w:ascii="Times New Roman" w:hAnsi="Times New Roman" w:eastAsia="方正仿宋_GBK"/>
          <w:b w:val="0"/>
          <w:sz w:val="32"/>
          <w:szCs w:val="32"/>
          <w:shd w:val="clear" w:color="auto" w:fill="FFFFFF"/>
        </w:rPr>
        <w:t>。</w:t>
      </w:r>
      <w:r>
        <w:rPr>
          <w:rStyle w:val="11"/>
          <w:rFonts w:hint="default" w:ascii="Times New Roman" w:hAnsi="Times New Roman" w:eastAsia="方正仿宋_GBK"/>
          <w:b w:val="0"/>
          <w:sz w:val="32"/>
          <w:szCs w:val="32"/>
          <w:shd w:val="clear" w:color="auto" w:fill="FFFFFF"/>
        </w:rPr>
        <w:t>其中：基本支出1532.63万元，占48.3%；项目支出1642.06万元，占51.7%；经营支出0.00万元，占0.0%。此外，结余分配0.00万元。</w:t>
      </w:r>
    </w:p>
    <w:p>
      <w:pPr>
        <w:pStyle w:val="9"/>
        <w:spacing w:beforeAutospacing="0" w:afterAutospacing="0" w:line="560" w:lineRule="exact"/>
        <w:ind w:firstLine="640" w:firstLineChars="200"/>
        <w:rPr>
          <w:rFonts w:hint="default" w:ascii="方正仿宋_GBK" w:hAnsi="方正仿宋_GBK" w:eastAsia="方正仿宋_GBK" w:cs="方正仿宋_GBK"/>
          <w:sz w:val="32"/>
          <w:szCs w:val="32"/>
        </w:rPr>
      </w:pPr>
      <w:r>
        <w:rPr>
          <w:rStyle w:val="11"/>
          <w:rFonts w:ascii="Times New Roman" w:hAnsi="Times New Roman" w:eastAsia="方正仿宋_GBK"/>
          <w:b w:val="0"/>
          <w:sz w:val="32"/>
          <w:szCs w:val="32"/>
          <w:shd w:val="clear" w:color="auto" w:fill="FFFFFF"/>
        </w:rPr>
        <w:t>3</w:t>
      </w:r>
      <w:r>
        <w:rPr>
          <w:rStyle w:val="11"/>
          <w:rFonts w:hint="default" w:ascii="Times New Roman" w:hAnsi="Times New Roman" w:eastAsia="方正仿宋_GBK"/>
          <w:b w:val="0"/>
          <w:sz w:val="32"/>
          <w:szCs w:val="32"/>
          <w:shd w:val="clear" w:color="auto" w:fill="FFFFFF"/>
        </w:rPr>
        <w:t>.结转结余情况。2024年度年末结转和结余10.38万元，与2023年度相比，减少3.00万元，下降22.4%，主要原因是</w:t>
      </w:r>
      <w:r>
        <w:rPr>
          <w:rStyle w:val="11"/>
          <w:rFonts w:ascii="Times New Roman" w:hAnsi="Times New Roman" w:eastAsia="方正仿宋_GBK"/>
          <w:b w:val="0"/>
          <w:sz w:val="32"/>
          <w:szCs w:val="32"/>
          <w:shd w:val="clear" w:color="auto" w:fill="FFFFFF"/>
        </w:rPr>
        <w:t>上年度存在给职工预借的差旅费30000元，本年度已归垫。</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3185.07</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财政拨款收、支总计各增加367.63万元，增长13.1%</w:t>
      </w:r>
      <w:r>
        <w:rPr>
          <w:rFonts w:ascii="方正仿宋_GBK" w:hAnsi="方正仿宋_GBK" w:eastAsia="方正仿宋_GBK" w:cs="方正仿宋_GBK"/>
          <w:sz w:val="32"/>
          <w:szCs w:val="32"/>
          <w:shd w:val="clear" w:color="auto" w:fill="FFFFFF"/>
        </w:rPr>
        <w:t>。主要原因是</w:t>
      </w:r>
      <w:r>
        <w:rPr>
          <w:rFonts w:eastAsia="方正仿宋_GBK"/>
          <w:sz w:val="32"/>
          <w:szCs w:val="32"/>
        </w:rPr>
        <w:t>本年新增招考录用人员，公用经费增加。</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（三）一般公共预算财政拨款收入支出决算情况说明</w:t>
      </w:r>
    </w:p>
    <w:p>
      <w:pPr>
        <w:pStyle w:val="9"/>
        <w:snapToGrid w:val="0"/>
        <w:spacing w:before="0" w:beforeAutospacing="0" w:after="0" w:afterAutospacing="0" w:line="560" w:lineRule="exact"/>
        <w:ind w:firstLine="640" w:firstLineChars="200"/>
        <w:jc w:val="both"/>
        <w:rPr>
          <w:rStyle w:val="11"/>
          <w:rFonts w:hint="default" w:ascii="Times New Roman" w:hAnsi="Times New Roman" w:eastAsia="方正仿宋_GBK"/>
          <w:b w:val="0"/>
          <w:sz w:val="32"/>
          <w:szCs w:val="32"/>
          <w:shd w:val="clear" w:color="auto" w:fill="FFFFFF"/>
        </w:rPr>
      </w:pPr>
      <w:r>
        <w:rPr>
          <w:rStyle w:val="11"/>
          <w:rFonts w:hint="default" w:ascii="Times New Roman" w:hAnsi="Times New Roman" w:eastAsia="方正仿宋_GBK"/>
          <w:b w:val="0"/>
          <w:sz w:val="32"/>
          <w:szCs w:val="32"/>
          <w:shd w:val="clear" w:color="auto" w:fill="FFFFFF"/>
        </w:rPr>
        <w:t>1.收入情况。2024年度一般公共预算财政拨款收入3100.70万元，与2023年度相比，增加563.34万元，增长22.2%。主要原因是</w:t>
      </w:r>
      <w:r>
        <w:rPr>
          <w:rStyle w:val="11"/>
          <w:rFonts w:ascii="Times New Roman" w:hAnsi="Times New Roman" w:eastAsia="方正仿宋_GBK"/>
          <w:b w:val="0"/>
          <w:sz w:val="32"/>
          <w:szCs w:val="32"/>
          <w:shd w:val="clear" w:color="auto" w:fill="FFFFFF"/>
        </w:rPr>
        <w:t>本年工程类项目增加。</w:t>
      </w:r>
      <w:r>
        <w:rPr>
          <w:rStyle w:val="11"/>
          <w:rFonts w:hint="default" w:ascii="Times New Roman" w:hAnsi="Times New Roman" w:eastAsia="方正仿宋_GBK"/>
          <w:b w:val="0"/>
          <w:sz w:val="32"/>
          <w:szCs w:val="32"/>
          <w:shd w:val="clear" w:color="auto" w:fill="FFFFFF"/>
        </w:rPr>
        <w:t>较年初预算数增加1679.78万元，增长118.2%。主要原因是项目支出增加，主要用于兴龙榨菜产业示范园</w:t>
      </w:r>
      <w:r>
        <w:rPr>
          <w:rStyle w:val="11"/>
          <w:rFonts w:ascii="Times New Roman" w:hAnsi="Times New Roman" w:eastAsia="方正仿宋_GBK"/>
          <w:b w:val="0"/>
          <w:sz w:val="32"/>
          <w:szCs w:val="32"/>
          <w:shd w:val="clear" w:color="auto" w:fill="FFFFFF"/>
        </w:rPr>
        <w:t>、撂荒地核查和盘活利用项目、</w:t>
      </w:r>
      <w:r>
        <w:rPr>
          <w:rStyle w:val="11"/>
          <w:rFonts w:hint="default" w:ascii="Times New Roman" w:hAnsi="Times New Roman" w:eastAsia="方正仿宋_GBK"/>
          <w:b w:val="0"/>
          <w:sz w:val="32"/>
          <w:szCs w:val="32"/>
          <w:shd w:val="clear" w:color="auto" w:fill="FFFFFF"/>
        </w:rPr>
        <w:t>新农人培育提升工程</w:t>
      </w:r>
      <w:r>
        <w:rPr>
          <w:rStyle w:val="11"/>
          <w:rFonts w:ascii="Times New Roman" w:hAnsi="Times New Roman" w:eastAsia="方正仿宋_GBK"/>
          <w:b w:val="0"/>
          <w:sz w:val="32"/>
          <w:szCs w:val="32"/>
          <w:shd w:val="clear" w:color="auto" w:fill="FFFFFF"/>
        </w:rPr>
        <w:t>、</w:t>
      </w:r>
      <w:r>
        <w:rPr>
          <w:rStyle w:val="11"/>
          <w:rFonts w:hint="default" w:ascii="Times New Roman" w:hAnsi="Times New Roman" w:eastAsia="方正仿宋_GBK"/>
          <w:b w:val="0"/>
          <w:sz w:val="32"/>
          <w:szCs w:val="32"/>
          <w:shd w:val="clear" w:color="auto" w:fill="FFFFFF"/>
        </w:rPr>
        <w:t>撤并村改建公路工程等</w:t>
      </w:r>
      <w:r>
        <w:rPr>
          <w:rStyle w:val="11"/>
          <w:rFonts w:ascii="Times New Roman" w:hAnsi="Times New Roman" w:eastAsia="方正仿宋_GBK"/>
          <w:b w:val="0"/>
          <w:sz w:val="32"/>
          <w:szCs w:val="32"/>
          <w:shd w:val="clear" w:color="auto" w:fill="FFFFFF"/>
        </w:rPr>
        <w:t>。</w:t>
      </w:r>
      <w:r>
        <w:rPr>
          <w:rStyle w:val="11"/>
          <w:rFonts w:hint="default" w:ascii="Times New Roman" w:hAnsi="Times New Roman" w:eastAsia="方正仿宋_GBK"/>
          <w:b w:val="0"/>
          <w:sz w:val="32"/>
          <w:szCs w:val="32"/>
          <w:shd w:val="clear" w:color="auto" w:fill="FFFFFF"/>
        </w:rPr>
        <w:t>此外，年初财政拨款结转和结余47.07万元。</w:t>
      </w:r>
    </w:p>
    <w:p>
      <w:pPr>
        <w:pStyle w:val="9"/>
        <w:snapToGrid w:val="0"/>
        <w:spacing w:before="0" w:beforeAutospacing="0" w:after="0" w:afterAutospacing="0" w:line="560" w:lineRule="exact"/>
        <w:ind w:firstLine="640" w:firstLineChars="200"/>
        <w:jc w:val="both"/>
        <w:rPr>
          <w:rStyle w:val="11"/>
          <w:rFonts w:hint="default" w:ascii="Times New Roman" w:hAnsi="Times New Roman" w:eastAsia="方正仿宋_GBK"/>
          <w:b w:val="0"/>
          <w:sz w:val="32"/>
          <w:szCs w:val="32"/>
          <w:shd w:val="clear" w:color="auto" w:fill="FFFFFF"/>
        </w:rPr>
      </w:pPr>
      <w:r>
        <w:rPr>
          <w:rStyle w:val="11"/>
          <w:rFonts w:hint="default" w:ascii="Times New Roman" w:hAnsi="Times New Roman" w:eastAsia="方正仿宋_GBK"/>
          <w:b w:val="0"/>
          <w:sz w:val="32"/>
          <w:szCs w:val="32"/>
          <w:shd w:val="clear" w:color="auto" w:fill="FFFFFF"/>
        </w:rPr>
        <w:t>2.支出情况。2024年度一般公共预算财政拨款支出3137.39万元，与2023年度相比，增加464.95万元，增长17.4%。主要原因是本年新增招考录用人员，公用经费增加</w:t>
      </w:r>
      <w:r>
        <w:rPr>
          <w:rStyle w:val="11"/>
          <w:rFonts w:ascii="Times New Roman" w:hAnsi="Times New Roman" w:eastAsia="方正仿宋_GBK"/>
          <w:b w:val="0"/>
          <w:sz w:val="32"/>
          <w:szCs w:val="32"/>
          <w:shd w:val="clear" w:color="auto" w:fill="FFFFFF"/>
        </w:rPr>
        <w:t>。</w:t>
      </w:r>
      <w:r>
        <w:rPr>
          <w:rStyle w:val="11"/>
          <w:rFonts w:hint="default" w:ascii="Times New Roman" w:hAnsi="Times New Roman" w:eastAsia="方正仿宋_GBK"/>
          <w:b w:val="0"/>
          <w:sz w:val="32"/>
          <w:szCs w:val="32"/>
          <w:shd w:val="clear" w:color="auto" w:fill="FFFFFF"/>
        </w:rPr>
        <w:t>较年初预算数增加1716.47万元，增长120.8%。主要原因是项目支出增加，主要用于兴龙榨菜产业示范园</w:t>
      </w:r>
      <w:r>
        <w:rPr>
          <w:rStyle w:val="11"/>
          <w:rFonts w:ascii="Times New Roman" w:hAnsi="Times New Roman" w:eastAsia="方正仿宋_GBK"/>
          <w:b w:val="0"/>
          <w:sz w:val="32"/>
          <w:szCs w:val="32"/>
          <w:shd w:val="clear" w:color="auto" w:fill="FFFFFF"/>
        </w:rPr>
        <w:t>、撂荒地核查和盘活利用项目、</w:t>
      </w:r>
      <w:r>
        <w:rPr>
          <w:rStyle w:val="11"/>
          <w:rFonts w:hint="default" w:ascii="Times New Roman" w:hAnsi="Times New Roman" w:eastAsia="方正仿宋_GBK"/>
          <w:b w:val="0"/>
          <w:sz w:val="32"/>
          <w:szCs w:val="32"/>
          <w:shd w:val="clear" w:color="auto" w:fill="FFFFFF"/>
        </w:rPr>
        <w:t>新农人培育提升工程</w:t>
      </w:r>
      <w:r>
        <w:rPr>
          <w:rStyle w:val="11"/>
          <w:rFonts w:ascii="Times New Roman" w:hAnsi="Times New Roman" w:eastAsia="方正仿宋_GBK"/>
          <w:b w:val="0"/>
          <w:sz w:val="32"/>
          <w:szCs w:val="32"/>
          <w:shd w:val="clear" w:color="auto" w:fill="FFFFFF"/>
        </w:rPr>
        <w:t>、</w:t>
      </w:r>
      <w:r>
        <w:rPr>
          <w:rStyle w:val="11"/>
          <w:rFonts w:hint="default" w:ascii="Times New Roman" w:hAnsi="Times New Roman" w:eastAsia="方正仿宋_GBK"/>
          <w:b w:val="0"/>
          <w:sz w:val="32"/>
          <w:szCs w:val="32"/>
          <w:shd w:val="clear" w:color="auto" w:fill="FFFFFF"/>
        </w:rPr>
        <w:t>撤并村改建公路工程等</w:t>
      </w:r>
      <w:r>
        <w:rPr>
          <w:rStyle w:val="11"/>
          <w:rFonts w:ascii="Times New Roman" w:hAnsi="Times New Roman" w:eastAsia="方正仿宋_GBK"/>
          <w:b w:val="0"/>
          <w:sz w:val="32"/>
          <w:szCs w:val="32"/>
          <w:shd w:val="clear" w:color="auto" w:fill="FFFFFF"/>
        </w:rPr>
        <w:t>。</w:t>
      </w:r>
    </w:p>
    <w:p>
      <w:pPr>
        <w:pStyle w:val="9"/>
        <w:snapToGrid w:val="0"/>
        <w:spacing w:before="0" w:beforeAutospacing="0" w:after="0" w:afterAutospacing="0" w:line="560" w:lineRule="exact"/>
        <w:ind w:firstLine="640" w:firstLineChars="200"/>
        <w:jc w:val="both"/>
        <w:rPr>
          <w:rStyle w:val="11"/>
          <w:rFonts w:hint="default" w:ascii="Times New Roman" w:hAnsi="Times New Roman" w:eastAsia="方正仿宋_GBK"/>
          <w:b w:val="0"/>
          <w:sz w:val="32"/>
          <w:szCs w:val="32"/>
          <w:shd w:val="clear" w:color="auto" w:fill="FFFFFF"/>
        </w:rPr>
      </w:pPr>
      <w:r>
        <w:rPr>
          <w:rStyle w:val="11"/>
          <w:rFonts w:hint="default" w:ascii="Times New Roman" w:hAnsi="Times New Roman" w:eastAsia="方正仿宋_GBK"/>
          <w:b w:val="0"/>
          <w:sz w:val="32"/>
          <w:szCs w:val="32"/>
          <w:shd w:val="clear" w:color="auto" w:fill="FFFFFF"/>
        </w:rPr>
        <w:t>一般公共预算财政拨款支出主要</w:t>
      </w:r>
      <w:r>
        <w:rPr>
          <w:rStyle w:val="11"/>
          <w:rFonts w:ascii="Times New Roman" w:hAnsi="Times New Roman" w:eastAsia="方正仿宋_GBK"/>
          <w:b w:val="0"/>
          <w:sz w:val="32"/>
          <w:szCs w:val="32"/>
          <w:shd w:val="clear" w:color="auto" w:fill="FFFFFF"/>
        </w:rPr>
        <w:t>用途如下</w:t>
      </w:r>
      <w:r>
        <w:rPr>
          <w:rStyle w:val="11"/>
          <w:rFonts w:hint="default" w:ascii="Times New Roman" w:hAnsi="Times New Roman" w:eastAsia="方正仿宋_GBK"/>
          <w:b w:val="0"/>
          <w:sz w:val="32"/>
          <w:szCs w:val="32"/>
          <w:shd w:val="clear" w:color="auto" w:fill="FFFFFF"/>
        </w:rPr>
        <w:t>：</w:t>
      </w:r>
    </w:p>
    <w:p>
      <w:pPr>
        <w:pStyle w:val="9"/>
        <w:numPr>
          <w:ilvl w:val="0"/>
          <w:numId w:val="1"/>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628.62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较年初预算数增加17.30万元，增长2.8%</w:t>
      </w:r>
      <w:r>
        <w:rPr>
          <w:rFonts w:ascii="方正仿宋_GBK" w:hAnsi="方正仿宋_GBK" w:eastAsia="方正仿宋_GBK" w:cs="方正仿宋_GBK"/>
          <w:sz w:val="32"/>
          <w:szCs w:val="32"/>
          <w:shd w:val="clear" w:color="auto" w:fill="FFFFFF"/>
        </w:rPr>
        <w:t>，主要原因是</w:t>
      </w:r>
      <w:r>
        <w:rPr>
          <w:rFonts w:eastAsia="方正仿宋_GBK"/>
          <w:sz w:val="32"/>
          <w:szCs w:val="32"/>
        </w:rPr>
        <w:t>年中人员变动预算调整，动用结转结余及公用经费增加等。</w:t>
      </w:r>
    </w:p>
    <w:p>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文化旅游体育与传媒支出</w:t>
      </w:r>
      <w:r>
        <w:rPr>
          <w:rFonts w:hint="default" w:ascii="Times New Roman" w:hAnsi="Times New Roman" w:eastAsia="方正仿宋_GBK" w:cs="方正仿宋_GBK"/>
          <w:sz w:val="32"/>
          <w:szCs w:val="32"/>
          <w:shd w:val="clear" w:color="auto" w:fill="FFFFFF"/>
        </w:rPr>
        <w:t>25.59</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0.8%</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较年初预算数增加25.59万元，增长100.0%</w:t>
      </w:r>
      <w:r>
        <w:rPr>
          <w:rFonts w:ascii="Times New Roman" w:hAnsi="Times New Roman" w:eastAsia="方正仿宋_GBK" w:cs="方正仿宋_GBK"/>
          <w:sz w:val="32"/>
          <w:szCs w:val="32"/>
          <w:shd w:val="clear" w:color="auto" w:fill="FFFFFF"/>
        </w:rPr>
        <w:t>，主要原因是年初无相关预算，年中免费开放资金等专项经费增加。</w:t>
      </w:r>
    </w:p>
    <w:p>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社会保障和就业支出</w:t>
      </w:r>
      <w:r>
        <w:rPr>
          <w:rFonts w:hint="default" w:ascii="Times New Roman" w:hAnsi="Times New Roman" w:eastAsia="方正仿宋_GBK" w:cs="方正仿宋_GBK"/>
          <w:sz w:val="32"/>
          <w:szCs w:val="32"/>
          <w:shd w:val="clear" w:color="auto" w:fill="FFFFFF"/>
        </w:rPr>
        <w:t>500.42</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16.0%</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较年初预算数增加277.57万元，增长124.6%</w:t>
      </w:r>
      <w:r>
        <w:rPr>
          <w:rFonts w:ascii="Times New Roman" w:hAnsi="Times New Roman" w:eastAsia="方正仿宋_GBK" w:cs="方正仿宋_GBK"/>
          <w:sz w:val="32"/>
          <w:szCs w:val="32"/>
          <w:shd w:val="clear" w:color="auto" w:fill="FFFFFF"/>
        </w:rPr>
        <w:t>，主要原因是年中机构调整及就业补助和残疾人事业支出增加。</w:t>
      </w:r>
    </w:p>
    <w:p>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rPr>
        <w:t>卫生健康支出61.72万元，占2.0%，较年初预算数增加21.12万元，增长52.0%，主要原因是</w:t>
      </w:r>
      <w:r>
        <w:rPr>
          <w:rFonts w:ascii="Times New Roman" w:hAnsi="Times New Roman" w:eastAsia="方正仿宋_GBK" w:cs="方正仿宋_GBK"/>
          <w:sz w:val="32"/>
          <w:szCs w:val="32"/>
          <w:shd w:val="clear" w:color="auto" w:fill="FFFFFF"/>
        </w:rPr>
        <w:t>年中人员调整及行政事业医疗费用增加。</w:t>
      </w:r>
    </w:p>
    <w:p>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rPr>
        <w:t>节能环保支出10.00万元，占0.3%，较年初预算数增加10.00万元，增长100.0%，主要原因是</w:t>
      </w:r>
      <w:r>
        <w:rPr>
          <w:rFonts w:ascii="Times New Roman" w:hAnsi="Times New Roman" w:eastAsia="方正仿宋_GBK" w:cs="方正仿宋_GBK"/>
          <w:sz w:val="32"/>
          <w:szCs w:val="32"/>
          <w:shd w:val="clear" w:color="auto" w:fill="FFFFFF"/>
        </w:rPr>
        <w:t>年中新增污水管网维护专项资金。</w:t>
      </w:r>
    </w:p>
    <w:p>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rPr>
        <w:t>城乡社区支出111.47万元，占3.6%，较年初预算数增加67.47万元，增长153.3%，主要原因是</w:t>
      </w:r>
      <w:r>
        <w:rPr>
          <w:rFonts w:ascii="Times New Roman" w:hAnsi="Times New Roman" w:eastAsia="方正仿宋_GBK" w:cs="方正仿宋_GBK"/>
          <w:sz w:val="32"/>
          <w:szCs w:val="32"/>
          <w:shd w:val="clear" w:color="auto" w:fill="FFFFFF"/>
        </w:rPr>
        <w:t>年中新增场镇清扫资金。</w:t>
      </w:r>
    </w:p>
    <w:p>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农林水支出</w:t>
      </w:r>
      <w:r>
        <w:rPr>
          <w:rFonts w:hint="default" w:ascii="Times New Roman" w:hAnsi="Times New Roman" w:eastAsia="方正仿宋_GBK" w:cs="方正仿宋_GBK"/>
          <w:sz w:val="32"/>
          <w:szCs w:val="32"/>
          <w:shd w:val="clear" w:color="auto" w:fill="FFFFFF"/>
        </w:rPr>
        <w:t>870.05</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27.7%</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较年初预算数增加627.82万元，增长259.2%</w:t>
      </w:r>
      <w:r>
        <w:rPr>
          <w:rFonts w:ascii="Times New Roman" w:hAnsi="Times New Roman" w:eastAsia="方正仿宋_GBK" w:cs="方正仿宋_GBK"/>
          <w:sz w:val="32"/>
          <w:szCs w:val="32"/>
          <w:shd w:val="clear" w:color="auto" w:fill="FFFFFF"/>
        </w:rPr>
        <w:t>，主要原因是年中动用结转结余及新增2024年兴龙镇撂荒地核查和盘活利用项目、丰都兴龙榨菜产业示范园、兴龙镇2024年新农人培育提升工程等专项经费。</w:t>
      </w:r>
    </w:p>
    <w:p>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交通运输支出</w:t>
      </w:r>
      <w:r>
        <w:rPr>
          <w:rFonts w:hint="default" w:ascii="Times New Roman" w:hAnsi="Times New Roman" w:eastAsia="方正仿宋_GBK" w:cs="方正仿宋_GBK"/>
          <w:sz w:val="32"/>
          <w:szCs w:val="32"/>
          <w:shd w:val="clear" w:color="auto" w:fill="FFFFFF"/>
        </w:rPr>
        <w:t>758.74</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24.2%</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较年初预算数增加618.62万元，增长441.5%</w:t>
      </w:r>
      <w:r>
        <w:rPr>
          <w:rFonts w:ascii="Times New Roman" w:hAnsi="Times New Roman" w:eastAsia="方正仿宋_GBK" w:cs="方正仿宋_GBK"/>
          <w:sz w:val="32"/>
          <w:szCs w:val="32"/>
          <w:shd w:val="clear" w:color="auto" w:fill="FFFFFF"/>
        </w:rPr>
        <w:t>，主要原因是动用结转结余及年中新增丰都县兴龙镇撤并村改建公路工程项目、兴龙镇2023乡村公路安保工程、兴龙镇2024年安全生命防护工程等专项资金。</w:t>
      </w:r>
    </w:p>
    <w:p>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自然资源海洋气象等支出</w:t>
      </w:r>
      <w:r>
        <w:rPr>
          <w:rFonts w:hint="default" w:ascii="Times New Roman" w:hAnsi="Times New Roman" w:eastAsia="方正仿宋_GBK" w:cs="方正仿宋_GBK"/>
          <w:sz w:val="32"/>
          <w:szCs w:val="32"/>
          <w:shd w:val="clear" w:color="auto" w:fill="FFFFFF"/>
        </w:rPr>
        <w:t>53.00</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1.7%</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较年初预算数无增减</w:t>
      </w:r>
      <w:r>
        <w:rPr>
          <w:rFonts w:ascii="Times New Roman" w:hAnsi="Times New Roman" w:eastAsia="方正仿宋_GBK" w:cs="方正仿宋_GBK"/>
          <w:sz w:val="32"/>
          <w:szCs w:val="32"/>
          <w:shd w:val="clear" w:color="auto" w:fill="FFFFFF"/>
        </w:rPr>
        <w:t>。</w:t>
      </w:r>
    </w:p>
    <w:p>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住房保障支出</w:t>
      </w:r>
      <w:r>
        <w:rPr>
          <w:rFonts w:hint="default" w:ascii="Times New Roman" w:hAnsi="Times New Roman" w:eastAsia="方正仿宋_GBK" w:cs="方正仿宋_GBK"/>
          <w:sz w:val="32"/>
          <w:szCs w:val="32"/>
          <w:shd w:val="clear" w:color="auto" w:fill="FFFFFF"/>
        </w:rPr>
        <w:t>64.40</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2.1%</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较年初预算数增加21.99万元，增长51.9%</w:t>
      </w:r>
      <w:r>
        <w:rPr>
          <w:rFonts w:ascii="Times New Roman" w:hAnsi="Times New Roman" w:eastAsia="方正仿宋_GBK" w:cs="方正仿宋_GBK"/>
          <w:sz w:val="32"/>
          <w:szCs w:val="32"/>
          <w:shd w:val="clear" w:color="auto" w:fill="FFFFFF"/>
        </w:rPr>
        <w:t>，主要原因是年中人员调整，新招考录用人员住房公积金增加及新增城镇C、D级危房搬离整治项目专项经费。</w:t>
      </w:r>
    </w:p>
    <w:p>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灾害防治及应急管理支出</w:t>
      </w:r>
      <w:r>
        <w:rPr>
          <w:rFonts w:hint="default" w:ascii="Times New Roman" w:hAnsi="Times New Roman" w:eastAsia="方正仿宋_GBK" w:cs="方正仿宋_GBK"/>
          <w:sz w:val="32"/>
          <w:szCs w:val="32"/>
          <w:shd w:val="clear" w:color="auto" w:fill="FFFFFF"/>
        </w:rPr>
        <w:t>53.39</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1.7%</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cs="方正仿宋_GBK"/>
          <w:sz w:val="32"/>
          <w:szCs w:val="32"/>
          <w:shd w:val="clear" w:color="auto" w:fill="FFFFFF"/>
        </w:rPr>
        <w:t>较年初预算数增加45.39万元，增长567.4%</w:t>
      </w:r>
      <w:r>
        <w:rPr>
          <w:rFonts w:ascii="Times New Roman" w:hAnsi="Times New Roman" w:eastAsia="方正仿宋_GBK" w:cs="方正仿宋_GBK"/>
          <w:sz w:val="32"/>
          <w:szCs w:val="32"/>
          <w:shd w:val="clear" w:color="auto" w:fill="FFFFFF"/>
        </w:rPr>
        <w:t>，主要原因是年中新增兴龙镇市级自然灾害救灾补助资金、2024年森林防灭火物资采购项目、兴龙镇自然灾害救灾补助资金等专项经费。</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cs="方正仿宋_GBK"/>
          <w:sz w:val="32"/>
          <w:szCs w:val="32"/>
          <w:shd w:val="clear" w:color="auto" w:fill="FFFFFF"/>
        </w:rPr>
        <w:t>3.结转结余情况。2024年度年末一般公共预算财政拨款结转和结余10.38万元，与2023年度相比，减少3.00万元，下降22.4%，主要原因是</w:t>
      </w:r>
      <w:r>
        <w:rPr>
          <w:rFonts w:ascii="Times New Roman" w:hAnsi="Times New Roman" w:eastAsia="方正仿宋_GBK" w:cs="方正仿宋_GBK"/>
          <w:sz w:val="32"/>
          <w:szCs w:val="32"/>
          <w:shd w:val="clear" w:color="auto" w:fill="FFFFFF"/>
        </w:rPr>
        <w:t>上年度存在给职工预借的差旅费30000元，本年度已归垫。</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（四）一般公共预算财政拨款基本支出决算情况说明</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2024年度一般公共财政拨款基本支出1532.63万元。</w:t>
      </w:r>
    </w:p>
    <w:p>
      <w:pPr>
        <w:pStyle w:val="9"/>
        <w:snapToGrid w:val="0"/>
        <w:spacing w:before="0" w:beforeAutospacing="0" w:after="0" w:afterAutospacing="0" w:line="560" w:lineRule="exact"/>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其中：</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人员经费1252.70万元，与2023年度相比，减少178.22万元，下降12.5%，主要原因是本年度退休人员、县内调出人员增加，人员经费减少</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人员经费用途主要包括基本工资、津贴补贴等支出</w:t>
      </w:r>
      <w:r>
        <w:rPr>
          <w:rFonts w:ascii="Times New Roman" w:hAnsi="Times New Roman" w:eastAsia="方正仿宋_GBK"/>
          <w:sz w:val="32"/>
          <w:szCs w:val="32"/>
          <w:shd w:val="clear" w:color="auto" w:fill="FFFFFF"/>
        </w:rPr>
        <w:t>。</w:t>
      </w:r>
    </w:p>
    <w:p>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公用经费279.93万元，与2023年度相比，增加4.76万元，增长1.7%，主要原因是本年度开展宣传工作增加</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公用经费用途主要包括办公费、邮电费、手续费等支出</w:t>
      </w:r>
      <w:r>
        <w:rPr>
          <w:rFonts w:ascii="Times New Roman" w:hAnsi="Times New Roman" w:eastAsia="方正仿宋_GBK"/>
          <w:sz w:val="32"/>
          <w:szCs w:val="32"/>
          <w:shd w:val="clear" w:color="auto" w:fill="FFFFFF"/>
        </w:rPr>
        <w:t>。</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（五）政府性基金预算收支决算情况说明</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2024年度政府性基金预算财政拨款年初结转结余0.00万元，年末结转结余0.00万元。本年收入37.30万元，与2023年度相比，减少94.32万元，下降71.7%，主要原因是本年基金类工程建设项目减少</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本年支出37.30万元，与2023年度相比，减少94.32万元，下降71.7%，主要原因是本年基金类工程建设项目减少</w:t>
      </w:r>
      <w:r>
        <w:rPr>
          <w:rFonts w:ascii="Times New Roman" w:hAnsi="Times New Roman" w:eastAsia="方正仿宋_GBK"/>
          <w:sz w:val="32"/>
          <w:szCs w:val="32"/>
          <w:shd w:val="clear" w:color="auto" w:fill="FFFFFF"/>
        </w:rPr>
        <w:t>。</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（六）国有资本经营预算财政拨款支出决算情况说明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Times New Roman" w:hAnsi="Times New Roman" w:eastAsia="方正仿宋_GBK"/>
          <w:sz w:val="32"/>
          <w:szCs w:val="32"/>
          <w:shd w:val="clear" w:color="auto" w:fill="FFFFFF"/>
        </w:rPr>
        <w:t>本部门</w:t>
      </w: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年度无国有资本经营预算财政拨款支出。</w:t>
      </w:r>
    </w:p>
    <w:p>
      <w:pPr>
        <w:pStyle w:val="9"/>
        <w:spacing w:beforeAutospacing="0" w:afterAutospacing="0" w:line="560" w:lineRule="exact"/>
        <w:ind w:firstLine="640" w:firstLineChars="200"/>
        <w:rPr>
          <w:rStyle w:val="11"/>
          <w:rFonts w:hint="default" w:ascii="方正黑体_GBK" w:hAnsi="方正黑体_GBK" w:eastAsia="方正黑体_GBK" w:cs="方正黑体_GBK"/>
          <w:b w:val="0"/>
          <w:sz w:val="32"/>
          <w:szCs w:val="32"/>
          <w:shd w:val="clear" w:color="auto" w:fill="FFFFFF"/>
        </w:rPr>
      </w:pPr>
      <w:r>
        <w:rPr>
          <w:rStyle w:val="11"/>
          <w:rFonts w:ascii="方正黑体_GBK" w:hAnsi="方正黑体_GBK" w:eastAsia="方正黑体_GBK" w:cs="方正黑体_GBK"/>
          <w:b w:val="0"/>
          <w:sz w:val="32"/>
          <w:szCs w:val="32"/>
          <w:shd w:val="clear" w:color="auto" w:fill="FFFFFF"/>
        </w:rPr>
        <w:t>三、财政拨款“三公”经费情况说明</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（一）“三公”经费支出总体情况说明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26.14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较年初预算数增加15.44万元，增长144.3%</w:t>
      </w:r>
      <w:r>
        <w:rPr>
          <w:rFonts w:ascii="方正仿宋_GBK" w:hAnsi="方正仿宋_GBK" w:eastAsia="方正仿宋_GBK" w:cs="方正仿宋_GBK"/>
          <w:sz w:val="32"/>
          <w:szCs w:val="32"/>
          <w:shd w:val="clear" w:color="auto" w:fill="FFFFFF"/>
        </w:rPr>
        <w:t>，主要原因是</w:t>
      </w:r>
      <w:r>
        <w:rPr>
          <w:rFonts w:eastAsia="方正仿宋_GBK"/>
          <w:sz w:val="32"/>
          <w:szCs w:val="32"/>
        </w:rPr>
        <w:t>本年度涉及审计、工作检查等公务接待</w:t>
      </w:r>
      <w:r>
        <w:rPr>
          <w:rFonts w:ascii="Times New Roman" w:hAnsi="Times New Roman" w:eastAsia="方正仿宋_GBK"/>
          <w:sz w:val="32"/>
          <w:szCs w:val="32"/>
          <w:shd w:val="clear" w:color="auto" w:fill="FFFFFF"/>
        </w:rPr>
        <w:t>69</w:t>
      </w:r>
      <w:r>
        <w:rPr>
          <w:rFonts w:eastAsia="方正仿宋_GBK"/>
          <w:sz w:val="32"/>
          <w:szCs w:val="32"/>
        </w:rPr>
        <w:t>批次，</w:t>
      </w:r>
      <w:r>
        <w:rPr>
          <w:rFonts w:ascii="Times New Roman" w:hAnsi="Times New Roman" w:eastAsia="方正仿宋_GBK"/>
          <w:sz w:val="32"/>
          <w:szCs w:val="32"/>
          <w:shd w:val="clear" w:color="auto" w:fill="FFFFFF"/>
        </w:rPr>
        <w:t>666</w:t>
      </w:r>
      <w:r>
        <w:rPr>
          <w:rFonts w:eastAsia="方正仿宋_GBK"/>
          <w:sz w:val="32"/>
          <w:szCs w:val="32"/>
        </w:rPr>
        <w:t>人次的接待费增加，车辆运行频次增加，运行状况不佳，车辆维修维护费增加.</w:t>
      </w:r>
      <w:r>
        <w:rPr>
          <w:rFonts w:hint="default" w:ascii="Times New Roman" w:hAnsi="Times New Roman" w:eastAsia="方正仿宋_GBK"/>
          <w:sz w:val="32"/>
          <w:szCs w:val="32"/>
          <w:shd w:val="clear" w:color="auto" w:fill="FFFFFF"/>
        </w:rPr>
        <w:t>较上年支出数增加10.70万元，增长69.3%</w:t>
      </w:r>
      <w:r>
        <w:rPr>
          <w:rFonts w:ascii="方正仿宋_GBK" w:hAnsi="方正仿宋_GBK" w:eastAsia="方正仿宋_GBK" w:cs="方正仿宋_GBK"/>
          <w:sz w:val="32"/>
          <w:szCs w:val="32"/>
          <w:shd w:val="clear" w:color="auto" w:fill="FFFFFF"/>
        </w:rPr>
        <w:t>，主要原因是</w:t>
      </w:r>
      <w:r>
        <w:rPr>
          <w:rFonts w:eastAsia="方正仿宋_GBK"/>
          <w:sz w:val="32"/>
          <w:szCs w:val="32"/>
        </w:rPr>
        <w:t>本年度涉及审计、工作检查等公务接待</w:t>
      </w:r>
      <w:r>
        <w:rPr>
          <w:rFonts w:ascii="Times New Roman" w:hAnsi="Times New Roman" w:eastAsia="方正仿宋_GBK"/>
          <w:sz w:val="32"/>
          <w:szCs w:val="32"/>
          <w:shd w:val="clear" w:color="auto" w:fill="FFFFFF"/>
        </w:rPr>
        <w:t>69</w:t>
      </w:r>
      <w:r>
        <w:rPr>
          <w:rFonts w:eastAsia="方正仿宋_GBK"/>
          <w:sz w:val="32"/>
          <w:szCs w:val="32"/>
        </w:rPr>
        <w:t>批次，</w:t>
      </w:r>
      <w:r>
        <w:rPr>
          <w:rFonts w:ascii="Times New Roman" w:hAnsi="Times New Roman" w:eastAsia="方正仿宋_GBK"/>
          <w:sz w:val="32"/>
          <w:szCs w:val="32"/>
          <w:shd w:val="clear" w:color="auto" w:fill="FFFFFF"/>
        </w:rPr>
        <w:t>666</w:t>
      </w:r>
      <w:r>
        <w:rPr>
          <w:rFonts w:eastAsia="方正仿宋_GBK"/>
          <w:sz w:val="32"/>
          <w:szCs w:val="32"/>
        </w:rPr>
        <w:t>人次的接待费增加，车辆运行频次增加，运行状况不佳，车辆维修维护费增加。</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（二）“三公”经费分项支出情况</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本部门</w:t>
      </w: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年度未发生因公出国（境）费用，与上年</w:t>
      </w:r>
      <w:r>
        <w:rPr>
          <w:rFonts w:ascii="Times New Roman" w:hAnsi="Times New Roman" w:eastAsia="方正仿宋_GBK"/>
          <w:sz w:val="32"/>
          <w:szCs w:val="32"/>
          <w:shd w:val="clear" w:color="auto" w:fill="FFFFFF"/>
        </w:rPr>
        <w:t>决算数</w:t>
      </w:r>
      <w:r>
        <w:rPr>
          <w:rFonts w:hint="default" w:ascii="Times New Roman" w:hAnsi="Times New Roman" w:eastAsia="方正仿宋_GBK"/>
          <w:sz w:val="32"/>
          <w:szCs w:val="32"/>
          <w:shd w:val="clear" w:color="auto" w:fill="FFFFFF"/>
        </w:rPr>
        <w:t>持平。</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本部门</w:t>
      </w: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年度未发生公务车购置费，与上年</w:t>
      </w:r>
      <w:r>
        <w:rPr>
          <w:rFonts w:ascii="Times New Roman" w:hAnsi="Times New Roman" w:eastAsia="方正仿宋_GBK"/>
          <w:sz w:val="32"/>
          <w:szCs w:val="32"/>
          <w:shd w:val="clear" w:color="auto" w:fill="FFFFFF"/>
        </w:rPr>
        <w:t>决算数</w:t>
      </w:r>
      <w:r>
        <w:rPr>
          <w:rFonts w:hint="default" w:ascii="Times New Roman" w:hAnsi="Times New Roman" w:eastAsia="方正仿宋_GBK"/>
          <w:sz w:val="32"/>
          <w:szCs w:val="32"/>
          <w:shd w:val="clear" w:color="auto" w:fill="FFFFFF"/>
        </w:rPr>
        <w:t>持平。</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w:t>
      </w:r>
      <w:r>
        <w:rPr>
          <w:rFonts w:ascii="Times New Roman" w:hAnsi="Times New Roman" w:eastAsia="方正仿宋_GBK"/>
          <w:sz w:val="32"/>
          <w:szCs w:val="32"/>
          <w:shd w:val="clear" w:color="auto" w:fill="FFFFFF"/>
        </w:rPr>
        <w:t>用</w:t>
      </w:r>
      <w:r>
        <w:rPr>
          <w:rFonts w:hint="default" w:ascii="Times New Roman" w:hAnsi="Times New Roman" w:eastAsia="方正仿宋_GBK"/>
          <w:sz w:val="32"/>
          <w:szCs w:val="32"/>
          <w:shd w:val="clear" w:color="auto" w:fill="FFFFFF"/>
        </w:rPr>
        <w:t>车运行维护费22.21万元，主要用于</w:t>
      </w:r>
      <w:r>
        <w:rPr>
          <w:rFonts w:ascii="Times New Roman" w:hAnsi="Times New Roman" w:eastAsia="方正仿宋_GBK"/>
          <w:sz w:val="32"/>
          <w:szCs w:val="32"/>
          <w:shd w:val="clear" w:color="auto" w:fill="FFFFFF"/>
        </w:rPr>
        <w:t>保障日常公务出行、应急处置、下乡调研、会议参会、专项检查等公务活动所产生的车辆燃油、保险购买、日常保养及故障维修</w:t>
      </w:r>
      <w:r>
        <w:rPr>
          <w:rFonts w:hint="default" w:ascii="Times New Roman" w:hAnsi="Times New Roman" w:eastAsia="方正仿宋_GBK"/>
          <w:sz w:val="32"/>
          <w:szCs w:val="32"/>
          <w:shd w:val="clear" w:color="auto" w:fill="FFFFFF"/>
        </w:rPr>
        <w:t>等费用</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费用支出较年初预算数增加14.21万元，增长177.6%，主要原因是</w:t>
      </w:r>
      <w:r>
        <w:rPr>
          <w:rFonts w:ascii="Times New Roman" w:hAnsi="Times New Roman" w:eastAsia="方正仿宋_GBK"/>
          <w:sz w:val="32"/>
          <w:szCs w:val="32"/>
          <w:shd w:val="clear" w:color="auto" w:fill="FFFFFF"/>
        </w:rPr>
        <w:t>公务用车频次增加。</w:t>
      </w:r>
      <w:r>
        <w:rPr>
          <w:rFonts w:hint="default" w:ascii="Times New Roman" w:hAnsi="Times New Roman" w:eastAsia="方正仿宋_GBK"/>
          <w:sz w:val="32"/>
          <w:szCs w:val="32"/>
          <w:shd w:val="clear" w:color="auto" w:fill="FFFFFF"/>
        </w:rPr>
        <w:t>较上年支出数增加10.28万元，增长86.2%，主要原因是</w:t>
      </w:r>
      <w:r>
        <w:rPr>
          <w:rFonts w:ascii="Times New Roman" w:hAnsi="Times New Roman" w:eastAsia="方正仿宋_GBK"/>
          <w:sz w:val="32"/>
          <w:szCs w:val="32"/>
          <w:shd w:val="clear" w:color="auto" w:fill="FFFFFF"/>
        </w:rPr>
        <w:t>车辆运行频次增加，运行状况不佳，车辆维修维护费增加。</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公务接待费3.93万元，主要用于接待</w:t>
      </w:r>
      <w:r>
        <w:rPr>
          <w:rFonts w:ascii="Times New Roman" w:hAnsi="Times New Roman" w:eastAsia="方正仿宋_GBK"/>
          <w:sz w:val="32"/>
          <w:szCs w:val="32"/>
          <w:shd w:val="clear" w:color="auto" w:fill="FFFFFF"/>
        </w:rPr>
        <w:t>审计、</w:t>
      </w:r>
      <w:r>
        <w:rPr>
          <w:rFonts w:hint="default" w:ascii="Times New Roman" w:hAnsi="Times New Roman" w:eastAsia="方正仿宋_GBK"/>
          <w:sz w:val="32"/>
          <w:szCs w:val="32"/>
          <w:shd w:val="clear" w:color="auto" w:fill="FFFFFF"/>
        </w:rPr>
        <w:t>上级部门工作检查、专项调研、政策督查、考核评估等相关公务活动接待支出</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费用支出较年初预算数增加1.23万元，增长45.6%，主要原因是</w:t>
      </w:r>
      <w:r>
        <w:rPr>
          <w:rFonts w:ascii="Times New Roman" w:hAnsi="Times New Roman" w:eastAsia="方正仿宋_GBK"/>
          <w:sz w:val="32"/>
          <w:szCs w:val="32"/>
          <w:shd w:val="clear" w:color="auto" w:fill="FFFFFF"/>
        </w:rPr>
        <w:t>本年度涉及审计、工作检查等公务接待69批次，666人次的接待费增加。</w:t>
      </w:r>
      <w:r>
        <w:rPr>
          <w:rFonts w:hint="default" w:ascii="Times New Roman" w:hAnsi="Times New Roman" w:eastAsia="方正仿宋_GBK"/>
          <w:sz w:val="32"/>
          <w:szCs w:val="32"/>
          <w:shd w:val="clear" w:color="auto" w:fill="FFFFFF"/>
        </w:rPr>
        <w:t>较上年支出数增加0.42万元，增长12.0%，主要原因是本年度</w:t>
      </w:r>
      <w:r>
        <w:rPr>
          <w:rFonts w:ascii="Times New Roman" w:hAnsi="Times New Roman" w:eastAsia="方正仿宋_GBK"/>
          <w:sz w:val="32"/>
          <w:szCs w:val="32"/>
          <w:shd w:val="clear" w:color="auto" w:fill="FFFFFF"/>
        </w:rPr>
        <w:t>各项工作检查同比</w:t>
      </w:r>
      <w:r>
        <w:rPr>
          <w:rFonts w:hint="default" w:ascii="Times New Roman" w:hAnsi="Times New Roman" w:eastAsia="方正仿宋_GBK"/>
          <w:sz w:val="32"/>
          <w:szCs w:val="32"/>
          <w:shd w:val="clear" w:color="auto" w:fill="FFFFFF"/>
        </w:rPr>
        <w:t>增加</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对上级检查等活动的接待费</w:t>
      </w:r>
      <w:r>
        <w:rPr>
          <w:rFonts w:ascii="Times New Roman" w:hAnsi="Times New Roman" w:eastAsia="方正仿宋_GBK"/>
          <w:sz w:val="32"/>
          <w:szCs w:val="32"/>
          <w:shd w:val="clear" w:color="auto" w:fill="FFFFFF"/>
        </w:rPr>
        <w:t>。</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69</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666</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59.07</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5.55</w:t>
      </w:r>
      <w:r>
        <w:rPr>
          <w:rFonts w:ascii="方正仿宋_GBK" w:hAnsi="方正仿宋_GBK" w:eastAsia="方正仿宋_GBK" w:cs="方正仿宋_GBK"/>
          <w:sz w:val="32"/>
          <w:szCs w:val="32"/>
          <w:shd w:val="clear" w:color="auto" w:fill="FFFFFF"/>
        </w:rPr>
        <w:t>万元。</w:t>
      </w:r>
    </w:p>
    <w:p>
      <w:pPr>
        <w:pStyle w:val="9"/>
        <w:spacing w:beforeAutospacing="0" w:afterAutospacing="0" w:line="560" w:lineRule="exact"/>
        <w:ind w:firstLine="640" w:firstLineChars="200"/>
        <w:rPr>
          <w:rStyle w:val="11"/>
          <w:rFonts w:hint="default" w:ascii="方正黑体_GBK" w:hAnsi="方正黑体_GBK" w:eastAsia="方正黑体_GBK" w:cs="方正黑体_GBK"/>
          <w:b w:val="0"/>
          <w:sz w:val="32"/>
          <w:szCs w:val="32"/>
          <w:shd w:val="clear" w:color="auto" w:fill="FFFFFF"/>
        </w:rPr>
      </w:pPr>
      <w:r>
        <w:rPr>
          <w:rStyle w:val="11"/>
          <w:rFonts w:ascii="方正黑体_GBK" w:hAnsi="方正黑体_GBK" w:eastAsia="方正黑体_GBK" w:cs="方正黑体_GBK"/>
          <w:b w:val="0"/>
          <w:sz w:val="32"/>
          <w:szCs w:val="32"/>
          <w:shd w:val="clear" w:color="auto" w:fill="FFFFFF"/>
        </w:rPr>
        <w:t>四、其他需要说明的事项</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与2023年度相比，减少1.33万元，下降100.0%</w:t>
      </w:r>
      <w:r>
        <w:rPr>
          <w:rFonts w:ascii="方正仿宋_GBK" w:hAnsi="方正仿宋_GBK" w:eastAsia="方正仿宋_GBK" w:cs="方正仿宋_GBK"/>
          <w:sz w:val="32"/>
          <w:szCs w:val="32"/>
          <w:shd w:val="clear" w:color="auto" w:fill="FFFFFF"/>
        </w:rPr>
        <w:t>，主要原因是</w:t>
      </w:r>
      <w:r>
        <w:rPr>
          <w:rFonts w:eastAsia="方正仿宋_GBK"/>
          <w:sz w:val="32"/>
          <w:szCs w:val="32"/>
        </w:rPr>
        <w:t>本年度举行会议次数减少。</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0.45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与2023年度相比，减少0.26万元，下降36.6%</w:t>
      </w:r>
      <w:r>
        <w:rPr>
          <w:rFonts w:ascii="方正仿宋_GBK" w:hAnsi="方正仿宋_GBK" w:eastAsia="方正仿宋_GBK" w:cs="方正仿宋_GBK"/>
          <w:sz w:val="32"/>
          <w:szCs w:val="32"/>
          <w:shd w:val="clear" w:color="auto" w:fill="FFFFFF"/>
        </w:rPr>
        <w:t>，主要原因是</w:t>
      </w:r>
      <w:r>
        <w:rPr>
          <w:rFonts w:eastAsia="方正仿宋_GBK"/>
          <w:sz w:val="32"/>
          <w:szCs w:val="32"/>
        </w:rPr>
        <w:t>本年度人员职工参与培训次数减少。</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42.45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与2023年度相比，减少2.25万元，下降5.0%</w:t>
      </w:r>
      <w:r>
        <w:rPr>
          <w:rFonts w:ascii="方正仿宋_GBK" w:hAnsi="方正仿宋_GBK" w:eastAsia="方正仿宋_GBK" w:cs="方正仿宋_GBK"/>
          <w:sz w:val="32"/>
          <w:szCs w:val="32"/>
          <w:shd w:val="clear" w:color="auto" w:fill="FFFFFF"/>
        </w:rPr>
        <w:t>，主要原因是</w:t>
      </w:r>
      <w:r>
        <w:rPr>
          <w:rFonts w:eastAsia="方正仿宋_GBK"/>
          <w:sz w:val="32"/>
          <w:szCs w:val="32"/>
        </w:rPr>
        <w:t>本年度严格出差审批报销，职工出差次数减少。</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（二）机关运行经费情况说明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rPr>
        <w:t>2024</w:t>
      </w:r>
      <w:r>
        <w:rPr>
          <w:rFonts w:ascii="Times New Roman" w:hAnsi="Times New Roman" w:eastAsia="方正仿宋_GBK" w:cs="方正仿宋_GBK"/>
          <w:sz w:val="32"/>
          <w:szCs w:val="32"/>
          <w:shd w:val="clear" w:color="auto" w:fill="FFFFFF"/>
        </w:rPr>
        <w:t>年度本部门机关运行经费支出</w:t>
      </w:r>
      <w:r>
        <w:rPr>
          <w:rFonts w:hint="default" w:ascii="Times New Roman" w:hAnsi="Times New Roman" w:eastAsia="方正仿宋_GBK" w:cs="方正仿宋_GBK"/>
          <w:sz w:val="32"/>
          <w:szCs w:val="32"/>
          <w:shd w:val="clear" w:color="auto" w:fill="FFFFFF"/>
        </w:rPr>
        <w:t>259.93</w:t>
      </w:r>
      <w:r>
        <w:rPr>
          <w:rFonts w:ascii="Times New Roman" w:hAnsi="Times New Roman" w:eastAsia="方正仿宋_GBK" w:cs="方正仿宋_GBK"/>
          <w:sz w:val="32"/>
          <w:szCs w:val="32"/>
          <w:shd w:val="clear" w:color="auto" w:fill="FFFFFF"/>
        </w:rPr>
        <w:t>万元，机关运行经费主要用于开支办公费、水费、电费、邮电费、差旅费、工会经费、公务用车运行维护费、其他交通费用、其他商品和服务支出等。机关运行经费</w:t>
      </w:r>
      <w:r>
        <w:rPr>
          <w:rFonts w:hint="default" w:ascii="Times New Roman" w:hAnsi="Times New Roman" w:eastAsia="方正仿宋_GBK" w:cs="方正仿宋_GBK"/>
          <w:sz w:val="32"/>
          <w:szCs w:val="32"/>
          <w:shd w:val="clear" w:color="auto" w:fill="FFFFFF"/>
        </w:rPr>
        <w:t>较上年支出数增加4.76万元，增长1.9%</w:t>
      </w:r>
      <w:r>
        <w:rPr>
          <w:rFonts w:ascii="Times New Roman" w:hAnsi="Times New Roman" w:eastAsia="方正仿宋_GBK" w:cs="方正仿宋_GBK"/>
          <w:sz w:val="32"/>
          <w:szCs w:val="32"/>
          <w:shd w:val="clear" w:color="auto" w:fill="FFFFFF"/>
        </w:rPr>
        <w:t>，主要原因是本年新增招考录用人员，公用经费增加。</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（三）国有资产占用情况说明</w:t>
      </w:r>
    </w:p>
    <w:p>
      <w:pPr>
        <w:pStyle w:val="14"/>
        <w:autoSpaceDE w:val="0"/>
        <w:spacing w:line="560" w:lineRule="exact"/>
        <w:ind w:firstLine="640"/>
        <w:rPr>
          <w:rFonts w:ascii="方正仿宋_GBK" w:hAnsi="方正仿宋_GBK" w:eastAsia="方正仿宋_GBK" w:cs="方正仿宋_GBK"/>
          <w:color w:val="FF0000"/>
          <w:sz w:val="32"/>
          <w:szCs w:val="32"/>
        </w:rPr>
      </w:pPr>
      <w:r>
        <w:rPr>
          <w:rFonts w:hint="eastAsia" w:ascii="Times New Roman" w:hAnsi="Times New Roman" w:eastAsia="方正仿宋_GBK" w:cs="方正仿宋_GBK"/>
          <w:sz w:val="32"/>
          <w:szCs w:val="32"/>
          <w:shd w:val="clear" w:color="auto" w:fill="FFFFFF"/>
        </w:rPr>
        <w:t>截至</w:t>
      </w:r>
      <w:r>
        <w:rPr>
          <w:rFonts w:ascii="Times New Roman" w:hAnsi="Times New Roman" w:eastAsia="方正仿宋_GBK" w:cs="方正仿宋_GBK"/>
          <w:sz w:val="32"/>
          <w:szCs w:val="32"/>
          <w:shd w:val="clear" w:color="auto" w:fill="FFFFFF"/>
        </w:rPr>
        <w:t>2024</w:t>
      </w:r>
      <w:r>
        <w:rPr>
          <w:rFonts w:hint="eastAsia" w:ascii="Times New Roman" w:hAnsi="Times New Roman" w:eastAsia="方正仿宋_GBK" w:cs="方正仿宋_GBK"/>
          <w:sz w:val="32"/>
          <w:szCs w:val="32"/>
          <w:shd w:val="clear" w:color="auto" w:fill="FFFFFF"/>
        </w:rPr>
        <w:t>年</w:t>
      </w:r>
      <w:r>
        <w:rPr>
          <w:rFonts w:ascii="Times New Roman" w:hAnsi="Times New Roman" w:eastAsia="方正仿宋_GBK" w:cs="方正仿宋_GBK"/>
          <w:sz w:val="32"/>
          <w:szCs w:val="32"/>
          <w:shd w:val="clear" w:color="auto" w:fill="FFFFFF"/>
        </w:rPr>
        <w:t>12</w:t>
      </w:r>
      <w:r>
        <w:rPr>
          <w:rFonts w:hint="eastAsia" w:ascii="Times New Roman" w:hAnsi="Times New Roman" w:eastAsia="方正仿宋_GBK" w:cs="方正仿宋_GBK"/>
          <w:sz w:val="32"/>
          <w:szCs w:val="32"/>
          <w:shd w:val="clear" w:color="auto" w:fill="FFFFFF"/>
        </w:rPr>
        <w:t>月</w:t>
      </w:r>
      <w:r>
        <w:rPr>
          <w:rFonts w:ascii="Times New Roman" w:hAnsi="Times New Roman" w:eastAsia="方正仿宋_GBK" w:cs="方正仿宋_GBK"/>
          <w:sz w:val="32"/>
          <w:szCs w:val="32"/>
          <w:shd w:val="clear" w:color="auto" w:fill="FFFFFF"/>
        </w:rPr>
        <w:t>31</w:t>
      </w:r>
      <w:r>
        <w:rPr>
          <w:rFonts w:hint="eastAsia" w:ascii="Times New Roman" w:hAnsi="Times New Roman" w:eastAsia="方正仿宋_GBK" w:cs="方正仿宋_GBK"/>
          <w:sz w:val="32"/>
          <w:szCs w:val="32"/>
          <w:shd w:val="clear" w:color="auto" w:fill="FFFFFF"/>
        </w:rPr>
        <w:t>日，本部门共</w:t>
      </w:r>
      <w:r>
        <w:rPr>
          <w:rFonts w:ascii="Times New Roman" w:hAnsi="Times New Roman" w:eastAsia="方正仿宋_GBK" w:cs="方正仿宋_GBK"/>
          <w:sz w:val="32"/>
          <w:szCs w:val="32"/>
          <w:shd w:val="clear" w:color="auto" w:fill="FFFFFF"/>
        </w:rPr>
        <w:t>有车辆4辆，其中，副部（省）级及以上领导用车0辆、主要负责人用车0辆、机要通信用车1辆、应急保障用车3辆、执法执勤用车0辆，特种专业技术用车0辆，离退休干部用车0辆。单价100万元（含）以上专用设备0台（套）。</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（四）政府采购支出情况说明</w:t>
      </w:r>
    </w:p>
    <w:p>
      <w:pPr>
        <w:pStyle w:val="14"/>
        <w:autoSpaceDE w:val="0"/>
        <w:spacing w:line="560" w:lineRule="exact"/>
        <w:ind w:firstLine="640"/>
        <w:rPr>
          <w:rFonts w:ascii="Times New Roman" w:hAnsi="Times New Roman"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cs="方正仿宋_GBK"/>
          <w:sz w:val="32"/>
          <w:szCs w:val="32"/>
          <w:shd w:val="clear" w:color="auto" w:fill="FFFFFF"/>
        </w:rPr>
        <w:t>2024</w:t>
      </w:r>
      <w:r>
        <w:rPr>
          <w:rFonts w:hint="eastAsia" w:ascii="Times New Roman" w:hAnsi="Times New Roman" w:eastAsia="方正仿宋_GBK" w:cs="方正仿宋_GBK"/>
          <w:sz w:val="32"/>
          <w:szCs w:val="32"/>
          <w:shd w:val="clear" w:color="auto" w:fill="FFFFFF"/>
        </w:rPr>
        <w:t>年度本部门政府采购支出总额</w:t>
      </w:r>
      <w:r>
        <w:rPr>
          <w:rFonts w:ascii="Times New Roman" w:hAnsi="Times New Roman" w:eastAsia="方正仿宋_GBK" w:cs="方正仿宋_GBK"/>
          <w:sz w:val="32"/>
          <w:szCs w:val="32"/>
          <w:shd w:val="clear" w:color="auto" w:fill="FFFFFF"/>
        </w:rPr>
        <w:t>1.21</w:t>
      </w:r>
      <w:r>
        <w:rPr>
          <w:rFonts w:hint="eastAsia" w:ascii="Times New Roman" w:hAnsi="Times New Roman" w:eastAsia="方正仿宋_GBK" w:cs="方正仿宋_GBK"/>
          <w:sz w:val="32"/>
          <w:szCs w:val="32"/>
          <w:shd w:val="clear" w:color="auto" w:fill="FFFFFF"/>
        </w:rPr>
        <w:t>万元，其中：政府采购货物支出</w:t>
      </w:r>
      <w:r>
        <w:rPr>
          <w:rFonts w:ascii="Times New Roman" w:hAnsi="Times New Roman" w:eastAsia="方正仿宋_GBK" w:cs="方正仿宋_GBK"/>
          <w:sz w:val="32"/>
          <w:szCs w:val="32"/>
          <w:shd w:val="clear" w:color="auto" w:fill="FFFFFF"/>
        </w:rPr>
        <w:t>1.21</w:t>
      </w:r>
      <w:r>
        <w:rPr>
          <w:rFonts w:hint="eastAsia" w:ascii="Times New Roman" w:hAnsi="Times New Roman" w:eastAsia="方正仿宋_GBK" w:cs="方正仿宋_GBK"/>
          <w:sz w:val="32"/>
          <w:szCs w:val="32"/>
          <w:shd w:val="clear" w:color="auto" w:fill="FFFFFF"/>
        </w:rPr>
        <w:t>万元、政府采购工程支出</w:t>
      </w:r>
      <w:r>
        <w:rPr>
          <w:rFonts w:ascii="Times New Roman" w:hAnsi="Times New Roman" w:eastAsia="方正仿宋_GBK" w:cs="方正仿宋_GBK"/>
          <w:sz w:val="32"/>
          <w:szCs w:val="32"/>
          <w:shd w:val="clear" w:color="auto" w:fill="FFFFFF"/>
        </w:rPr>
        <w:t>0.00</w:t>
      </w:r>
      <w:r>
        <w:rPr>
          <w:rFonts w:hint="eastAsia" w:ascii="Times New Roman" w:hAnsi="Times New Roman" w:eastAsia="方正仿宋_GBK" w:cs="方正仿宋_GBK"/>
          <w:sz w:val="32"/>
          <w:szCs w:val="32"/>
          <w:shd w:val="clear" w:color="auto" w:fill="FFFFFF"/>
        </w:rPr>
        <w:t>万元、政府采购服务支出</w:t>
      </w:r>
      <w:r>
        <w:rPr>
          <w:rFonts w:ascii="Times New Roman" w:hAnsi="Times New Roman" w:eastAsia="方正仿宋_GBK" w:cs="方正仿宋_GBK"/>
          <w:sz w:val="32"/>
          <w:szCs w:val="32"/>
          <w:shd w:val="clear" w:color="auto" w:fill="FFFFFF"/>
        </w:rPr>
        <w:t>0.00</w:t>
      </w:r>
      <w:r>
        <w:rPr>
          <w:rFonts w:hint="eastAsia" w:ascii="Times New Roman" w:hAnsi="Times New Roman" w:eastAsia="方正仿宋_GBK" w:cs="方正仿宋_GBK"/>
          <w:sz w:val="32"/>
          <w:szCs w:val="32"/>
          <w:shd w:val="clear" w:color="auto" w:fill="FFFFFF"/>
        </w:rPr>
        <w:t>万元。授予中小企业合同金额</w:t>
      </w:r>
      <w:r>
        <w:rPr>
          <w:rFonts w:ascii="Times New Roman" w:hAnsi="Times New Roman" w:eastAsia="方正仿宋_GBK" w:cs="方正仿宋_GBK"/>
          <w:sz w:val="32"/>
          <w:szCs w:val="32"/>
          <w:shd w:val="clear" w:color="auto" w:fill="FFFFFF"/>
        </w:rPr>
        <w:t>0.98</w:t>
      </w:r>
      <w:r>
        <w:rPr>
          <w:rFonts w:hint="eastAsia" w:ascii="Times New Roman" w:hAnsi="Times New Roman" w:eastAsia="方正仿宋_GBK" w:cs="方正仿宋_GBK"/>
          <w:sz w:val="32"/>
          <w:szCs w:val="32"/>
          <w:shd w:val="clear" w:color="auto" w:fill="FFFFFF"/>
        </w:rPr>
        <w:t>万元，占政府采购支出总额的</w:t>
      </w:r>
      <w:r>
        <w:rPr>
          <w:rFonts w:ascii="Times New Roman" w:hAnsi="Times New Roman" w:eastAsia="方正仿宋_GBK" w:cs="方正仿宋_GBK"/>
          <w:sz w:val="32"/>
          <w:szCs w:val="32"/>
          <w:shd w:val="clear" w:color="auto" w:fill="FFFFFF"/>
        </w:rPr>
        <w:t>81.1%</w:t>
      </w:r>
      <w:r>
        <w:rPr>
          <w:rFonts w:hint="eastAsia" w:ascii="Times New Roman" w:hAnsi="Times New Roman" w:eastAsia="方正仿宋_GBK" w:cs="方正仿宋_GBK"/>
          <w:sz w:val="32"/>
          <w:szCs w:val="32"/>
          <w:shd w:val="clear" w:color="auto" w:fill="FFFFFF"/>
        </w:rPr>
        <w:t>，其中：授予小微企业合同金额</w:t>
      </w:r>
      <w:r>
        <w:rPr>
          <w:rFonts w:ascii="Times New Roman" w:hAnsi="Times New Roman" w:eastAsia="方正仿宋_GBK" w:cs="方正仿宋_GBK"/>
          <w:sz w:val="32"/>
          <w:szCs w:val="32"/>
          <w:shd w:val="clear" w:color="auto" w:fill="FFFFFF"/>
        </w:rPr>
        <w:t>0.98</w:t>
      </w:r>
      <w:r>
        <w:rPr>
          <w:rFonts w:hint="eastAsia" w:ascii="Times New Roman" w:hAnsi="Times New Roman" w:eastAsia="方正仿宋_GBK" w:cs="方正仿宋_GBK"/>
          <w:sz w:val="32"/>
          <w:szCs w:val="32"/>
          <w:shd w:val="clear" w:color="auto" w:fill="FFFFFF"/>
        </w:rPr>
        <w:t>万元，占政府采购支出总额的</w:t>
      </w:r>
      <w:r>
        <w:rPr>
          <w:rFonts w:ascii="Times New Roman" w:hAnsi="Times New Roman" w:eastAsia="方正仿宋_GBK" w:cs="方正仿宋_GBK"/>
          <w:sz w:val="32"/>
          <w:szCs w:val="32"/>
          <w:shd w:val="clear" w:color="auto" w:fill="FFFFFF"/>
        </w:rPr>
        <w:t>81.1 %</w:t>
      </w:r>
      <w:r>
        <w:rPr>
          <w:rFonts w:hint="eastAsia" w:ascii="Times New Roman" w:hAnsi="Times New Roman" w:eastAsia="方正仿宋_GBK" w:cs="方正仿宋_GBK"/>
          <w:sz w:val="32"/>
          <w:szCs w:val="32"/>
          <w:shd w:val="clear" w:color="auto" w:fill="FFFFFF"/>
        </w:rPr>
        <w:t>。主要用于采购打印机。</w:t>
      </w:r>
    </w:p>
    <w:p>
      <w:pPr>
        <w:pStyle w:val="9"/>
        <w:spacing w:beforeAutospacing="0" w:afterAutospacing="0" w:line="560" w:lineRule="exact"/>
        <w:rPr>
          <w:rStyle w:val="11"/>
          <w:rFonts w:hint="default" w:ascii="方正黑体_GBK" w:hAnsi="方正黑体_GBK" w:eastAsia="方正黑体_GBK" w:cs="方正黑体_GBK"/>
          <w:b w:val="0"/>
          <w:sz w:val="32"/>
          <w:szCs w:val="32"/>
          <w:shd w:val="clear" w:color="auto" w:fill="FFFFFF"/>
        </w:rPr>
      </w:pPr>
      <w:r>
        <w:rPr>
          <w:rStyle w:val="11"/>
          <w:rFonts w:ascii="方正黑体_GBK" w:hAnsi="方正黑体_GBK" w:eastAsia="方正黑体_GBK" w:cs="方正黑体_GBK"/>
          <w:b w:val="0"/>
          <w:sz w:val="32"/>
          <w:szCs w:val="32"/>
          <w:shd w:val="clear" w:color="auto" w:fill="FFFFFF"/>
        </w:rPr>
        <w:t>五、2024年度预算绩效管理情况说明</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（一）部门自评情况</w:t>
      </w:r>
    </w:p>
    <w:p>
      <w:pPr>
        <w:pStyle w:val="14"/>
        <w:autoSpaceDE w:val="0"/>
        <w:spacing w:line="560" w:lineRule="exact"/>
        <w:ind w:firstLine="640"/>
        <w:rPr>
          <w:rFonts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根据预算绩效管理要求，我</w:t>
      </w:r>
      <w:r>
        <w:rPr>
          <w:rFonts w:hint="eastAsia" w:ascii="Times New Roman" w:hAnsi="Times New Roman" w:eastAsia="方正仿宋_GBK" w:cs="方正仿宋_GBK"/>
          <w:sz w:val="32"/>
          <w:szCs w:val="32"/>
          <w:shd w:val="clear" w:color="auto" w:fill="FFFFFF"/>
        </w:rPr>
        <w:t>部门对部门整体和72</w:t>
      </w:r>
      <w:r>
        <w:rPr>
          <w:rFonts w:ascii="Times New Roman" w:hAnsi="Times New Roman" w:eastAsia="方正仿宋_GBK" w:cs="方正仿宋_GBK"/>
          <w:sz w:val="32"/>
          <w:szCs w:val="32"/>
          <w:shd w:val="clear" w:color="auto" w:fill="FFFFFF"/>
        </w:rPr>
        <w:t>个项目开展了绩效自评，涉及财政拨款项目支出资金</w:t>
      </w:r>
      <w:r>
        <w:rPr>
          <w:rFonts w:hint="eastAsia" w:ascii="Times New Roman" w:hAnsi="Times New Roman" w:eastAsia="方正仿宋_GBK" w:cs="方正仿宋_GBK"/>
          <w:sz w:val="32"/>
          <w:szCs w:val="32"/>
          <w:shd w:val="clear" w:color="auto" w:fill="FFFFFF"/>
        </w:rPr>
        <w:t>3687.3524</w:t>
      </w:r>
      <w:r>
        <w:rPr>
          <w:rFonts w:ascii="Times New Roman" w:hAnsi="Times New Roman" w:eastAsia="方正仿宋_GBK" w:cs="方正仿宋_GBK"/>
          <w:sz w:val="32"/>
          <w:szCs w:val="32"/>
          <w:shd w:val="clear" w:color="auto" w:fill="FFFFFF"/>
        </w:rPr>
        <w:t>万元。</w:t>
      </w:r>
    </w:p>
    <w:p>
      <w:pPr>
        <w:pStyle w:val="14"/>
        <w:numPr>
          <w:ilvl w:val="0"/>
          <w:numId w:val="2"/>
        </w:numPr>
        <w:autoSpaceDE w:val="0"/>
        <w:spacing w:line="560" w:lineRule="exact"/>
        <w:ind w:firstLine="64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部门整体绩效自评表</w:t>
      </w:r>
    </w:p>
    <w:tbl>
      <w:tblPr>
        <w:tblStyle w:val="12"/>
        <w:tblpPr w:leftFromText="180" w:rightFromText="180" w:vertAnchor="text" w:horzAnchor="page" w:tblpX="1662" w:tblpY="546"/>
        <w:tblOverlap w:val="never"/>
        <w:tblW w:w="8915" w:type="dxa"/>
        <w:tblInd w:w="0" w:type="dxa"/>
        <w:tblLayout w:type="fixed"/>
        <w:tblCellMar>
          <w:top w:w="15" w:type="dxa"/>
          <w:left w:w="15" w:type="dxa"/>
          <w:bottom w:w="15" w:type="dxa"/>
          <w:right w:w="15" w:type="dxa"/>
        </w:tblCellMar>
      </w:tblPr>
      <w:tblGrid>
        <w:gridCol w:w="1055"/>
        <w:gridCol w:w="426"/>
        <w:gridCol w:w="838"/>
        <w:gridCol w:w="850"/>
        <w:gridCol w:w="602"/>
        <w:gridCol w:w="1235"/>
        <w:gridCol w:w="1200"/>
        <w:gridCol w:w="500"/>
        <w:gridCol w:w="363"/>
        <w:gridCol w:w="177"/>
        <w:gridCol w:w="373"/>
        <w:gridCol w:w="212"/>
        <w:gridCol w:w="1084"/>
      </w:tblGrid>
      <w:tr>
        <w:tblPrEx>
          <w:tblLayout w:type="fixed"/>
          <w:tblCellMar>
            <w:top w:w="15" w:type="dxa"/>
            <w:left w:w="15" w:type="dxa"/>
            <w:bottom w:w="15" w:type="dxa"/>
            <w:right w:w="15" w:type="dxa"/>
          </w:tblCellMar>
        </w:tblPrEx>
        <w:trPr>
          <w:trHeight w:val="790" w:hRule="atLeast"/>
        </w:trPr>
        <w:tc>
          <w:tcPr>
            <w:tcW w:w="8915" w:type="dxa"/>
            <w:gridSpan w:val="1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微软雅黑" w:hAnsi="微软雅黑" w:eastAsia="微软雅黑" w:cs="微软雅黑"/>
                <w:b/>
                <w:color w:val="000000"/>
                <w:sz w:val="40"/>
                <w:szCs w:val="40"/>
              </w:rPr>
            </w:pPr>
            <w:r>
              <w:rPr>
                <w:rFonts w:ascii="Times New Roman" w:hAnsi="Times New Roman" w:eastAsia="微软雅黑"/>
                <w:color w:val="000000"/>
                <w:sz w:val="32"/>
                <w:szCs w:val="32"/>
                <w:lang w:bidi="ar"/>
              </w:rPr>
              <w:t>2024年度部门整体绩效自评表</w:t>
            </w:r>
          </w:p>
        </w:tc>
      </w:tr>
      <w:tr>
        <w:tblPrEx>
          <w:tblLayout w:type="fixed"/>
          <w:tblCellMar>
            <w:top w:w="15" w:type="dxa"/>
            <w:left w:w="15" w:type="dxa"/>
            <w:bottom w:w="15" w:type="dxa"/>
            <w:right w:w="15" w:type="dxa"/>
          </w:tblCellMar>
        </w:tblPrEx>
        <w:trPr>
          <w:trHeight w:val="405" w:hRule="atLeast"/>
        </w:trPr>
        <w:tc>
          <w:tcPr>
            <w:tcW w:w="8915" w:type="dxa"/>
            <w:gridSpan w:val="1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hint="default" w:cs="宋体"/>
                <w:b/>
                <w:color w:val="DA3232"/>
                <w:sz w:val="22"/>
                <w:szCs w:val="22"/>
              </w:rPr>
            </w:pPr>
          </w:p>
        </w:tc>
      </w:tr>
      <w:tr>
        <w:tblPrEx>
          <w:tblLayout w:type="fixed"/>
          <w:tblCellMar>
            <w:top w:w="15" w:type="dxa"/>
            <w:left w:w="15" w:type="dxa"/>
            <w:bottom w:w="15" w:type="dxa"/>
            <w:right w:w="15" w:type="dxa"/>
          </w:tblCellMar>
        </w:tblPrEx>
        <w:trPr>
          <w:trHeight w:val="4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项目名称：</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丰都县兴龙镇人民政府整体监控</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项目编码：</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50023000024P000063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自评总分：</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99.31</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p>
        </w:tc>
      </w:tr>
      <w:tr>
        <w:tblPrEx>
          <w:tblLayout w:type="fixed"/>
          <w:tblCellMar>
            <w:top w:w="15" w:type="dxa"/>
            <w:left w:w="15" w:type="dxa"/>
            <w:bottom w:w="15" w:type="dxa"/>
            <w:right w:w="15" w:type="dxa"/>
          </w:tblCellMar>
        </w:tblPrEx>
        <w:trPr>
          <w:trHeight w:val="4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项目主管部门：</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905-丰都县兴龙镇人民政府</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财政归口处室：</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007-基财科</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部门联系人：</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陈佳</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联系电话：</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18315127758</w:t>
            </w:r>
          </w:p>
        </w:tc>
      </w:tr>
      <w:tr>
        <w:tblPrEx>
          <w:tblLayout w:type="fixed"/>
          <w:tblCellMar>
            <w:top w:w="15" w:type="dxa"/>
            <w:left w:w="15" w:type="dxa"/>
            <w:bottom w:w="15" w:type="dxa"/>
            <w:right w:w="15" w:type="dxa"/>
          </w:tblCellMar>
        </w:tblPrEx>
        <w:trPr>
          <w:trHeight w:val="600" w:hRule="atLeast"/>
        </w:trPr>
        <w:tc>
          <w:tcPr>
            <w:tcW w:w="8915" w:type="dxa"/>
            <w:gridSpan w:val="1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资金情况</w:t>
            </w:r>
          </w:p>
        </w:tc>
      </w:tr>
      <w:tr>
        <w:tblPrEx>
          <w:tblLayout w:type="fixed"/>
          <w:tblCellMar>
            <w:top w:w="15" w:type="dxa"/>
            <w:left w:w="15" w:type="dxa"/>
            <w:bottom w:w="15" w:type="dxa"/>
            <w:right w:w="15" w:type="dxa"/>
          </w:tblCellMar>
        </w:tblPrEx>
        <w:trPr>
          <w:trHeight w:val="963" w:hRule="atLeast"/>
        </w:trPr>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年初预算数</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全年（调整）预算数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执行率</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执行率权重</w:t>
            </w:r>
          </w:p>
        </w:tc>
        <w:tc>
          <w:tcPr>
            <w:tcW w:w="1846"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执行率得分</w:t>
            </w:r>
          </w:p>
        </w:tc>
      </w:tr>
      <w:tr>
        <w:tblPrEx>
          <w:tblLayout w:type="fixed"/>
          <w:tblCellMar>
            <w:top w:w="15" w:type="dxa"/>
            <w:left w:w="15" w:type="dxa"/>
            <w:bottom w:w="15" w:type="dxa"/>
            <w:right w:w="15" w:type="dxa"/>
          </w:tblCellMar>
        </w:tblPrEx>
        <w:trPr>
          <w:trHeight w:val="490" w:hRule="atLeast"/>
        </w:trPr>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年度总金额</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19,230,421.60</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39,593,614.05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36,873,524.46</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p>
        </w:tc>
      </w:tr>
      <w:tr>
        <w:tblPrEx>
          <w:tblLayout w:type="fixed"/>
          <w:tblCellMar>
            <w:top w:w="15" w:type="dxa"/>
            <w:left w:w="15" w:type="dxa"/>
            <w:bottom w:w="15" w:type="dxa"/>
            <w:right w:w="15" w:type="dxa"/>
          </w:tblCellMar>
        </w:tblPrEx>
        <w:trPr>
          <w:trHeight w:val="490" w:hRule="atLeast"/>
        </w:trPr>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其中：财政拨款</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19,230,421.60</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39,593,614.05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36,873,524.46</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93.13</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10.00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9.31</w:t>
            </w:r>
          </w:p>
        </w:tc>
      </w:tr>
      <w:tr>
        <w:tblPrEx>
          <w:tblLayout w:type="fixed"/>
          <w:tblCellMar>
            <w:top w:w="15" w:type="dxa"/>
            <w:left w:w="15" w:type="dxa"/>
            <w:bottom w:w="15" w:type="dxa"/>
            <w:right w:w="15" w:type="dxa"/>
          </w:tblCellMar>
        </w:tblPrEx>
        <w:trPr>
          <w:trHeight w:val="490" w:hRule="atLeast"/>
        </w:trPr>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一般公共预算</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19,230,421.60</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39,013,414.05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36,500,524.46</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r>
              <w:rPr>
                <w:rFonts w:ascii="Times New Roman" w:hAnsi="Times New Roman"/>
                <w:color w:val="000000"/>
                <w:sz w:val="20"/>
                <w:szCs w:val="20"/>
                <w:lang w:bidi="ar"/>
              </w:rPr>
              <w:t>93.56</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Times New Roman" w:hAnsi="Times New Roman"/>
                <w:color w:val="000000"/>
                <w:sz w:val="20"/>
                <w:szCs w:val="20"/>
                <w:lang w:bidi="ar"/>
              </w:rPr>
            </w:pPr>
          </w:p>
        </w:tc>
      </w:tr>
      <w:tr>
        <w:tblPrEx>
          <w:tblLayout w:type="fixed"/>
          <w:tblCellMar>
            <w:top w:w="15" w:type="dxa"/>
            <w:left w:w="15" w:type="dxa"/>
            <w:bottom w:w="15" w:type="dxa"/>
            <w:right w:w="15" w:type="dxa"/>
          </w:tblCellMar>
        </w:tblPrEx>
        <w:trPr>
          <w:trHeight w:val="600" w:hRule="atLeast"/>
        </w:trPr>
        <w:tc>
          <w:tcPr>
            <w:tcW w:w="8915" w:type="dxa"/>
            <w:gridSpan w:val="1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微软雅黑" w:hAnsi="微软雅黑" w:eastAsia="微软雅黑" w:cs="微软雅黑"/>
                <w:b/>
                <w:color w:val="808080"/>
                <w:sz w:val="28"/>
                <w:szCs w:val="28"/>
              </w:rPr>
            </w:pPr>
            <w:r>
              <w:rPr>
                <w:rFonts w:ascii="Times New Roman" w:hAnsi="Times New Roman" w:eastAsia="微软雅黑"/>
                <w:color w:val="808080"/>
                <w:sz w:val="22"/>
                <w:szCs w:val="22"/>
                <w:lang w:bidi="ar"/>
              </w:rPr>
              <w:t>绩效目标</w:t>
            </w:r>
          </w:p>
        </w:tc>
      </w:tr>
      <w:tr>
        <w:tblPrEx>
          <w:tblLayout w:type="fixed"/>
          <w:tblCellMar>
            <w:top w:w="15" w:type="dxa"/>
            <w:left w:w="15" w:type="dxa"/>
            <w:bottom w:w="15" w:type="dxa"/>
            <w:right w:w="15" w:type="dxa"/>
          </w:tblCellMar>
        </w:tblPrEx>
        <w:trPr>
          <w:trHeight w:val="490" w:hRule="atLeast"/>
        </w:trPr>
        <w:tc>
          <w:tcPr>
            <w:tcW w:w="316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年初绩效目标</w:t>
            </w: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全年（调整）绩效目标</w:t>
            </w:r>
          </w:p>
        </w:tc>
        <w:tc>
          <w:tcPr>
            <w:tcW w:w="2709"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全年目标实际完成情况</w:t>
            </w:r>
          </w:p>
        </w:tc>
      </w:tr>
      <w:tr>
        <w:tblPrEx>
          <w:tblLayout w:type="fixed"/>
          <w:tblCellMar>
            <w:top w:w="15" w:type="dxa"/>
            <w:left w:w="15" w:type="dxa"/>
            <w:bottom w:w="15" w:type="dxa"/>
            <w:right w:w="15" w:type="dxa"/>
          </w:tblCellMar>
        </w:tblPrEx>
        <w:trPr>
          <w:trHeight w:val="1931" w:hRule="atLeast"/>
        </w:trPr>
        <w:tc>
          <w:tcPr>
            <w:tcW w:w="316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贯彻执行上级的各项方针政策，确保各项工作目标任务圆满完成；妥善处理突发性、群体性事件，调节和处理好各种利益矛盾和纠纷；财务方面严格按照“三公”经费预算管理的规定实施；贯彻落实社会治安综合治理、安全生产，“乡村振兴”推进工作，人民生活水平不断提高，社会公众满意程度普遍提升。</w:t>
            </w: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贯彻执行上级的各项方针政策，确保各项工作目标任务圆满完成；妥善处理突发性、群体性事件，调节和处理好各种利益矛盾和纠纷；财务方面严格按照“三公”经费预算管理的规定实施；贯彻落实社会治安综合治理、安全生产，“乡村振兴”推进工作，人民生活水平不断提高，社会公众满意程度普遍提升。</w:t>
            </w:r>
          </w:p>
        </w:tc>
        <w:tc>
          <w:tcPr>
            <w:tcW w:w="2709"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贯彻执行上级的各项方针政策，确保各项工作目标任务圆满完成；妥善处理突发性、群体性事件，调节和处理好各种利益矛盾和纠纷；财务方面严格按照“三公”经费预算管理的规定实施；贯彻落实社会治安综合治理、安全生产，“乡村振兴”推进工作，人民生活水平不断提高，社会公众满意程度普遍提升。</w:t>
            </w:r>
          </w:p>
        </w:tc>
      </w:tr>
      <w:tr>
        <w:tblPrEx>
          <w:tblLayout w:type="fixed"/>
          <w:tblCellMar>
            <w:top w:w="15" w:type="dxa"/>
            <w:left w:w="15" w:type="dxa"/>
            <w:bottom w:w="15" w:type="dxa"/>
            <w:right w:w="15" w:type="dxa"/>
          </w:tblCellMar>
        </w:tblPrEx>
        <w:trPr>
          <w:trHeight w:val="600" w:hRule="atLeast"/>
        </w:trPr>
        <w:tc>
          <w:tcPr>
            <w:tcW w:w="8915" w:type="dxa"/>
            <w:gridSpan w:val="1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center"/>
              <w:rPr>
                <w:rFonts w:hint="default" w:ascii="微软雅黑" w:hAnsi="微软雅黑" w:eastAsia="微软雅黑" w:cs="微软雅黑"/>
                <w:b/>
                <w:color w:val="808080"/>
                <w:sz w:val="28"/>
                <w:szCs w:val="28"/>
              </w:rPr>
            </w:pPr>
            <w:r>
              <w:rPr>
                <w:rFonts w:ascii="Times New Roman" w:hAnsi="Times New Roman" w:eastAsia="微软雅黑"/>
                <w:color w:val="808080"/>
                <w:sz w:val="22"/>
                <w:szCs w:val="22"/>
                <w:lang w:bidi="ar"/>
              </w:rPr>
              <w:t>绩效指标</w:t>
            </w:r>
          </w:p>
        </w:tc>
      </w:tr>
      <w:tr>
        <w:tblPrEx>
          <w:tblLayout w:type="fixed"/>
          <w:tblCellMar>
            <w:top w:w="15" w:type="dxa"/>
            <w:left w:w="15" w:type="dxa"/>
            <w:bottom w:w="15" w:type="dxa"/>
            <w:right w:w="15" w:type="dxa"/>
          </w:tblCellMar>
        </w:tblPrEx>
        <w:trPr>
          <w:trHeight w:val="93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指标名称</w:t>
            </w:r>
          </w:p>
        </w:tc>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计量单位</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指标性质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指标值</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全年完成值</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偏离度（%）</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得分系数（%）</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指标权重</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指标得分</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是否核心指标</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说明</w:t>
            </w:r>
          </w:p>
        </w:tc>
      </w:tr>
      <w:tr>
        <w:tblPrEx>
          <w:tblLayout w:type="fixed"/>
          <w:tblCellMar>
            <w:top w:w="15" w:type="dxa"/>
            <w:left w:w="15" w:type="dxa"/>
            <w:bottom w:w="15" w:type="dxa"/>
            <w:right w:w="15" w:type="dxa"/>
          </w:tblCellMar>
        </w:tblPrEx>
        <w:trPr>
          <w:trHeight w:val="4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机关事务正常运转率</w:t>
            </w:r>
          </w:p>
        </w:tc>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95</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95</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100</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20</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20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是</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p>
        </w:tc>
      </w:tr>
      <w:tr>
        <w:tblPrEx>
          <w:tblLayout w:type="fixed"/>
          <w:tblCellMar>
            <w:top w:w="15" w:type="dxa"/>
            <w:left w:w="15" w:type="dxa"/>
            <w:bottom w:w="15" w:type="dxa"/>
            <w:right w:w="15" w:type="dxa"/>
          </w:tblCellMar>
        </w:tblPrEx>
        <w:trPr>
          <w:trHeight w:val="4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项目验收合格率</w:t>
            </w:r>
          </w:p>
        </w:tc>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95</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95</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100</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20</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20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是</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p>
        </w:tc>
      </w:tr>
      <w:tr>
        <w:tblPrEx>
          <w:tblLayout w:type="fixed"/>
          <w:tblCellMar>
            <w:top w:w="15" w:type="dxa"/>
            <w:left w:w="15" w:type="dxa"/>
            <w:bottom w:w="15" w:type="dxa"/>
            <w:right w:w="15" w:type="dxa"/>
          </w:tblCellMar>
        </w:tblPrEx>
        <w:trPr>
          <w:trHeight w:val="4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各类补贴发放及时率</w:t>
            </w:r>
          </w:p>
        </w:tc>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95</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95</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100</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20</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20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是</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p>
        </w:tc>
      </w:tr>
      <w:tr>
        <w:tblPrEx>
          <w:tblLayout w:type="fixed"/>
          <w:tblCellMar>
            <w:top w:w="15" w:type="dxa"/>
            <w:left w:w="15" w:type="dxa"/>
            <w:bottom w:w="15" w:type="dxa"/>
            <w:right w:w="15" w:type="dxa"/>
          </w:tblCellMar>
        </w:tblPrEx>
        <w:trPr>
          <w:trHeight w:val="4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是否保障辖区村（居）民利益</w:t>
            </w:r>
          </w:p>
        </w:tc>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定性</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优</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1</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100</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10</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10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是</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p>
        </w:tc>
      </w:tr>
      <w:tr>
        <w:tblPrEx>
          <w:tblLayout w:type="fixed"/>
          <w:tblCellMar>
            <w:top w:w="15" w:type="dxa"/>
            <w:left w:w="15" w:type="dxa"/>
            <w:bottom w:w="15" w:type="dxa"/>
            <w:right w:w="15" w:type="dxa"/>
          </w:tblCellMar>
        </w:tblPrEx>
        <w:trPr>
          <w:trHeight w:val="4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是否改善辖区人居环境</w:t>
            </w:r>
          </w:p>
        </w:tc>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定性</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有效改善</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1</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100</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10</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10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否</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p>
        </w:tc>
      </w:tr>
      <w:tr>
        <w:tblPrEx>
          <w:tblLayout w:type="fixed"/>
          <w:tblCellMar>
            <w:top w:w="15" w:type="dxa"/>
            <w:left w:w="15" w:type="dxa"/>
            <w:bottom w:w="15" w:type="dxa"/>
            <w:right w:w="15" w:type="dxa"/>
          </w:tblCellMar>
        </w:tblPrEx>
        <w:trPr>
          <w:trHeight w:val="4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群众满意度</w:t>
            </w:r>
          </w:p>
        </w:tc>
        <w:tc>
          <w:tcPr>
            <w:tcW w:w="4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95</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95</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100</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20</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20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r>
              <w:rPr>
                <w:rFonts w:ascii="Times New Roman" w:hAnsi="Times New Roman"/>
                <w:color w:val="000000"/>
                <w:sz w:val="20"/>
                <w:szCs w:val="20"/>
                <w:lang w:bidi="ar"/>
              </w:rPr>
              <w:t>是</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textAlignment w:val="top"/>
              <w:rPr>
                <w:rFonts w:hint="default" w:ascii="Times New Roman" w:hAnsi="Times New Roman"/>
                <w:color w:val="000000"/>
                <w:sz w:val="20"/>
                <w:szCs w:val="20"/>
                <w:lang w:bidi="ar"/>
              </w:rPr>
            </w:pPr>
          </w:p>
        </w:tc>
      </w:tr>
    </w:tbl>
    <w:p>
      <w:pPr>
        <w:pStyle w:val="14"/>
        <w:autoSpaceDE w:val="0"/>
        <w:spacing w:line="560" w:lineRule="exact"/>
        <w:ind w:firstLine="0" w:firstLineChars="0"/>
        <w:rPr>
          <w:rFonts w:ascii="Times New Roman" w:hAnsi="Times New Roman" w:eastAsia="方正仿宋_GBK" w:cs="方正仿宋_GBK"/>
          <w:sz w:val="32"/>
          <w:szCs w:val="32"/>
          <w:shd w:val="clear" w:color="auto" w:fill="FFFFFF"/>
        </w:rPr>
      </w:pPr>
    </w:p>
    <w:p>
      <w:pPr>
        <w:pStyle w:val="14"/>
        <w:autoSpaceDE w:val="0"/>
        <w:spacing w:line="560" w:lineRule="exact"/>
        <w:ind w:firstLine="0" w:firstLineChars="0"/>
        <w:rPr>
          <w:rFonts w:ascii="Times New Roman" w:hAnsi="Times New Roman" w:eastAsia="方正仿宋_GBK" w:cs="方正仿宋_GBK"/>
          <w:sz w:val="32"/>
          <w:szCs w:val="32"/>
          <w:shd w:val="clear" w:color="auto" w:fill="FFFFFF"/>
        </w:rPr>
      </w:pPr>
    </w:p>
    <w:p>
      <w:pPr>
        <w:pStyle w:val="14"/>
        <w:autoSpaceDE w:val="0"/>
        <w:spacing w:line="560" w:lineRule="exact"/>
        <w:ind w:firstLine="64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w:t>
      </w:r>
      <w:r>
        <w:rPr>
          <w:rFonts w:ascii="Times New Roman" w:hAnsi="Times New Roman" w:eastAsia="方正仿宋_GBK" w:cs="方正仿宋_GBK"/>
          <w:sz w:val="32"/>
          <w:szCs w:val="32"/>
          <w:shd w:val="clear" w:color="auto" w:fill="FFFFFF"/>
        </w:rPr>
        <w:t>项目支出绩效自评表（见附件）</w:t>
      </w:r>
    </w:p>
    <w:p>
      <w:pPr>
        <w:pStyle w:val="14"/>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（二）部门绩效评价情况</w:t>
      </w:r>
    </w:p>
    <w:p>
      <w:pPr>
        <w:spacing w:line="56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cs="方正仿宋_GBK"/>
          <w:sz w:val="32"/>
          <w:szCs w:val="32"/>
          <w:shd w:val="clear" w:color="auto" w:fill="FFFFFF"/>
        </w:rPr>
        <w:t>我</w:t>
      </w:r>
      <w:r>
        <w:rPr>
          <w:rFonts w:ascii="Times New Roman" w:hAnsi="Times New Roman" w:eastAsia="方正仿宋_GBK" w:cs="方正仿宋_GBK"/>
          <w:sz w:val="32"/>
          <w:szCs w:val="32"/>
          <w:shd w:val="clear" w:color="auto" w:fill="FFFFFF"/>
        </w:rPr>
        <w:t>部门</w:t>
      </w:r>
      <w:r>
        <w:rPr>
          <w:rFonts w:hint="default" w:ascii="Times New Roman" w:hAnsi="Times New Roman" w:eastAsia="方正仿宋_GBK" w:cs="方正仿宋_GBK"/>
          <w:sz w:val="32"/>
          <w:szCs w:val="32"/>
          <w:shd w:val="clear" w:color="auto" w:fill="FFFFFF"/>
        </w:rPr>
        <w:t>未组织开展绩效评价。</w:t>
      </w:r>
    </w:p>
    <w:p>
      <w:pPr>
        <w:pStyle w:val="14"/>
        <w:autoSpaceDE w:val="0"/>
        <w:spacing w:line="560" w:lineRule="exact"/>
        <w:ind w:firstLine="640"/>
        <w:rPr>
          <w:rFonts w:ascii="Times New Roman" w:hAnsi="Times New Roman" w:eastAsia="楷体"/>
          <w:sz w:val="32"/>
          <w:szCs w:val="32"/>
          <w:shd w:val="clear" w:color="auto" w:fill="FFFFFF"/>
        </w:rPr>
      </w:pPr>
      <w:r>
        <w:rPr>
          <w:rFonts w:hint="eastAsia" w:ascii="方正楷体_GBK" w:hAnsi="方正楷体_GBK" w:eastAsia="方正楷体_GBK" w:cs="方正楷体_GBK"/>
          <w:sz w:val="32"/>
          <w:szCs w:val="32"/>
          <w:shd w:val="clear" w:color="auto" w:fill="FFFFFF"/>
        </w:rPr>
        <w:t>（三）财政绩效评价情况</w:t>
      </w:r>
    </w:p>
    <w:p>
      <w:pPr>
        <w:pStyle w:val="15"/>
        <w:spacing w:before="0" w:beforeAutospacing="0" w:after="0" w:afterAutospacing="0" w:line="596" w:lineRule="exact"/>
        <w:ind w:firstLine="640" w:firstLineChars="200"/>
        <w:rPr>
          <w:rFonts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县财政局未委托第三方对我</w:t>
      </w:r>
      <w:r>
        <w:rPr>
          <w:rFonts w:hint="eastAsia" w:ascii="Times New Roman" w:hAnsi="Times New Roman" w:eastAsia="方正仿宋_GBK" w:cs="方正仿宋_GBK"/>
          <w:sz w:val="32"/>
          <w:szCs w:val="32"/>
          <w:shd w:val="clear" w:color="auto" w:fill="FFFFFF"/>
        </w:rPr>
        <w:t>部门</w:t>
      </w:r>
      <w:r>
        <w:rPr>
          <w:rFonts w:ascii="Times New Roman" w:hAnsi="Times New Roman" w:eastAsia="方正仿宋_GBK" w:cs="方正仿宋_GBK"/>
          <w:sz w:val="32"/>
          <w:szCs w:val="32"/>
          <w:shd w:val="clear" w:color="auto" w:fill="FFFFFF"/>
        </w:rPr>
        <w:t>开展绩效评价。</w:t>
      </w:r>
    </w:p>
    <w:p>
      <w:pPr>
        <w:pStyle w:val="9"/>
        <w:spacing w:beforeAutospacing="0" w:afterAutospacing="0" w:line="560" w:lineRule="exact"/>
        <w:ind w:firstLine="640" w:firstLineChars="200"/>
        <w:rPr>
          <w:rStyle w:val="11"/>
          <w:rFonts w:hint="default" w:ascii="方正黑体_GBK" w:hAnsi="方正黑体_GBK" w:eastAsia="方正黑体_GBK" w:cs="方正黑体_GBK"/>
          <w:b w:val="0"/>
          <w:sz w:val="32"/>
          <w:szCs w:val="32"/>
          <w:shd w:val="clear" w:color="auto" w:fill="FFFFFF"/>
        </w:rPr>
      </w:pPr>
    </w:p>
    <w:p>
      <w:pPr>
        <w:pStyle w:val="9"/>
        <w:spacing w:beforeAutospacing="0" w:afterAutospacing="0" w:line="560" w:lineRule="exact"/>
        <w:ind w:firstLine="640" w:firstLineChars="200"/>
        <w:rPr>
          <w:rStyle w:val="11"/>
          <w:rFonts w:hint="default" w:ascii="方正黑体_GBK" w:hAnsi="方正黑体_GBK" w:eastAsia="方正黑体_GBK" w:cs="方正黑体_GBK"/>
          <w:b w:val="0"/>
          <w:sz w:val="32"/>
          <w:szCs w:val="32"/>
          <w:shd w:val="clear" w:color="auto" w:fill="FFFFFF"/>
        </w:rPr>
      </w:pPr>
    </w:p>
    <w:p>
      <w:pPr>
        <w:pStyle w:val="9"/>
        <w:spacing w:beforeAutospacing="0" w:afterAutospacing="0" w:line="560" w:lineRule="exact"/>
        <w:ind w:firstLine="640" w:firstLineChars="200"/>
        <w:rPr>
          <w:rStyle w:val="11"/>
          <w:rFonts w:hint="default" w:ascii="方正黑体_GBK" w:hAnsi="方正黑体_GBK" w:eastAsia="方正黑体_GBK" w:cs="方正黑体_GBK"/>
          <w:b w:val="0"/>
          <w:sz w:val="32"/>
          <w:szCs w:val="32"/>
          <w:shd w:val="clear" w:color="auto" w:fill="FFFFFF"/>
        </w:rPr>
      </w:pPr>
    </w:p>
    <w:p>
      <w:pPr>
        <w:pStyle w:val="9"/>
        <w:spacing w:beforeAutospacing="0" w:afterAutospacing="0" w:line="560" w:lineRule="exact"/>
        <w:ind w:firstLine="640" w:firstLineChars="200"/>
        <w:rPr>
          <w:rStyle w:val="11"/>
          <w:rFonts w:hint="default" w:ascii="方正黑体_GBK" w:hAnsi="方正黑体_GBK" w:eastAsia="方正黑体_GBK" w:cs="方正黑体_GBK"/>
          <w:b w:val="0"/>
          <w:sz w:val="32"/>
          <w:szCs w:val="32"/>
          <w:shd w:val="clear" w:color="auto" w:fill="FFFFFF"/>
        </w:rPr>
      </w:pPr>
      <w:r>
        <w:rPr>
          <w:rStyle w:val="11"/>
          <w:rFonts w:ascii="方正黑体_GBK" w:hAnsi="方正黑体_GBK" w:eastAsia="方正黑体_GBK" w:cs="方正黑体_GBK"/>
          <w:b w:val="0"/>
          <w:sz w:val="32"/>
          <w:szCs w:val="32"/>
          <w:shd w:val="clear" w:color="auto" w:fill="FFFFFF"/>
        </w:rPr>
        <w:t xml:space="preserve"> 六、专业名词解释</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方正楷体_GBK" w:hAnsi="方正楷体_GBK" w:eastAsia="方正楷体_GBK" w:cs="方正楷体_GBK"/>
          <w:sz w:val="32"/>
          <w:szCs w:val="32"/>
          <w:shd w:val="clear" w:color="auto" w:fill="FFFFFF"/>
        </w:rPr>
        <w:t>（一）财政拨款收入：</w:t>
      </w:r>
      <w:r>
        <w:rPr>
          <w:rFonts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9"/>
        <w:snapToGrid w:val="0"/>
        <w:spacing w:before="0" w:beforeAutospacing="0" w:after="0" w:afterAutospacing="0" w:line="560"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（二）事业收入：</w:t>
      </w:r>
      <w:r>
        <w:rPr>
          <w:rFonts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9"/>
        <w:snapToGrid w:val="0"/>
        <w:spacing w:before="0" w:beforeAutospacing="0" w:after="0" w:afterAutospacing="0" w:line="560"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（三）经营收入：</w:t>
      </w:r>
      <w:r>
        <w:rPr>
          <w:rFonts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方正楷体_GBK" w:hAnsi="方正楷体_GBK" w:eastAsia="方正楷体_GBK" w:cs="方正楷体_GBK"/>
          <w:sz w:val="32"/>
          <w:szCs w:val="32"/>
          <w:shd w:val="clear" w:color="auto" w:fill="FFFFFF"/>
        </w:rPr>
        <w:t>（四）其他收入：</w:t>
      </w:r>
      <w:r>
        <w:rPr>
          <w:rFonts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snapToGrid w:val="0"/>
        <w:spacing w:before="0" w:beforeAutospacing="0" w:after="0" w:afterAutospacing="0" w:line="560"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（五）使用非财政拨款结余（含专用结余）：</w:t>
      </w:r>
      <w:r>
        <w:rPr>
          <w:rFonts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9"/>
        <w:snapToGrid w:val="0"/>
        <w:spacing w:before="0" w:beforeAutospacing="0" w:after="0" w:afterAutospacing="0" w:line="560"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（六）年初结转和结余：</w:t>
      </w:r>
      <w:r>
        <w:rPr>
          <w:rFonts w:ascii="Times New Roman" w:hAnsi="Times New Roman" w:eastAsia="方正仿宋_GBK"/>
          <w:sz w:val="32"/>
          <w:szCs w:val="32"/>
          <w:shd w:val="clear" w:color="auto" w:fill="FFFFFF"/>
        </w:rPr>
        <w:t>指单位上年结转本年使用的基本支出结转、项目支出结转和结余、经营结余</w:t>
      </w:r>
      <w:r>
        <w:rPr>
          <w:rFonts w:ascii="方正楷体_GBK" w:hAnsi="方正楷体_GBK" w:eastAsia="方正楷体_GBK" w:cs="方正楷体_GBK"/>
          <w:sz w:val="32"/>
          <w:szCs w:val="32"/>
          <w:shd w:val="clear" w:color="auto" w:fill="FFFFFF"/>
        </w:rPr>
        <w:t>。</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方正楷体_GBK" w:hAnsi="方正楷体_GBK" w:eastAsia="方正楷体_GBK" w:cs="方正楷体_GBK"/>
          <w:sz w:val="32"/>
          <w:szCs w:val="32"/>
          <w:shd w:val="clear" w:color="auto" w:fill="FFFFFF"/>
        </w:rPr>
        <w:t>（七）结余分配：</w:t>
      </w:r>
      <w:r>
        <w:rPr>
          <w:rFonts w:ascii="Times New Roman" w:hAnsi="Times New Roman" w:eastAsia="方正仿宋_GBK"/>
          <w:sz w:val="32"/>
          <w:szCs w:val="32"/>
          <w:shd w:val="clear" w:color="auto" w:fill="FFFFFF"/>
        </w:rPr>
        <w:t>指单位按照国家有关规定，</w:t>
      </w:r>
      <w:r>
        <w:rPr>
          <w:rFonts w:hint="eastAsia" w:ascii="Times New Roman" w:hAnsi="Times New Roman" w:eastAsia="方正仿宋_GBK"/>
          <w:sz w:val="32"/>
          <w:szCs w:val="32"/>
          <w:shd w:val="clear" w:color="auto" w:fill="FFFFFF"/>
          <w:lang w:val="en-US" w:eastAsia="zh-CN"/>
        </w:rPr>
        <w:t>交</w:t>
      </w:r>
      <w:r>
        <w:rPr>
          <w:rFonts w:ascii="Times New Roman" w:hAnsi="Times New Roman" w:eastAsia="方正仿宋_GBK"/>
          <w:sz w:val="32"/>
          <w:szCs w:val="32"/>
          <w:shd w:val="clear" w:color="auto" w:fill="FFFFFF"/>
        </w:rPr>
        <w:t>纳所得税、提取专用基金、转入非财政拨款结余</w:t>
      </w:r>
      <w:bookmarkStart w:id="0" w:name="_GoBack"/>
      <w:bookmarkEnd w:id="0"/>
      <w:r>
        <w:rPr>
          <w:rFonts w:ascii="Times New Roman" w:hAnsi="Times New Roman" w:eastAsia="方正仿宋_GBK"/>
          <w:sz w:val="32"/>
          <w:szCs w:val="32"/>
          <w:shd w:val="clear" w:color="auto" w:fill="FFFFFF"/>
        </w:rPr>
        <w:t>等当年结余的分配情况。</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方正楷体_GBK" w:hAnsi="方正楷体_GBK" w:eastAsia="方正楷体_GBK" w:cs="方正楷体_GBK"/>
          <w:sz w:val="32"/>
          <w:szCs w:val="32"/>
          <w:shd w:val="clear" w:color="auto" w:fill="FFFFFF"/>
        </w:rPr>
        <w:t>（八）年末结转和结余：</w:t>
      </w:r>
      <w:r>
        <w:rPr>
          <w:rFonts w:ascii="Times New Roman" w:hAnsi="Times New Roman" w:eastAsia="方正仿宋_GBK"/>
          <w:sz w:val="32"/>
          <w:szCs w:val="32"/>
          <w:shd w:val="clear" w:color="auto" w:fill="FFFFFF"/>
        </w:rPr>
        <w:t>指单位结转下年的基本支出结转、项目支出结转和结余、经营结余。</w:t>
      </w:r>
    </w:p>
    <w:p>
      <w:pPr>
        <w:pStyle w:val="9"/>
        <w:snapToGrid w:val="0"/>
        <w:spacing w:before="0" w:beforeAutospacing="0" w:after="0" w:afterAutospacing="0" w:line="560"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（九）基本支出：</w:t>
      </w:r>
      <w:r>
        <w:rPr>
          <w:rFonts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方正楷体_GBK" w:hAnsi="方正楷体_GBK" w:eastAsia="方正楷体_GBK" w:cs="方正楷体_GBK"/>
          <w:sz w:val="32"/>
          <w:szCs w:val="32"/>
          <w:shd w:val="clear" w:color="auto" w:fill="FFFFFF"/>
        </w:rPr>
        <w:t>（十）项目支出：</w:t>
      </w:r>
      <w:r>
        <w:rPr>
          <w:rFonts w:ascii="Times New Roman" w:hAnsi="Times New Roman" w:eastAsia="方正仿宋_GBK"/>
          <w:sz w:val="32"/>
          <w:szCs w:val="32"/>
          <w:shd w:val="clear" w:color="auto" w:fill="FFFFFF"/>
        </w:rPr>
        <w:t>指在基本支出之外为完成特定行政任务和事业发展目标所发生的支出。</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（十一）经营支出：</w:t>
      </w:r>
      <w:r>
        <w:rPr>
          <w:rFonts w:hint="eastAsia" w:ascii="Times New Roman" w:hAnsi="Times New Roman" w:eastAsia="方正仿宋_GBK"/>
          <w:sz w:val="32"/>
          <w:szCs w:val="32"/>
          <w:shd w:val="clear" w:color="auto" w:fill="FFFFFF"/>
        </w:rPr>
        <w:t>指事业单位在专业业务活动及其辅助活动之外开展非独立核算经营活动发生的支出。</w:t>
      </w:r>
    </w:p>
    <w:p>
      <w:pPr>
        <w:pStyle w:val="15"/>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（十二）“三公”经费：</w:t>
      </w:r>
      <w:r>
        <w:rPr>
          <w:rFonts w:hint="eastAsia"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spacing w:beforeAutospacing="0" w:afterAutospacing="0" w:line="560" w:lineRule="exact"/>
        <w:ind w:firstLine="640" w:firstLineChars="200"/>
        <w:rPr>
          <w:rStyle w:val="11"/>
          <w:rFonts w:hint="default" w:ascii="方正黑体_GBK" w:hAnsi="方正黑体_GBK" w:eastAsia="方正黑体_GBK" w:cs="方正黑体_GBK"/>
          <w:b w:val="0"/>
          <w:sz w:val="32"/>
          <w:szCs w:val="32"/>
          <w:shd w:val="clear" w:color="auto" w:fill="FFFFFF"/>
        </w:rPr>
      </w:pPr>
      <w:r>
        <w:rPr>
          <w:rStyle w:val="11"/>
          <w:rFonts w:ascii="方正黑体_GBK" w:hAnsi="方正黑体_GBK" w:eastAsia="方正黑体_GBK" w:cs="方正黑体_GBK"/>
          <w:b w:val="0"/>
          <w:sz w:val="32"/>
          <w:szCs w:val="32"/>
          <w:shd w:val="clear" w:color="auto" w:fill="FFFFFF"/>
        </w:rPr>
        <w:t>七、决算公开联系方式及信息反馈渠道</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本部门决算公开信息反馈和联系方式：</w:t>
      </w:r>
    </w:p>
    <w:p>
      <w:pPr>
        <w:pStyle w:val="9"/>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杜良梅   </w:t>
      </w:r>
      <w:r>
        <w:rPr>
          <w:rFonts w:hint="default" w:ascii="Times New Roman" w:hAnsi="Times New Roman" w:eastAsia="方正仿宋_GBK"/>
          <w:sz w:val="32"/>
          <w:szCs w:val="32"/>
          <w:shd w:val="clear" w:color="auto" w:fill="FFFFFF"/>
        </w:rPr>
        <w:t>023-70688006</w:t>
      </w:r>
    </w:p>
    <w:p>
      <w:pPr>
        <w:pStyle w:val="14"/>
        <w:autoSpaceDE w:val="0"/>
        <w:spacing w:line="596" w:lineRule="exact"/>
        <w:ind w:firstLine="643"/>
        <w:jc w:val="both"/>
        <w:rPr>
          <w:rStyle w:val="11"/>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12"/>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丰都县兴龙镇人民政府(本级)</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5"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3,100.70</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628.62</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37.30</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25.59</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500.42</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61.72</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111.47</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870.05</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758.74</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53.00</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64.40</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53.39</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37.30</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3,138.00</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3,174.69</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47.07</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3,185.07</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3,185.07</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2"/>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丰都县兴龙镇人民政府(本级)</w:t>
            </w:r>
          </w:p>
        </w:tc>
        <w:tc>
          <w:tcPr>
            <w:tcW w:w="144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3,138.00</w:t>
            </w:r>
          </w:p>
        </w:tc>
        <w:tc>
          <w:tcPr>
            <w:tcW w:w="1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3,138.00</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621.15</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621.15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605.04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605.04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503.78</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503.78</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90.76</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90.76</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500.42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500.42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95.14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95.14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95.14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95.14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204.48</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204.48</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37.91</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37.91</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89.05</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89.05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70.27</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70.27</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70.27</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70.27</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25.76</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25.76</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14.08</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14.08</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111.47</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111.47</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67.47</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67.47</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67.47</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67.47</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860.05</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860.05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7.47</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7.47</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0.47</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0.47</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257.12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257.12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162.53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162.53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174.93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174.93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739.52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739.52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739.52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739.52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593.94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593.94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137.46</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137.46</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64.40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64.40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60.58</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60.58</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60.58</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60.58</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34.56</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34.56</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2240704</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自然灾害灾后重建补助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2"/>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丰都县兴龙镇人民政府(本级)</w:t>
            </w:r>
          </w:p>
        </w:tc>
        <w:tc>
          <w:tcPr>
            <w:tcW w:w="176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3,174.69</w:t>
            </w:r>
          </w:p>
        </w:tc>
        <w:tc>
          <w:tcPr>
            <w:tcW w:w="1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1,532.63</w:t>
            </w:r>
          </w:p>
        </w:tc>
        <w:tc>
          <w:tcPr>
            <w:tcW w:w="16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1,642.06</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628.62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597.54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31.09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612.51</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597.54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506.78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506.78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95.23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90.76</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5.75</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5.75</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500.42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325.92</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174.49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95.14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95.14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95.14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95.14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204.48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204.48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37.91</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37.91</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89.05</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89.05</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9.19</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70.27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70.27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70.27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70.27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4.81</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61.72</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25.76</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25.76</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21.89</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111.47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67.47</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67.47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67.47</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67.47</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870.05</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399.56</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470.48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224.63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194.79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257.12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257.12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162.53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162.53</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174.93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174.93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174.93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758.74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758.74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758.74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758.74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593.94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593.94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156.68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156.68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64.40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60.58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18.83</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34.56</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34.56</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2240704</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自然灾害灾后重建补助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2"/>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丰都县兴龙镇人民政府(本级)</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3,100.70</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628.62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628.62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37.30</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500.42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500.42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61.72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61.72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111.47</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111.47</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870.05</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870.05</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758.74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758.74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53.00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53.00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64.40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64.40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37.30</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3,138.00</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3,174.69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3,137.39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37.30</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47.07</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10.38</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10.38</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47.07</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3,185.07</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3,185.07</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3,147.77</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37.30</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丰都县兴龙镇人民政府(本级)</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3,137.39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1,532.63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1,604.76</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628.62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597.54</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31.09</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612.51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597.54</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14.97</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506.78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506.78</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95.23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90.76</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4.47</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10.84</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其他信访事务支出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10.84</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19.84</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5.75</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19.84</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5.75</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19.84</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5.75</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5.75</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500.42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325.92</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174.49</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116.63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116.63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116.63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116.63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95.14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95.14</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95.14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95.14</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204.48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204.48</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37.91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37.91</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89.05</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89.05</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49.70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49.70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9.19</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70.27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70.27</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70.27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70.27</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4.81</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9.08</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4.81</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9.08</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61.72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61.72</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61.72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61.72</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25.76</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25.76</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14.08</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21.89</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111.47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67.47</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67.47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67.47</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67.47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67.47</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870.05</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399.56</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470.48</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419.43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224.63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194.79</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224.63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224.63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71.59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71.59</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17.47</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0.47</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257.12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257.12</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81.39</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162.53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162.53</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176.03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174.93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174.93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174.93</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758.74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758.74</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758.74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758.74</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593.94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593.94</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156.68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156.68</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64.40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60.58</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3.82</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60.58</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60.58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60.58</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53.39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53.39</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18.83</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34.56</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34.56</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自然灾害灾后重建补助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15.56</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15.56</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2"/>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丰都县兴龙镇人民政府(本级)</w:t>
            </w:r>
          </w:p>
        </w:tc>
        <w:tc>
          <w:tcPr>
            <w:tcW w:w="141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967.56</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278.72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207.81</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37.95</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114.53</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150.07</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196.37</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95.18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6.44</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52.20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32.67</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40.31</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38.01</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285.14</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279.06</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24.66</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15.96</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19.85</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57.63</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1,252.70</w:t>
            </w:r>
          </w:p>
        </w:tc>
        <w:tc>
          <w:tcPr>
            <w:tcW w:w="865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279.93</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丰都县兴龙镇人民政府(本级)</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37.30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37.30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37.30</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17.30</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丰都县兴龙镇人民政府(本级)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2"/>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丰都县兴龙镇人民政府(本级)</w:t>
            </w:r>
          </w:p>
        </w:tc>
        <w:tc>
          <w:tcPr>
            <w:tcW w:w="23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259.93</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26.14</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26.14</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259.93</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22.21</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22.21</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22.21</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22.21</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3.93</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3.93</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3.93</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69</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1.21</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1.21</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666</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0.98</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0.98</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0.45</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42.45</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DtkWAgAAFQQAAA4AAABkcnMvZTJvRG9jLnhtbK1TzY7TMBC+I/EO&#10;lu80aYFV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rVg7ZFgIAABUEAAAOAAAAAAAA&#10;AAEAIAAAAB8BAABkcnMvZTJvRG9jLnhtbFBLBQYAAAAABgAGAFkBAACnBQ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hint="default"/>
                            </w:rPr>
                          </w:pPr>
                          <w:r>
                            <w:fldChar w:fldCharType="begin"/>
                          </w:r>
                          <w:r>
                            <w:instrText xml:space="preserve"> PAGE  \* MERGEFORMAT </w:instrText>
                          </w:r>
                          <w:r>
                            <w:fldChar w:fldCharType="separate"/>
                          </w:r>
                          <w:r>
                            <w:rPr>
                              <w:rFonts w:hint="default"/>
                            </w:rPr>
                            <w:t>- 2 -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039W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yv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AA&#10;9N/VtgEAAFQDAAAOAAAAAAAAAAEAIAAAAB8BAABkcnMvZTJvRG9jLnhtbFBLBQYAAAAABgAGAFkB&#10;AABHBQ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hint="default"/>
                            </w:rPr>
                          </w:pPr>
                          <w:r>
                            <w:fldChar w:fldCharType="begin"/>
                          </w:r>
                          <w:r>
                            <w:instrText xml:space="preserve">PAGE   \* MERGEFORMAT</w:instrText>
                          </w:r>
                          <w:r>
                            <w:fldChar w:fldCharType="separate"/>
                          </w:r>
                          <w:r>
                            <w:rPr>
                              <w:rFonts w:hint="default"/>
                              <w:lang w:val="zh-CN"/>
                            </w:rPr>
                            <w:t>-</w:t>
                          </w:r>
                          <w:r>
                            <w:rPr>
                              <w:rFonts w:hint="default"/>
                            </w:rPr>
                            <w:t xml:space="preserve"> 7 -</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mA3RbcBAABUAwAADgAAAAAAAAABACAAAAAfAQAAZHJzL2Uyb0RvYy54bWxQSwUGAAAAAAYABgBZ&#10;AQAASAU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PAGE   \* MERGEFORMAT</w:instrText>
                    </w:r>
                    <w:r>
                      <w:fldChar w:fldCharType="separate"/>
                    </w:r>
                    <w:r>
                      <w:rPr>
                        <w:rFonts w:hint="default"/>
                        <w:lang w:val="zh-CN"/>
                      </w:rPr>
                      <w:t>-</w:t>
                    </w:r>
                    <w:r>
                      <w:rPr>
                        <w:rFonts w:hint="default"/>
                      </w:rPr>
                      <w:t xml:space="preserve"> 7 -</w:t>
                    </w:r>
                    <w:r>
                      <w:fldChar w:fldCharType="end"/>
                    </w:r>
                  </w:p>
                </w:txbxContent>
              </v:textbox>
            </v:shape>
          </w:pict>
        </mc:Fallback>
      </mc:AlternateContent>
    </w:r>
    <w:r>
      <w:rPr>
        <w:rFonts w:hint="default"/>
      </w:rPr>
      <mc:AlternateContent>
        <mc:Choice Requires="wps">
          <w:drawing>
            <wp:anchor distT="0" distB="0" distL="114300" distR="114300" simplePos="0" relativeHeight="251658240" behindDoc="0" locked="0" layoutInCell="1" allowOverlap="0">
              <wp:simplePos x="0" y="0"/>
              <wp:positionH relativeFrom="margin">
                <wp:align>center</wp:align>
              </wp:positionH>
              <wp:positionV relativeFrom="page">
                <wp:posOffset>14737080</wp:posOffset>
              </wp:positionV>
              <wp:extent cx="1828800" cy="22098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pPr>
                            <w:pStyle w:val="6"/>
                            <w:jc w:val="both"/>
                            <w:rPr>
                              <w:rFonts w:hint="default" w:cs="宋体"/>
                            </w:rPr>
                          </w:pPr>
                          <w:r>
                            <w:rPr>
                              <w:rFonts w:cs="宋体"/>
                            </w:rPr>
                            <w:t>— 27.1 —</w:t>
                          </w:r>
                        </w:p>
                      </w:txbxContent>
                    </wps:txbx>
                    <wps:bodyPr wrap="none" lIns="0" tIns="0" rIns="0" bIns="0" upright="1"/>
                  </wps:wsp>
                </a:graphicData>
              </a:graphic>
            </wp:anchor>
          </w:drawing>
        </mc:Choice>
        <mc:Fallback>
          <w:pict>
            <v:shape id="文本框 7" o:spid="_x0000_s1026" o:spt="202" type="#_x0000_t202" style="position:absolute;left:0pt;margin-top:1160.4pt;height:17.4pt;width:144pt;mso-position-horizontal:center;mso-position-horizontal-relative:margin;mso-position-vertical-relative:page;mso-wrap-style:none;z-index:25165824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4DVRU&#10;2AAAAAoBAAAPAAAAAAAAAAEAIAAAACIAAABkcnMvZG93bnJldi54bWxQSwECFAAUAAAACACHTuJA&#10;nfAFu68BAAA5AwAADgAAAAAAAAABACAAAAAnAQAAZHJzL2Uyb0RvYy54bWxQSwUGAAAAAAYABgBZ&#10;AQAASAU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ADD50"/>
    <w:multiLevelType w:val="singleLevel"/>
    <w:tmpl w:val="3E0ADD50"/>
    <w:lvl w:ilvl="0" w:tentative="0">
      <w:start w:val="1"/>
      <w:numFmt w:val="decimal"/>
      <w:suff w:val="nothing"/>
      <w:lvlText w:val="（%1）"/>
      <w:lvlJc w:val="left"/>
    </w:lvl>
  </w:abstractNum>
  <w:abstractNum w:abstractNumId="1">
    <w:nsid w:val="58EA0413"/>
    <w:multiLevelType w:val="singleLevel"/>
    <w:tmpl w:val="58EA041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64C7F"/>
    <w:rsid w:val="000E6232"/>
    <w:rsid w:val="00176228"/>
    <w:rsid w:val="001D3BB7"/>
    <w:rsid w:val="002B254B"/>
    <w:rsid w:val="0034050A"/>
    <w:rsid w:val="0044504F"/>
    <w:rsid w:val="00466C9B"/>
    <w:rsid w:val="00486CFC"/>
    <w:rsid w:val="00491DDD"/>
    <w:rsid w:val="00547EB5"/>
    <w:rsid w:val="00550ABE"/>
    <w:rsid w:val="00623A85"/>
    <w:rsid w:val="00770383"/>
    <w:rsid w:val="007819D4"/>
    <w:rsid w:val="007B419D"/>
    <w:rsid w:val="007B7C4B"/>
    <w:rsid w:val="007D3D39"/>
    <w:rsid w:val="00984C6A"/>
    <w:rsid w:val="00994AF7"/>
    <w:rsid w:val="009B67B8"/>
    <w:rsid w:val="009C14C9"/>
    <w:rsid w:val="009D2B67"/>
    <w:rsid w:val="009E1452"/>
    <w:rsid w:val="00A515E7"/>
    <w:rsid w:val="00A566F9"/>
    <w:rsid w:val="00AF2751"/>
    <w:rsid w:val="00B03CCD"/>
    <w:rsid w:val="00B37299"/>
    <w:rsid w:val="00BE2B89"/>
    <w:rsid w:val="00BF0D89"/>
    <w:rsid w:val="00C10E9E"/>
    <w:rsid w:val="00C15C16"/>
    <w:rsid w:val="00C20C3E"/>
    <w:rsid w:val="00C5163E"/>
    <w:rsid w:val="00C6298E"/>
    <w:rsid w:val="00C755D7"/>
    <w:rsid w:val="00CF079A"/>
    <w:rsid w:val="00CF2ACF"/>
    <w:rsid w:val="00D03AAF"/>
    <w:rsid w:val="00DD0539"/>
    <w:rsid w:val="00E03D01"/>
    <w:rsid w:val="00E07662"/>
    <w:rsid w:val="00E368E9"/>
    <w:rsid w:val="00EE1E33"/>
    <w:rsid w:val="00F73F90"/>
    <w:rsid w:val="00FB4537"/>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ADD0B53"/>
    <w:rsid w:val="0B9335CE"/>
    <w:rsid w:val="0BB55595"/>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6D13391"/>
    <w:rsid w:val="173708E3"/>
    <w:rsid w:val="17C374FC"/>
    <w:rsid w:val="182E4AB6"/>
    <w:rsid w:val="189079DC"/>
    <w:rsid w:val="189B0D0B"/>
    <w:rsid w:val="18B43F7C"/>
    <w:rsid w:val="191C433B"/>
    <w:rsid w:val="194A1770"/>
    <w:rsid w:val="19B906A4"/>
    <w:rsid w:val="1B6F15B6"/>
    <w:rsid w:val="1BAA2EDC"/>
    <w:rsid w:val="1BEB3B89"/>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807E9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26477B"/>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2B3017"/>
    <w:rsid w:val="426C1EA8"/>
    <w:rsid w:val="42736402"/>
    <w:rsid w:val="42E86A87"/>
    <w:rsid w:val="43176AC2"/>
    <w:rsid w:val="43307B09"/>
    <w:rsid w:val="434C43B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B863745"/>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A4209E"/>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6460B3"/>
    <w:rsid w:val="64FB113D"/>
    <w:rsid w:val="65054FA8"/>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522ABA"/>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5BE11BC"/>
    <w:rsid w:val="75F11ED4"/>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1">
    <w:name w:val="Strong"/>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0"/>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0"/>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3823</Words>
  <Characters>21794</Characters>
  <Lines>181</Lines>
  <Paragraphs>51</Paragraphs>
  <TotalTime>10</TotalTime>
  <ScaleCrop>false</ScaleCrop>
  <LinksUpToDate>false</LinksUpToDate>
  <CharactersWithSpaces>25566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2025-09-10T07:28:00Z</dcterms:created>
  <dc:creator>Administrator</dc:creator>
  <cp:lastModifiedBy>hjdhj</cp:lastModifiedBy>
  <dcterms:modified xsi:type="dcterms:W3CDTF">2025-09-16T02:09:21Z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BB46EABDBB2749749395447164B066B3_12</vt:lpwstr>
  </property>
</Properties>
</file>