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Autospacing="0"/>
        <w:jc w:val="center"/>
      </w:pPr>
      <w:r>
        <w:rPr>
          <w:rStyle w:val="7"/>
          <w:shd w:val="clear" w:color="auto" w:fill="FFFFFF"/>
        </w:rPr>
        <w:t>丰都县武平镇人民政府</w:t>
      </w:r>
    </w:p>
    <w:p>
      <w:pPr>
        <w:pStyle w:val="4"/>
        <w:spacing w:beforeAutospacing="0"/>
        <w:jc w:val="center"/>
      </w:pPr>
      <w:r>
        <w:rPr>
          <w:rStyle w:val="7"/>
          <w:shd w:val="clear" w:color="auto" w:fill="FFFFFF"/>
        </w:rPr>
        <w:t>2022年度部门决算情况说明</w:t>
      </w:r>
    </w:p>
    <w:p>
      <w:pPr>
        <w:pStyle w:val="4"/>
        <w:spacing w:beforeAutospacing="0"/>
        <w:rPr>
          <w:shd w:val="clear" w:color="auto" w:fill="FFFF00"/>
        </w:rPr>
      </w:pPr>
      <w:r>
        <w:rPr>
          <w:rStyle w:val="7"/>
          <w:shd w:val="clear" w:color="auto" w:fill="FFFFFF"/>
        </w:rPr>
        <w:t>一、部门基本情况</w:t>
      </w:r>
    </w:p>
    <w:p>
      <w:pPr>
        <w:pStyle w:val="4"/>
        <w:spacing w:beforeAutospacing="0"/>
        <w:rPr>
          <w:rStyle w:val="7"/>
          <w:shd w:val="clear" w:color="auto" w:fill="FFFFFF"/>
        </w:rPr>
      </w:pPr>
      <w:r>
        <w:rPr>
          <w:rStyle w:val="7"/>
          <w:shd w:val="clear" w:color="auto" w:fill="FFFFFF"/>
        </w:rPr>
        <w:t>（一）职能职责</w:t>
      </w:r>
    </w:p>
    <w:p>
      <w:pPr>
        <w:pStyle w:val="4"/>
        <w:spacing w:beforeAutospacing="0"/>
        <w:rPr>
          <w:shd w:val="clear" w:color="auto" w:fill="FFFFFF"/>
        </w:rPr>
      </w:pPr>
      <w:r>
        <w:rPr>
          <w:rFonts w:hint="eastAsia"/>
          <w:shd w:val="clear" w:color="auto" w:fill="FFFFFF"/>
        </w:rPr>
        <w:t>镇党委、政府围绕贯彻落实党和政府各项方针政策，其主要职责是：贯彻执行党的路线方针政策和国家的法律法规、促进经济社会发展、加强社会管理和公共服务、维护社会和谐稳定，进一步强化城市管理和社区服务工作。</w:t>
      </w:r>
    </w:p>
    <w:p>
      <w:pPr>
        <w:pStyle w:val="4"/>
        <w:numPr>
          <w:ilvl w:val="0"/>
          <w:numId w:val="1"/>
        </w:numPr>
        <w:spacing w:beforeAutospacing="0"/>
        <w:rPr>
          <w:rStyle w:val="7"/>
          <w:shd w:val="clear" w:color="auto" w:fill="FFFFFF"/>
        </w:rPr>
      </w:pPr>
      <w:r>
        <w:rPr>
          <w:rStyle w:val="7"/>
          <w:shd w:val="clear" w:color="auto" w:fill="FFFFFF"/>
        </w:rPr>
        <w:t>机构设置</w:t>
      </w:r>
    </w:p>
    <w:p>
      <w:pPr>
        <w:spacing w:line="600" w:lineRule="exact"/>
        <w:rPr>
          <w:rFonts w:cstheme="minorEastAsia"/>
          <w:shd w:val="clear" w:color="auto" w:fill="FFFFFF"/>
          <w:lang w:bidi="ar"/>
        </w:rPr>
      </w:pPr>
      <w:r>
        <w:rPr>
          <w:rFonts w:hint="eastAsia" w:cstheme="minorEastAsia"/>
          <w:shd w:val="clear" w:color="auto" w:fill="FFFFFF"/>
          <w:lang w:bidi="ar"/>
        </w:rPr>
        <w:t>设置综合办事机构10个：党政办公室、党群工作办公室、经济发展办公室（挂统计办公室、农村经营管理办公室牌子）、 民政和社会事务办公室（挂卫生健康办公室牌子）、平安建设办公室、规划建设管理环保办公室、财政办公室、应急管理办公室、</w:t>
      </w:r>
      <w:r>
        <w:rPr>
          <w:rFonts w:hint="eastAsia" w:cstheme="minorEastAsia"/>
          <w:shd w:val="clear" w:color="auto" w:fill="FFFFFF"/>
          <w:lang w:eastAsia="zh-CN" w:bidi="ar"/>
        </w:rPr>
        <w:t>人大常委会办公室</w:t>
      </w:r>
      <w:r>
        <w:rPr>
          <w:rFonts w:hint="eastAsia" w:cstheme="minorEastAsia"/>
          <w:shd w:val="clear" w:color="auto" w:fill="FFFFFF"/>
          <w:lang w:bidi="ar"/>
        </w:rPr>
        <w:t>、综合行政执法办公室。事业机构5个：农业服务中心、文化服务中心、劳动就业和社会保障服务所、退役军人服务站、综合行政执法大队。武平镇核定编制人数共57名，其中机关行政编制22名、机关后勤服务人员事业编制3名，事业编制共32名。现有在职人员合计54人，其中行政24人（包括工勤2人），事业29人。</w:t>
      </w:r>
    </w:p>
    <w:p>
      <w:pPr>
        <w:pStyle w:val="4"/>
        <w:spacing w:beforeAutospacing="0"/>
      </w:pPr>
      <w:r>
        <w:rPr>
          <w:rStyle w:val="7"/>
          <w:shd w:val="clear" w:color="auto" w:fill="FFFFFF"/>
        </w:rPr>
        <w:t>（三）单位构成</w:t>
      </w:r>
    </w:p>
    <w:p>
      <w:pPr>
        <w:pStyle w:val="4"/>
        <w:spacing w:beforeAutospacing="0"/>
        <w:rPr>
          <w:color w:val="auto"/>
          <w:shd w:val="clear" w:color="auto" w:fill="FFFFFF"/>
        </w:rPr>
      </w:pPr>
      <w:r>
        <w:rPr>
          <w:rFonts w:hint="eastAsia"/>
          <w:color w:val="auto"/>
          <w:shd w:val="clear" w:color="auto" w:fill="FFFFFF"/>
        </w:rPr>
        <w:t>从预算单位构成看，无纳入本部门2022年度决算编制的二级预算单位。</w:t>
      </w:r>
    </w:p>
    <w:p>
      <w:pPr>
        <w:pStyle w:val="4"/>
        <w:spacing w:beforeAutospacing="0"/>
      </w:pPr>
      <w:r>
        <w:rPr>
          <w:rStyle w:val="7"/>
          <w:shd w:val="clear" w:color="auto" w:fill="FFFFFF"/>
        </w:rPr>
        <w:t>二、部门决算情况说明</w:t>
      </w:r>
    </w:p>
    <w:p>
      <w:pPr>
        <w:pStyle w:val="4"/>
        <w:spacing w:beforeAutospacing="0"/>
      </w:pPr>
      <w:r>
        <w:rPr>
          <w:rStyle w:val="7"/>
          <w:shd w:val="clear" w:color="auto" w:fill="FFFFFF"/>
        </w:rPr>
        <w:t>（一）收入支出决算总体情况说明</w:t>
      </w:r>
    </w:p>
    <w:p>
      <w:pPr>
        <w:pStyle w:val="4"/>
        <w:spacing w:beforeAutospacing="0"/>
        <w:rPr>
          <w:shd w:val="clear" w:color="auto" w:fill="FFFFFF"/>
        </w:rPr>
      </w:pPr>
      <w:r>
        <w:rPr>
          <w:rStyle w:val="7"/>
          <w:shd w:val="clear" w:color="auto" w:fill="FFFFFF"/>
        </w:rPr>
        <w:t>1.总体情况。</w:t>
      </w:r>
      <w:r>
        <w:rPr>
          <w:shd w:val="clear" w:color="auto" w:fill="FFFFFF"/>
        </w:rPr>
        <w:t>2022年度收入总计3,013.49万元，支出总计3,013.49万元。收支较上年决算数减少505.30万元,下降14.4%，主要原因是</w:t>
      </w:r>
      <w:r>
        <w:rPr>
          <w:rFonts w:hint="eastAsia"/>
          <w:shd w:val="clear" w:color="auto" w:fill="FFFFFF"/>
        </w:rPr>
        <w:t>年中人员变动及专项工作经费减少。</w:t>
      </w:r>
    </w:p>
    <w:p>
      <w:pPr>
        <w:spacing w:line="360" w:lineRule="auto"/>
      </w:pPr>
      <w:r>
        <w:rPr>
          <w:rStyle w:val="7"/>
          <w:shd w:val="clear" w:color="auto" w:fill="FFFFFF"/>
        </w:rPr>
        <w:t>2.收入情况。</w:t>
      </w:r>
      <w:r>
        <w:rPr>
          <w:shd w:val="clear" w:color="auto" w:fill="FFFFFF"/>
        </w:rPr>
        <w:t>2022年度</w:t>
      </w:r>
      <w:r>
        <w:rPr>
          <w:rFonts w:cstheme="minorEastAsia"/>
          <w:shd w:val="clear" w:color="auto" w:fill="FFFFFF"/>
          <w:lang w:bidi="ar"/>
        </w:rPr>
        <w:t>收入</w:t>
      </w:r>
      <w:r>
        <w:rPr>
          <w:shd w:val="clear" w:color="auto" w:fill="FFFFFF"/>
        </w:rPr>
        <w:t>合计2,725.80万元，较上年决算数减少792.99万元，下降22.5%，主要原因是</w:t>
      </w:r>
      <w:r>
        <w:rPr>
          <w:rFonts w:hint="eastAsia" w:ascii="仿宋_GB2312" w:hAnsi="仿宋" w:eastAsia="仿宋_GB2312"/>
          <w:sz w:val="30"/>
          <w:szCs w:val="30"/>
        </w:rPr>
        <w:t>，</w:t>
      </w:r>
      <w:r>
        <w:rPr>
          <w:rFonts w:hint="eastAsia" w:cstheme="minorEastAsia"/>
          <w:shd w:val="clear" w:color="auto" w:fill="FFFFFF"/>
          <w:lang w:bidi="ar"/>
        </w:rPr>
        <w:t>人员较上年减少4人，导致基本支出减少</w:t>
      </w:r>
      <w:r>
        <w:rPr>
          <w:rFonts w:hint="eastAsia" w:cstheme="minorEastAsia"/>
          <w:color w:val="auto"/>
          <w:shd w:val="clear" w:color="auto" w:fill="FFFFFF"/>
          <w:lang w:bidi="ar"/>
        </w:rPr>
        <w:t>70.7</w:t>
      </w:r>
      <w:r>
        <w:rPr>
          <w:rFonts w:cstheme="minorEastAsia"/>
          <w:color w:val="auto"/>
          <w:shd w:val="clear" w:color="auto" w:fill="FFFFFF"/>
          <w:lang w:bidi="ar"/>
        </w:rPr>
        <w:t>9</w:t>
      </w:r>
      <w:r>
        <w:rPr>
          <w:rFonts w:hint="eastAsia" w:cstheme="minorEastAsia"/>
          <w:color w:val="auto"/>
          <w:shd w:val="clear" w:color="auto" w:fill="FFFFFF"/>
          <w:lang w:bidi="ar"/>
        </w:rPr>
        <w:t>万元</w:t>
      </w:r>
      <w:r>
        <w:rPr>
          <w:rFonts w:hint="eastAsia" w:cstheme="minorEastAsia"/>
          <w:shd w:val="clear" w:color="auto" w:fill="FFFFFF"/>
          <w:lang w:bidi="ar"/>
        </w:rPr>
        <w:t>，包括农业普查、经济普查，2019年、2020年全县大学生入伍和进藏进疆服役义务兵一次性奖励、七人制足球场地设施建设等项目的减少导致项目支出减少。</w:t>
      </w:r>
      <w:r>
        <w:rPr>
          <w:rFonts w:cstheme="minorEastAsia"/>
          <w:shd w:val="clear" w:color="auto" w:fill="FFFFFF"/>
          <w:lang w:bidi="ar"/>
        </w:rPr>
        <w:t>其中：</w:t>
      </w:r>
      <w:r>
        <w:rPr>
          <w:shd w:val="clear" w:color="auto" w:fill="FFFFFF"/>
        </w:rPr>
        <w:t>财政拨款收入2,725.80万元，占100%</w:t>
      </w:r>
      <w:r>
        <w:rPr>
          <w:rFonts w:hint="eastAsia"/>
          <w:shd w:val="clear" w:color="auto" w:fill="FFFFFF"/>
        </w:rPr>
        <w:t>。</w:t>
      </w:r>
      <w:r>
        <w:rPr>
          <w:shd w:val="clear" w:color="auto" w:fill="FFFFFF"/>
        </w:rPr>
        <w:t>此外，使用非财政拨款结余0.00万元，年初结转和结余287.68万元。</w:t>
      </w:r>
    </w:p>
    <w:p>
      <w:pPr>
        <w:pStyle w:val="4"/>
        <w:spacing w:beforeAutospacing="0"/>
      </w:pPr>
      <w:r>
        <w:rPr>
          <w:rStyle w:val="7"/>
          <w:shd w:val="clear" w:color="auto" w:fill="FFFFFF"/>
        </w:rPr>
        <w:t>3.支出情况。</w:t>
      </w:r>
      <w:r>
        <w:rPr>
          <w:shd w:val="clear" w:color="auto" w:fill="FFFFFF"/>
        </w:rPr>
        <w:t>2022年度支出合计3,012.29万元，较上年决算减少506.50万元，下降14.4%，主要原因是</w:t>
      </w:r>
      <w:r>
        <w:rPr>
          <w:rFonts w:hint="eastAsia"/>
          <w:shd w:val="clear" w:color="auto" w:fill="FFFFFF"/>
        </w:rPr>
        <w:t>年中人员变动及专项工作经费减少。</w:t>
      </w:r>
      <w:r>
        <w:rPr>
          <w:shd w:val="clear" w:color="auto" w:fill="FFFFFF"/>
        </w:rPr>
        <w:t>其中：基本支出1,711.58万元，占56.8%；项目支出1,300.70万元，占43.2%</w:t>
      </w:r>
      <w:r>
        <w:rPr>
          <w:rFonts w:hint="eastAsia"/>
          <w:shd w:val="clear" w:color="auto" w:fill="FFFFFF"/>
        </w:rPr>
        <w:t>。</w:t>
      </w:r>
      <w:r>
        <w:rPr>
          <w:shd w:val="clear" w:color="auto" w:fill="FFFFFF"/>
        </w:rPr>
        <w:t>此外，结余分配0.00万元。</w:t>
      </w:r>
    </w:p>
    <w:p>
      <w:pPr>
        <w:pStyle w:val="4"/>
        <w:spacing w:beforeAutospacing="0"/>
        <w:rPr>
          <w:shd w:val="clear" w:color="auto" w:fill="FFFFFF"/>
        </w:rPr>
      </w:pPr>
      <w:r>
        <w:rPr>
          <w:rStyle w:val="7"/>
          <w:shd w:val="clear" w:color="auto" w:fill="FFFFFF"/>
        </w:rPr>
        <w:t>4.结转结余情况。</w:t>
      </w:r>
      <w:r>
        <w:rPr>
          <w:shd w:val="clear" w:color="auto" w:fill="FFFFFF"/>
        </w:rPr>
        <w:t>2022年度年末结转和结余1.20万元，较上年决算数增加1.20万元，</w:t>
      </w:r>
      <w:r>
        <w:rPr>
          <w:rFonts w:hint="eastAsia"/>
          <w:highlight w:val="none"/>
          <w:shd w:val="clear" w:color="auto" w:fill="FFFFFF"/>
        </w:rPr>
        <w:t>增长1</w:t>
      </w:r>
      <w:r>
        <w:rPr>
          <w:highlight w:val="none"/>
          <w:shd w:val="clear" w:color="auto" w:fill="FFFFFF"/>
        </w:rPr>
        <w:t>00</w:t>
      </w:r>
      <w:r>
        <w:rPr>
          <w:rFonts w:hint="eastAsia"/>
          <w:highlight w:val="none"/>
          <w:shd w:val="clear" w:color="auto" w:fill="FFFFFF"/>
        </w:rPr>
        <w:t>%，</w:t>
      </w:r>
      <w:r>
        <w:rPr>
          <w:shd w:val="clear" w:color="auto" w:fill="FFFFFF"/>
        </w:rPr>
        <w:t>主要</w:t>
      </w:r>
      <w:bookmarkStart w:id="2" w:name="_GoBack"/>
      <w:bookmarkEnd w:id="2"/>
      <w:r>
        <w:rPr>
          <w:rFonts w:hint="eastAsia"/>
          <w:shd w:val="clear" w:color="auto" w:fill="FFFFFF"/>
          <w:lang w:eastAsia="zh-CN"/>
        </w:rPr>
        <w:t>原因是</w:t>
      </w:r>
      <w:r>
        <w:rPr>
          <w:rFonts w:hint="eastAsia"/>
          <w:shd w:val="clear" w:color="auto" w:fill="FFFFFF"/>
        </w:rPr>
        <w:t>对方账户问题导致退款。</w:t>
      </w:r>
    </w:p>
    <w:p>
      <w:pPr>
        <w:pStyle w:val="4"/>
        <w:spacing w:beforeAutospacing="0"/>
      </w:pPr>
      <w:r>
        <w:rPr>
          <w:rStyle w:val="7"/>
          <w:shd w:val="clear" w:color="auto" w:fill="FFFFFF"/>
        </w:rPr>
        <w:t>（二）财政拨款收入支出决算总体情况说明</w:t>
      </w:r>
    </w:p>
    <w:p>
      <w:pPr>
        <w:pStyle w:val="4"/>
        <w:spacing w:beforeAutospacing="0"/>
        <w:rPr>
          <w:shd w:val="clear" w:color="auto" w:fill="FFFFFF"/>
        </w:rPr>
      </w:pPr>
      <w:r>
        <w:rPr>
          <w:shd w:val="clear" w:color="auto" w:fill="FFFFFF"/>
        </w:rPr>
        <w:t>2022年度财政拨款收、支总计3,013.49万元。与2021年相比，财政拨款收、支总计各减少505.30万元，下降14.4%。主要原因是</w:t>
      </w:r>
      <w:r>
        <w:rPr>
          <w:rFonts w:hint="eastAsia"/>
          <w:shd w:val="clear" w:color="auto" w:fill="FFFFFF"/>
        </w:rPr>
        <w:t>年中人员变动及专项工作经费减少。</w:t>
      </w:r>
    </w:p>
    <w:p>
      <w:pPr>
        <w:pStyle w:val="4"/>
        <w:spacing w:beforeAutospacing="0"/>
      </w:pPr>
      <w:r>
        <w:rPr>
          <w:rStyle w:val="7"/>
          <w:shd w:val="clear" w:color="auto" w:fill="FFFFFF"/>
        </w:rPr>
        <w:t>（三）一般公共预算财政拨款收入支出决算情况说明</w:t>
      </w:r>
    </w:p>
    <w:p>
      <w:pPr>
        <w:pStyle w:val="4"/>
        <w:spacing w:beforeAutospacing="0"/>
      </w:pPr>
      <w:r>
        <w:rPr>
          <w:rStyle w:val="7"/>
          <w:shd w:val="clear" w:color="auto" w:fill="FFFFFF"/>
        </w:rPr>
        <w:t>1.收入情况。</w:t>
      </w:r>
      <w:r>
        <w:rPr>
          <w:shd w:val="clear" w:color="auto" w:fill="FFFFFF"/>
        </w:rPr>
        <w:t>2022年度一般公共预算财政拨款收入2,599.06万元，较上年决算数减少846.34万元，下降24.6%。主要原因是</w:t>
      </w:r>
      <w:r>
        <w:rPr>
          <w:rFonts w:hint="eastAsia"/>
          <w:shd w:val="clear" w:color="auto" w:fill="FFFFFF"/>
        </w:rPr>
        <w:t>人员较上年减少4人，导致基本支出减少</w:t>
      </w:r>
      <w:bookmarkStart w:id="0" w:name="_Hlk145577243"/>
      <w:r>
        <w:rPr>
          <w:rFonts w:hint="eastAsia" w:asciiTheme="minorEastAsia" w:hAnsiTheme="minorEastAsia" w:eastAsiaTheme="minorEastAsia" w:cstheme="minorEastAsia"/>
          <w:color w:val="auto"/>
          <w:shd w:val="clear" w:color="auto" w:fill="FFFFFF"/>
          <w:lang w:bidi="ar"/>
        </w:rPr>
        <w:t>70</w:t>
      </w:r>
      <w:r>
        <w:rPr>
          <w:rFonts w:hint="eastAsia" w:cstheme="minorEastAsia"/>
          <w:color w:val="auto"/>
          <w:shd w:val="clear" w:color="auto" w:fill="FFFFFF"/>
          <w:lang w:bidi="ar"/>
        </w:rPr>
        <w:t>.</w:t>
      </w:r>
      <w:r>
        <w:rPr>
          <w:rFonts w:hint="eastAsia" w:asciiTheme="minorEastAsia" w:hAnsiTheme="minorEastAsia" w:eastAsiaTheme="minorEastAsia" w:cstheme="minorEastAsia"/>
          <w:color w:val="auto"/>
          <w:shd w:val="clear" w:color="auto" w:fill="FFFFFF"/>
          <w:lang w:bidi="ar"/>
        </w:rPr>
        <w:t>7</w:t>
      </w:r>
      <w:r>
        <w:rPr>
          <w:rFonts w:cstheme="minorEastAsia"/>
          <w:color w:val="auto"/>
          <w:shd w:val="clear" w:color="auto" w:fill="FFFFFF"/>
          <w:lang w:bidi="ar"/>
        </w:rPr>
        <w:t>9</w:t>
      </w:r>
      <w:r>
        <w:rPr>
          <w:rFonts w:hint="eastAsia" w:cstheme="minorEastAsia"/>
          <w:color w:val="auto"/>
          <w:shd w:val="clear" w:color="auto" w:fill="FFFFFF"/>
          <w:lang w:bidi="ar"/>
        </w:rPr>
        <w:t>万</w:t>
      </w:r>
      <w:r>
        <w:rPr>
          <w:rFonts w:hint="eastAsia" w:asciiTheme="minorEastAsia" w:hAnsiTheme="minorEastAsia" w:eastAsiaTheme="minorEastAsia" w:cstheme="minorEastAsia"/>
          <w:color w:val="auto"/>
          <w:shd w:val="clear" w:color="auto" w:fill="FFFFFF"/>
          <w:lang w:bidi="ar"/>
        </w:rPr>
        <w:t>元</w:t>
      </w:r>
      <w:r>
        <w:rPr>
          <w:rFonts w:hint="eastAsia"/>
          <w:shd w:val="clear" w:color="auto" w:fill="FFFFFF"/>
        </w:rPr>
        <w:t>，</w:t>
      </w:r>
      <w:bookmarkEnd w:id="0"/>
      <w:r>
        <w:rPr>
          <w:rFonts w:hint="eastAsia"/>
          <w:shd w:val="clear" w:color="auto" w:fill="FFFFFF"/>
        </w:rPr>
        <w:t>包括农业普查、经济普查，2019年、2020年全县大学生入伍和进藏进疆服役义务兵一次性奖励、七人制足球场地设施建设等项目的减少导致项目支出减少。</w:t>
      </w:r>
      <w:r>
        <w:rPr>
          <w:shd w:val="clear" w:color="auto" w:fill="FFFFFF"/>
        </w:rPr>
        <w:t>较年初预算数增加1,001.09万元，增长62.6%。主要原因是</w:t>
      </w:r>
      <w:r>
        <w:rPr>
          <w:rFonts w:hint="eastAsia"/>
          <w:shd w:val="clear" w:color="auto" w:fill="FFFFFF"/>
        </w:rPr>
        <w:t>较年初预算增加了灾害防治和应急管理等专项工作经费以及抗旱救灾、基础设施建设和经济发展等项目的增加。</w:t>
      </w:r>
      <w:r>
        <w:rPr>
          <w:shd w:val="clear" w:color="auto" w:fill="FFFFFF"/>
        </w:rPr>
        <w:t>此外，年初财政拨款结转和结余287.68万元。</w:t>
      </w:r>
    </w:p>
    <w:p>
      <w:pPr>
        <w:pStyle w:val="4"/>
        <w:spacing w:beforeAutospacing="0"/>
        <w:rPr>
          <w:shd w:val="clear" w:color="auto" w:fill="FFFFFF"/>
        </w:rPr>
      </w:pPr>
      <w:r>
        <w:rPr>
          <w:rStyle w:val="7"/>
          <w:shd w:val="clear" w:color="auto" w:fill="FFFFFF"/>
        </w:rPr>
        <w:t>2.支出情况。</w:t>
      </w:r>
      <w:r>
        <w:rPr>
          <w:shd w:val="clear" w:color="auto" w:fill="FFFFFF"/>
        </w:rPr>
        <w:t>2022年度一般公共预算财政拨款支出2,885.55万元，较上年决算数减少559.85万元，下降16.2%。主要原因是</w:t>
      </w:r>
      <w:r>
        <w:rPr>
          <w:rFonts w:hint="eastAsia"/>
          <w:shd w:val="clear" w:color="auto" w:fill="FFFFFF"/>
        </w:rPr>
        <w:t>人员较上年减少4人，导致基本支出减少</w:t>
      </w:r>
      <w:r>
        <w:rPr>
          <w:rFonts w:hint="eastAsia" w:asciiTheme="minorEastAsia" w:hAnsiTheme="minorEastAsia" w:eastAsiaTheme="minorEastAsia" w:cstheme="minorEastAsia"/>
          <w:color w:val="auto"/>
          <w:shd w:val="clear" w:color="auto" w:fill="FFFFFF"/>
          <w:lang w:bidi="ar"/>
        </w:rPr>
        <w:t>70</w:t>
      </w:r>
      <w:r>
        <w:rPr>
          <w:rFonts w:hint="eastAsia" w:cstheme="minorEastAsia"/>
          <w:color w:val="auto"/>
          <w:shd w:val="clear" w:color="auto" w:fill="FFFFFF"/>
          <w:lang w:bidi="ar"/>
        </w:rPr>
        <w:t>.</w:t>
      </w:r>
      <w:r>
        <w:rPr>
          <w:rFonts w:hint="eastAsia" w:asciiTheme="minorEastAsia" w:hAnsiTheme="minorEastAsia" w:eastAsiaTheme="minorEastAsia" w:cstheme="minorEastAsia"/>
          <w:color w:val="auto"/>
          <w:shd w:val="clear" w:color="auto" w:fill="FFFFFF"/>
          <w:lang w:bidi="ar"/>
        </w:rPr>
        <w:t>7</w:t>
      </w:r>
      <w:r>
        <w:rPr>
          <w:rFonts w:cstheme="minorEastAsia"/>
          <w:color w:val="auto"/>
          <w:shd w:val="clear" w:color="auto" w:fill="FFFFFF"/>
          <w:lang w:bidi="ar"/>
        </w:rPr>
        <w:t>9</w:t>
      </w:r>
      <w:r>
        <w:rPr>
          <w:rFonts w:hint="eastAsia" w:cstheme="minorEastAsia"/>
          <w:color w:val="auto"/>
          <w:shd w:val="clear" w:color="auto" w:fill="FFFFFF"/>
          <w:lang w:bidi="ar"/>
        </w:rPr>
        <w:t>万</w:t>
      </w:r>
      <w:r>
        <w:rPr>
          <w:rFonts w:hint="eastAsia" w:asciiTheme="minorEastAsia" w:hAnsiTheme="minorEastAsia" w:eastAsiaTheme="minorEastAsia" w:cstheme="minorEastAsia"/>
          <w:color w:val="auto"/>
          <w:shd w:val="clear" w:color="auto" w:fill="FFFFFF"/>
          <w:lang w:bidi="ar"/>
        </w:rPr>
        <w:t>元</w:t>
      </w:r>
      <w:r>
        <w:rPr>
          <w:rFonts w:hint="eastAsia"/>
          <w:shd w:val="clear" w:color="auto" w:fill="FFFFFF"/>
        </w:rPr>
        <w:t>，包括农业普查、经济普查，2019年、2020年全县大学生入伍和进藏进疆服役义务兵一次性奖励、七人制足球场地设施建设等项目的减少导致项目支出减少。</w:t>
      </w:r>
      <w:r>
        <w:rPr>
          <w:shd w:val="clear" w:color="auto" w:fill="FFFFFF"/>
        </w:rPr>
        <w:t>较年初预算数增加1,287.58万元，增长80.6%。主要原因是</w:t>
      </w:r>
      <w:r>
        <w:rPr>
          <w:rFonts w:hint="eastAsia"/>
          <w:shd w:val="clear" w:color="auto" w:fill="FFFFFF"/>
        </w:rPr>
        <w:t>较年初预算增加了职工超额绩效的发放以及灾害防治和应急管理等专项工作经费、抗旱救灾、基础设施建设和经济发展等项目的增加。</w:t>
      </w:r>
    </w:p>
    <w:p>
      <w:pPr>
        <w:pStyle w:val="4"/>
        <w:spacing w:beforeAutospacing="0"/>
        <w:rPr>
          <w:shd w:val="clear" w:color="auto" w:fill="FFFFFF"/>
        </w:rPr>
      </w:pPr>
      <w:r>
        <w:rPr>
          <w:rStyle w:val="7"/>
          <w:shd w:val="clear" w:color="auto" w:fill="FFFFFF"/>
        </w:rPr>
        <w:t>3.结转结余情况。</w:t>
      </w:r>
      <w:r>
        <w:rPr>
          <w:shd w:val="clear" w:color="auto" w:fill="FFFFFF"/>
        </w:rPr>
        <w:t>2022年度年末一般公共预算财政拨款结转和结余1.20万元，较上年决算数增加1.20万元，</w:t>
      </w:r>
      <w:r>
        <w:rPr>
          <w:rFonts w:hint="eastAsia"/>
          <w:highlight w:val="none"/>
          <w:shd w:val="clear" w:color="auto" w:fill="FFFFFF"/>
        </w:rPr>
        <w:t>增长1</w:t>
      </w:r>
      <w:r>
        <w:rPr>
          <w:highlight w:val="none"/>
          <w:shd w:val="clear" w:color="auto" w:fill="FFFFFF"/>
        </w:rPr>
        <w:t>00</w:t>
      </w:r>
      <w:r>
        <w:rPr>
          <w:rFonts w:hint="eastAsia"/>
          <w:highlight w:val="none"/>
          <w:shd w:val="clear" w:color="auto" w:fill="FFFFFF"/>
        </w:rPr>
        <w:t>%，</w:t>
      </w:r>
      <w:r>
        <w:rPr>
          <w:shd w:val="clear" w:color="auto" w:fill="FFFFFF"/>
        </w:rPr>
        <w:t>主要</w:t>
      </w:r>
      <w:r>
        <w:rPr>
          <w:rFonts w:hint="eastAsia"/>
          <w:shd w:val="clear" w:color="auto" w:fill="FFFFFF"/>
          <w:lang w:eastAsia="zh-CN"/>
        </w:rPr>
        <w:t>原因是</w:t>
      </w:r>
      <w:r>
        <w:rPr>
          <w:rFonts w:hint="eastAsia"/>
          <w:shd w:val="clear" w:color="auto" w:fill="FFFFFF"/>
        </w:rPr>
        <w:t>对方账户问题导致退款。</w:t>
      </w:r>
    </w:p>
    <w:p>
      <w:pPr>
        <w:pStyle w:val="4"/>
        <w:spacing w:beforeAutospacing="0"/>
        <w:rPr>
          <w:shd w:val="clear" w:color="auto" w:fill="FFFFFF"/>
        </w:rPr>
      </w:pPr>
      <w:r>
        <w:rPr>
          <w:rStyle w:val="7"/>
          <w:shd w:val="clear" w:color="auto" w:fill="FFFFFF"/>
        </w:rPr>
        <w:t>4.比较情况。</w:t>
      </w:r>
      <w:r>
        <w:rPr>
          <w:shd w:val="clear" w:color="auto" w:fill="FFFFFF"/>
        </w:rPr>
        <w:t>本部门2022年度一般公共预算财政拨款支出主要用于以下几个方面：</w:t>
      </w:r>
    </w:p>
    <w:p>
      <w:pPr>
        <w:pStyle w:val="4"/>
        <w:spacing w:beforeAutospacing="0"/>
      </w:pPr>
      <w:r>
        <w:rPr>
          <w:shd w:val="clear" w:color="auto" w:fill="FFFFFF"/>
        </w:rPr>
        <w:t>（1）一般公共服务支出691.15万元，占24%，较年初预算数增加131.50万元，增长23.5%，主要原因是</w:t>
      </w:r>
      <w:r>
        <w:rPr>
          <w:rFonts w:hint="eastAsia"/>
          <w:shd w:val="clear" w:color="auto" w:fill="FFFFFF"/>
        </w:rPr>
        <w:t>将非税收入和烟税返还款用于单位行政运行。</w:t>
      </w:r>
    </w:p>
    <w:p>
      <w:pPr>
        <w:pStyle w:val="4"/>
        <w:spacing w:beforeAutospacing="0"/>
      </w:pPr>
      <w:r>
        <w:rPr>
          <w:shd w:val="clear" w:color="auto" w:fill="FFFFFF"/>
        </w:rPr>
        <w:t>（</w:t>
      </w:r>
      <w:r>
        <w:rPr>
          <w:rFonts w:hint="eastAsia"/>
          <w:shd w:val="clear" w:color="auto" w:fill="FFFFFF"/>
        </w:rPr>
        <w:t>2</w:t>
      </w:r>
      <w:r>
        <w:rPr>
          <w:shd w:val="clear" w:color="auto" w:fill="FFFFFF"/>
        </w:rPr>
        <w:t>）文化旅游体育与传媒支出66.95万元，占2.3%，较年初预算数增加19.48万元，增长41%，主要原因是</w:t>
      </w:r>
      <w:r>
        <w:rPr>
          <w:rFonts w:hint="eastAsia"/>
          <w:shd w:val="clear" w:color="auto" w:fill="FFFFFF"/>
        </w:rPr>
        <w:t>增加了事业单位超额绩效以及年中有人员增加。</w:t>
      </w:r>
    </w:p>
    <w:p>
      <w:pPr>
        <w:pStyle w:val="4"/>
        <w:spacing w:beforeAutospacing="0"/>
        <w:rPr>
          <w:rFonts w:eastAsiaTheme="minorEastAsia"/>
        </w:rPr>
      </w:pPr>
      <w:r>
        <w:rPr>
          <w:shd w:val="clear" w:color="auto" w:fill="FFFFFF"/>
        </w:rPr>
        <w:t>（</w:t>
      </w:r>
      <w:r>
        <w:rPr>
          <w:rFonts w:hint="eastAsia"/>
          <w:shd w:val="clear" w:color="auto" w:fill="FFFFFF"/>
        </w:rPr>
        <w:t>3</w:t>
      </w:r>
      <w:r>
        <w:rPr>
          <w:shd w:val="clear" w:color="auto" w:fill="FFFFFF"/>
        </w:rPr>
        <w:t>）社会保障与就业支出350.82万元，占12.2%，较年初预算数增加23.80万元，增长7.3%，主要原因是</w:t>
      </w:r>
      <w:r>
        <w:rPr>
          <w:rFonts w:hint="eastAsia"/>
          <w:shd w:val="clear" w:color="auto" w:fill="FFFFFF"/>
        </w:rPr>
        <w:t>事业单位超额绩效的增加以及退休人员的增加。</w:t>
      </w:r>
    </w:p>
    <w:p>
      <w:pPr>
        <w:pStyle w:val="4"/>
        <w:spacing w:beforeAutospacing="0"/>
        <w:rPr>
          <w:shd w:val="clear" w:color="auto" w:fill="FFFFFF"/>
        </w:rPr>
      </w:pPr>
      <w:r>
        <w:rPr>
          <w:shd w:val="clear" w:color="auto" w:fill="FFFFFF"/>
        </w:rPr>
        <w:t>（</w:t>
      </w:r>
      <w:r>
        <w:rPr>
          <w:rFonts w:hint="eastAsia"/>
          <w:shd w:val="clear" w:color="auto" w:fill="FFFFFF"/>
        </w:rPr>
        <w:t>4</w:t>
      </w:r>
      <w:r>
        <w:rPr>
          <w:shd w:val="clear" w:color="auto" w:fill="FFFFFF"/>
        </w:rPr>
        <w:t>）卫生健康支出69.27万元，占2.4%，较年初预算数增加9.87万元，增长16.6%，主要原因是</w:t>
      </w:r>
      <w:r>
        <w:rPr>
          <w:rFonts w:hint="eastAsia"/>
          <w:shd w:val="clear" w:color="auto" w:fill="FFFFFF"/>
        </w:rPr>
        <w:t>专项经费支出的增加，比如：疫情防控经费。</w:t>
      </w:r>
    </w:p>
    <w:p>
      <w:pPr>
        <w:pStyle w:val="4"/>
        <w:spacing w:beforeAutospacing="0"/>
        <w:rPr>
          <w:shd w:val="clear" w:color="auto" w:fill="FFFFFF"/>
        </w:rPr>
      </w:pPr>
      <w:r>
        <w:rPr>
          <w:shd w:val="clear" w:color="auto" w:fill="FFFFFF"/>
        </w:rPr>
        <w:t>（</w:t>
      </w:r>
      <w:r>
        <w:rPr>
          <w:rFonts w:hint="eastAsia"/>
          <w:shd w:val="clear" w:color="auto" w:fill="FFFFFF"/>
        </w:rPr>
        <w:t>5</w:t>
      </w:r>
      <w:r>
        <w:rPr>
          <w:shd w:val="clear" w:color="auto" w:fill="FFFFFF"/>
        </w:rPr>
        <w:t>）节能环保支出20.00万元，占0.7%，较年初预算数增加20.00万元，主要原因是</w:t>
      </w:r>
      <w:r>
        <w:rPr>
          <w:rFonts w:hint="eastAsia"/>
          <w:shd w:val="clear" w:color="auto" w:fill="FFFFFF"/>
        </w:rPr>
        <w:t>专项工作经费增加，如：污染防治。</w:t>
      </w:r>
    </w:p>
    <w:p>
      <w:pPr>
        <w:pStyle w:val="4"/>
        <w:spacing w:beforeAutospacing="0"/>
        <w:rPr>
          <w:shd w:val="clear" w:color="auto" w:fill="FFFFFF"/>
        </w:rPr>
      </w:pPr>
      <w:r>
        <w:rPr>
          <w:shd w:val="clear" w:color="auto" w:fill="FFFFFF"/>
        </w:rPr>
        <w:t>（</w:t>
      </w:r>
      <w:r>
        <w:rPr>
          <w:rFonts w:hint="eastAsia"/>
          <w:shd w:val="clear" w:color="auto" w:fill="FFFFFF"/>
        </w:rPr>
        <w:t>6</w:t>
      </w:r>
      <w:r>
        <w:rPr>
          <w:shd w:val="clear" w:color="auto" w:fill="FFFFFF"/>
        </w:rPr>
        <w:t>）城乡社区支出87.33万元，占3%，较年初预算数增加8.08万元，增长10.2%，主要原因是</w:t>
      </w:r>
      <w:r>
        <w:rPr>
          <w:rFonts w:hint="eastAsia"/>
          <w:shd w:val="clear" w:color="auto" w:fill="FFFFFF"/>
        </w:rPr>
        <w:t>增加了事业单位超额绩效的发放。</w:t>
      </w:r>
    </w:p>
    <w:p>
      <w:pPr>
        <w:pStyle w:val="4"/>
        <w:spacing w:beforeAutospacing="0"/>
        <w:rPr>
          <w:shd w:val="clear" w:color="auto" w:fill="FFFFFF"/>
        </w:rPr>
      </w:pPr>
      <w:r>
        <w:rPr>
          <w:shd w:val="clear" w:color="auto" w:fill="FFFFFF"/>
        </w:rPr>
        <w:t>（</w:t>
      </w:r>
      <w:r>
        <w:rPr>
          <w:rFonts w:hint="eastAsia"/>
          <w:shd w:val="clear" w:color="auto" w:fill="FFFFFF"/>
        </w:rPr>
        <w:t>7</w:t>
      </w:r>
      <w:r>
        <w:rPr>
          <w:shd w:val="clear" w:color="auto" w:fill="FFFFFF"/>
        </w:rPr>
        <w:t>）农林水支出936.93万元，占32.5%，较年初预算数增加478.39万元，增长104.3%，主要原因是</w:t>
      </w:r>
      <w:r>
        <w:rPr>
          <w:rFonts w:hint="eastAsia"/>
          <w:shd w:val="clear" w:color="auto" w:fill="FFFFFF"/>
        </w:rPr>
        <w:t>增加了事业单位超额绩效的发放以及专项经费的发放，如：抗旱救灾资金。</w:t>
      </w:r>
    </w:p>
    <w:p>
      <w:pPr>
        <w:pStyle w:val="4"/>
        <w:spacing w:beforeAutospacing="0"/>
        <w:rPr>
          <w:shd w:val="clear" w:color="auto" w:fill="FFFFFF"/>
        </w:rPr>
      </w:pPr>
      <w:r>
        <w:rPr>
          <w:shd w:val="clear" w:color="auto" w:fill="FFFFFF"/>
        </w:rPr>
        <w:t>（</w:t>
      </w:r>
      <w:r>
        <w:rPr>
          <w:rFonts w:hint="eastAsia"/>
          <w:shd w:val="clear" w:color="auto" w:fill="FFFFFF"/>
        </w:rPr>
        <w:t>8</w:t>
      </w:r>
      <w:r>
        <w:rPr>
          <w:shd w:val="clear" w:color="auto" w:fill="FFFFFF"/>
        </w:rPr>
        <w:t>）交通运输支出445.79万元，占15.4%，较年初预算数增加445.79万元，主要原因是</w:t>
      </w:r>
      <w:r>
        <w:rPr>
          <w:rFonts w:hint="eastAsia"/>
          <w:shd w:val="clear" w:color="auto" w:fill="FFFFFF"/>
        </w:rPr>
        <w:t>专项工作经费增加，如:公路水路运输，车辆购置税支出。</w:t>
      </w:r>
    </w:p>
    <w:p>
      <w:pPr>
        <w:pStyle w:val="4"/>
        <w:spacing w:beforeAutospacing="0"/>
        <w:rPr>
          <w:shd w:val="clear" w:color="auto" w:fill="FFFFFF"/>
        </w:rPr>
      </w:pPr>
      <w:r>
        <w:rPr>
          <w:shd w:val="clear" w:color="auto" w:fill="FFFFFF"/>
        </w:rPr>
        <w:t>（</w:t>
      </w:r>
      <w:r>
        <w:rPr>
          <w:rFonts w:hint="eastAsia"/>
          <w:shd w:val="clear" w:color="auto" w:fill="FFFFFF"/>
        </w:rPr>
        <w:t>9</w:t>
      </w:r>
      <w:r>
        <w:rPr>
          <w:shd w:val="clear" w:color="auto" w:fill="FFFFFF"/>
        </w:rPr>
        <w:t>）住房保障支出47.38万元，占1.6%，较年初预算数减少3.76万元，下降7.4%，主要原因是</w:t>
      </w:r>
      <w:r>
        <w:rPr>
          <w:rFonts w:hint="eastAsia"/>
          <w:shd w:val="clear" w:color="auto" w:fill="FFFFFF"/>
        </w:rPr>
        <w:t>年中人员减少。</w:t>
      </w:r>
    </w:p>
    <w:p>
      <w:pPr>
        <w:pStyle w:val="4"/>
        <w:spacing w:beforeAutospacing="0"/>
        <w:rPr>
          <w:shd w:val="clear" w:color="auto" w:fill="FFFFFF"/>
        </w:rPr>
      </w:pPr>
      <w:r>
        <w:rPr>
          <w:shd w:val="clear" w:color="auto" w:fill="FFFFFF"/>
        </w:rPr>
        <w:t>（</w:t>
      </w:r>
      <w:r>
        <w:rPr>
          <w:rFonts w:hint="eastAsia"/>
          <w:shd w:val="clear" w:color="auto" w:fill="FFFFFF"/>
        </w:rPr>
        <w:t>10</w:t>
      </w:r>
      <w:r>
        <w:rPr>
          <w:shd w:val="clear" w:color="auto" w:fill="FFFFFF"/>
        </w:rPr>
        <w:t>）灾害防治及应急管理支出169.93万元，占5.9%，较年初预算数增加169.93万元，主要原因是</w:t>
      </w:r>
      <w:r>
        <w:rPr>
          <w:rFonts w:hint="eastAsia"/>
          <w:shd w:val="clear" w:color="auto" w:fill="FFFFFF"/>
        </w:rPr>
        <w:t>专项工作经费增加，如：应急管理事务，自然灾害防治，自然灾害救灾及恢复重建支出，其他灾害防治及应急管理支出。</w:t>
      </w:r>
    </w:p>
    <w:p>
      <w:pPr>
        <w:pStyle w:val="4"/>
        <w:spacing w:beforeAutospacing="0"/>
        <w:rPr>
          <w:shd w:val="clear" w:color="auto" w:fill="FFFFFF"/>
        </w:rPr>
      </w:pPr>
      <w:r>
        <w:rPr>
          <w:shd w:val="clear" w:color="auto" w:fill="FFFFFF"/>
        </w:rPr>
        <w:t>（</w:t>
      </w:r>
      <w:r>
        <w:rPr>
          <w:rFonts w:hint="eastAsia"/>
          <w:shd w:val="clear" w:color="auto" w:fill="FFFFFF"/>
        </w:rPr>
        <w:t>11</w:t>
      </w:r>
      <w:r>
        <w:rPr>
          <w:shd w:val="clear" w:color="auto" w:fill="FFFFFF"/>
        </w:rPr>
        <w:t>）其他支出0.00万元，占0%，较年初预算数减少15.50万元，下降100%，主要原因是</w:t>
      </w:r>
      <w:r>
        <w:rPr>
          <w:rFonts w:hint="eastAsia"/>
          <w:shd w:val="clear" w:color="auto" w:fill="FFFFFF"/>
        </w:rPr>
        <w:t>根据财政要求，进行了调整功能科目列报。</w:t>
      </w:r>
    </w:p>
    <w:p>
      <w:pPr>
        <w:pStyle w:val="4"/>
        <w:spacing w:beforeAutospacing="0"/>
      </w:pPr>
      <w:r>
        <w:rPr>
          <w:rStyle w:val="7"/>
          <w:shd w:val="clear" w:color="auto" w:fill="FFFFFF"/>
        </w:rPr>
        <w:t>（四）一般公共预算财政拨款基本支出决算情况说明</w:t>
      </w:r>
    </w:p>
    <w:p>
      <w:pPr>
        <w:pStyle w:val="4"/>
        <w:spacing w:beforeAutospacing="0"/>
        <w:rPr>
          <w:shd w:val="clear" w:color="auto" w:fill="FFFFFF"/>
        </w:rPr>
      </w:pPr>
      <w:r>
        <w:rPr>
          <w:shd w:val="clear" w:color="auto" w:fill="FFFFFF"/>
        </w:rPr>
        <w:t>2022年度一般公共预算财政拨款基本支出1,711.58万元。其中：人员经费1,430.80万元，较上年决算数增加171.49万元，增长13.6%，主要原因是</w:t>
      </w:r>
      <w:r>
        <w:rPr>
          <w:rFonts w:hint="eastAsia"/>
          <w:shd w:val="clear" w:color="auto" w:fill="FFFFFF"/>
        </w:rPr>
        <w:t>增加了事业单位的超额绩效发放。</w:t>
      </w:r>
      <w:r>
        <w:rPr>
          <w:shd w:val="clear" w:color="auto" w:fill="FFFFFF"/>
        </w:rPr>
        <w:t>人员经费用途主要包括</w:t>
      </w:r>
      <w:r>
        <w:rPr>
          <w:rFonts w:hint="eastAsia"/>
          <w:shd w:val="clear" w:color="auto" w:fill="FFFFFF"/>
        </w:rPr>
        <w:t>基本工资、津贴补贴、奖金、绩效工资、社会保障缴费、其他工资福利支出、伙食补助费、对个人和家庭的补助等。</w:t>
      </w:r>
      <w:r>
        <w:rPr>
          <w:shd w:val="clear" w:color="auto" w:fill="FFFFFF"/>
        </w:rPr>
        <w:t>公用经费280.78万元，较上年决算数减少242.28万元，下降46.3%，主要原因是</w:t>
      </w:r>
      <w:r>
        <w:rPr>
          <w:rFonts w:hint="eastAsia"/>
          <w:shd w:val="clear" w:color="auto" w:fill="FFFFFF"/>
        </w:rPr>
        <w:t>认真贯彻落实中央八项规定精神和厉行节约要求，按照只增不减的要求从严控制经费。</w:t>
      </w:r>
      <w:r>
        <w:rPr>
          <w:shd w:val="clear" w:color="auto" w:fill="FFFFFF"/>
        </w:rPr>
        <w:t>公用经费用途主要包括</w:t>
      </w:r>
      <w:r>
        <w:rPr>
          <w:rFonts w:hint="eastAsia"/>
          <w:shd w:val="clear" w:color="auto" w:fill="FFFFFF"/>
        </w:rPr>
        <w:t>办公费、邮电费、差旅费、会议费、培训会、公务接待费、公务车辆运行费、其他商品和服务支出费用等。</w:t>
      </w:r>
    </w:p>
    <w:p>
      <w:pPr>
        <w:pStyle w:val="4"/>
        <w:spacing w:beforeAutospacing="0"/>
      </w:pPr>
      <w:r>
        <w:rPr>
          <w:rStyle w:val="7"/>
          <w:shd w:val="clear" w:color="auto" w:fill="FFFFFF"/>
        </w:rPr>
        <w:t>（五）政府性基金预算收支决算情况说明。</w:t>
      </w:r>
    </w:p>
    <w:p>
      <w:pPr>
        <w:pStyle w:val="4"/>
        <w:spacing w:beforeAutospacing="0"/>
        <w:rPr>
          <w:shd w:val="clear" w:color="auto" w:fill="FFFFFF"/>
        </w:rPr>
      </w:pPr>
      <w:r>
        <w:rPr>
          <w:shd w:val="clear" w:color="auto" w:fill="FFFFFF"/>
        </w:rPr>
        <w:t>2022年度政府性基金预算财政拨款年初结转结余0.00万元，年末结转结余0.00万元。本年收入126.74万元，较上年决算数增加53.35万元，增长72.7%，主要原因是</w:t>
      </w:r>
      <w:r>
        <w:rPr>
          <w:rFonts w:hint="eastAsia"/>
          <w:shd w:val="clear" w:color="auto" w:fill="FFFFFF"/>
        </w:rPr>
        <w:t>大中型水库移民后期扶持基金、国有土地使用权出让收入、大中型水库库区基金的增加</w:t>
      </w:r>
      <w:r>
        <w:rPr>
          <w:shd w:val="clear" w:color="auto" w:fill="FFFFFF"/>
        </w:rPr>
        <w:t>。本年支出126.74万元，较上年决算数增加53.35万元，增长72.7%，主要原因是</w:t>
      </w:r>
      <w:r>
        <w:rPr>
          <w:rFonts w:hint="eastAsia"/>
          <w:shd w:val="clear" w:color="auto" w:fill="FFFFFF"/>
        </w:rPr>
        <w:t>大中型水库移民后期扶持基金支出、国有土地使用权出让收入安排的支出、大中型水库库区基金安排的支出的增加</w:t>
      </w:r>
      <w:r>
        <w:rPr>
          <w:shd w:val="clear" w:color="auto" w:fill="FFFFFF"/>
        </w:rPr>
        <w:t>。</w:t>
      </w:r>
    </w:p>
    <w:p>
      <w:pPr>
        <w:pStyle w:val="4"/>
        <w:spacing w:beforeAutospacing="0"/>
        <w:rPr>
          <w:rStyle w:val="7"/>
          <w:color w:val="auto"/>
        </w:rPr>
      </w:pPr>
      <w:r>
        <w:rPr>
          <w:rStyle w:val="7"/>
          <w:rFonts w:hint="eastAsia"/>
          <w:color w:val="auto"/>
        </w:rPr>
        <w:t>（六）国有资本经营预算财政拨款支出决算情况说明</w:t>
      </w:r>
    </w:p>
    <w:p>
      <w:pPr>
        <w:pStyle w:val="4"/>
        <w:spacing w:beforeAutospacing="0"/>
        <w:rPr>
          <w:rFonts w:eastAsiaTheme="minorEastAsia"/>
          <w:shd w:val="clear" w:color="auto" w:fill="FFFFFF"/>
        </w:rPr>
      </w:pPr>
      <w:r>
        <w:rPr>
          <w:rFonts w:hint="eastAsia"/>
          <w:shd w:val="clear" w:color="auto" w:fill="FFFFFF"/>
        </w:rPr>
        <w:t>本部门2022年度无</w:t>
      </w:r>
      <w:bookmarkStart w:id="1" w:name="_Hlk145577360"/>
      <w:r>
        <w:rPr>
          <w:rFonts w:hint="eastAsia"/>
          <w:shd w:val="clear" w:color="auto" w:fill="FFFFFF"/>
        </w:rPr>
        <w:t>国有资本经营预算财政拨款支出</w:t>
      </w:r>
      <w:bookmarkEnd w:id="1"/>
      <w:r>
        <w:rPr>
          <w:rFonts w:hint="eastAsia"/>
          <w:shd w:val="clear" w:color="auto" w:fill="FFFFFF"/>
        </w:rPr>
        <w:t>。</w:t>
      </w:r>
    </w:p>
    <w:p>
      <w:pPr>
        <w:pStyle w:val="4"/>
        <w:spacing w:beforeAutospacing="0"/>
      </w:pPr>
      <w:r>
        <w:rPr>
          <w:rStyle w:val="7"/>
          <w:shd w:val="clear" w:color="auto" w:fill="FFFFFF"/>
        </w:rPr>
        <w:t>三、“三公”经费情况说明</w:t>
      </w:r>
    </w:p>
    <w:p>
      <w:pPr>
        <w:pStyle w:val="4"/>
        <w:spacing w:beforeAutospacing="0"/>
      </w:pPr>
      <w:r>
        <w:rPr>
          <w:rStyle w:val="7"/>
          <w:shd w:val="clear" w:color="auto" w:fill="FFFFFF"/>
        </w:rPr>
        <w:t>（一）“三公”经费支出总体情况说明</w:t>
      </w:r>
    </w:p>
    <w:p>
      <w:pPr>
        <w:pStyle w:val="4"/>
        <w:spacing w:beforeAutospacing="0"/>
        <w:rPr>
          <w:shd w:val="clear" w:color="auto" w:fill="FFFFFF"/>
        </w:rPr>
      </w:pPr>
      <w:r>
        <w:rPr>
          <w:shd w:val="clear" w:color="auto" w:fill="FFFFFF"/>
        </w:rPr>
        <w:t>2022年度“三公”经费支出共计21.56万元，较年初预算数增加7.56万元，增长54%，主要原因是</w:t>
      </w:r>
      <w:r>
        <w:rPr>
          <w:rFonts w:hint="eastAsia"/>
          <w:shd w:val="clear" w:color="auto" w:fill="FFFFFF"/>
        </w:rPr>
        <w:t>公务车运行维护费和公务接待费的增加</w:t>
      </w:r>
      <w:r>
        <w:rPr>
          <w:shd w:val="clear" w:color="auto" w:fill="FFFFFF"/>
        </w:rPr>
        <w:t>。较上年支出数减少8.44万元，下降28.1%，主要原因是</w:t>
      </w:r>
      <w:r>
        <w:rPr>
          <w:rFonts w:hint="eastAsia"/>
          <w:shd w:val="clear" w:color="auto" w:fill="FFFFFF"/>
        </w:rPr>
        <w:t>认真贯彻落实中央八项规定精神和厉行节约要求，按照只增不减的要求从严控制“三公”经费。</w:t>
      </w:r>
    </w:p>
    <w:p>
      <w:pPr>
        <w:pStyle w:val="4"/>
        <w:spacing w:beforeAutospacing="0"/>
      </w:pPr>
      <w:r>
        <w:rPr>
          <w:rStyle w:val="7"/>
          <w:shd w:val="clear" w:color="auto" w:fill="FFFFFF"/>
        </w:rPr>
        <w:t>（二）“三公”经费分项支出情况</w:t>
      </w:r>
    </w:p>
    <w:p>
      <w:pPr>
        <w:pStyle w:val="4"/>
        <w:spacing w:beforeAutospacing="0"/>
        <w:rPr>
          <w:color w:val="FF0000"/>
        </w:rPr>
      </w:pPr>
      <w:r>
        <w:rPr>
          <w:shd w:val="clear" w:color="auto" w:fill="FFFFFF"/>
        </w:rPr>
        <w:t>2022年度本部门因公出国（境）费用0.00万元</w:t>
      </w:r>
      <w:r>
        <w:rPr>
          <w:color w:val="auto"/>
          <w:shd w:val="clear" w:color="auto" w:fill="FFFFFF"/>
        </w:rPr>
        <w:t>，</w:t>
      </w:r>
      <w:r>
        <w:rPr>
          <w:rFonts w:hint="eastAsia"/>
          <w:color w:val="auto"/>
          <w:shd w:val="clear" w:color="auto" w:fill="FFFFFF"/>
        </w:rPr>
        <w:t>与上年持平。</w:t>
      </w:r>
    </w:p>
    <w:p>
      <w:pPr>
        <w:pStyle w:val="4"/>
        <w:spacing w:beforeAutospacing="0"/>
        <w:rPr>
          <w:shd w:val="clear" w:color="auto" w:fill="FFFFFF"/>
        </w:rPr>
      </w:pPr>
      <w:r>
        <w:rPr>
          <w:shd w:val="clear" w:color="auto" w:fill="FFFFFF"/>
        </w:rPr>
        <w:t>公务车购置费0.00万元，主要</w:t>
      </w:r>
      <w:r>
        <w:rPr>
          <w:rFonts w:hint="eastAsia"/>
          <w:shd w:val="clear" w:color="auto" w:fill="FFFFFF"/>
          <w:lang w:eastAsia="zh-CN"/>
        </w:rPr>
        <w:t>原因是</w:t>
      </w:r>
      <w:r>
        <w:rPr>
          <w:rFonts w:hint="eastAsia"/>
          <w:shd w:val="clear" w:color="auto" w:fill="FFFFFF"/>
        </w:rPr>
        <w:t>本单位2022年度未发生</w:t>
      </w:r>
      <w:r>
        <w:rPr>
          <w:shd w:val="clear" w:color="auto" w:fill="FFFFFF"/>
        </w:rPr>
        <w:t>公务车购置</w:t>
      </w:r>
      <w:r>
        <w:rPr>
          <w:rFonts w:hint="eastAsia"/>
          <w:shd w:val="clear" w:color="auto" w:fill="FFFFFF"/>
        </w:rPr>
        <w:t>费用。</w:t>
      </w:r>
      <w:r>
        <w:rPr>
          <w:shd w:val="clear" w:color="auto" w:fill="FFFFFF"/>
        </w:rPr>
        <w:t>费用支出较年初预算数增加0.00万元，主要</w:t>
      </w:r>
      <w:r>
        <w:rPr>
          <w:rFonts w:hint="eastAsia"/>
          <w:shd w:val="clear" w:color="auto" w:fill="FFFFFF"/>
          <w:lang w:eastAsia="zh-CN"/>
        </w:rPr>
        <w:t>原因是</w:t>
      </w:r>
      <w:r>
        <w:rPr>
          <w:rFonts w:hint="eastAsia"/>
          <w:shd w:val="clear" w:color="auto" w:fill="FFFFFF"/>
        </w:rPr>
        <w:t>本单位2022年度未发生</w:t>
      </w:r>
      <w:r>
        <w:rPr>
          <w:shd w:val="clear" w:color="auto" w:fill="FFFFFF"/>
        </w:rPr>
        <w:t>公务车购置</w:t>
      </w:r>
      <w:r>
        <w:rPr>
          <w:rFonts w:hint="eastAsia"/>
          <w:shd w:val="clear" w:color="auto" w:fill="FFFFFF"/>
        </w:rPr>
        <w:t>费用。</w:t>
      </w:r>
      <w:r>
        <w:rPr>
          <w:shd w:val="clear" w:color="auto" w:fill="FFFFFF"/>
        </w:rPr>
        <w:t>较上年支出数减少10.00万元，下降100%，主要</w:t>
      </w:r>
      <w:r>
        <w:rPr>
          <w:rFonts w:hint="eastAsia"/>
          <w:shd w:val="clear" w:color="auto" w:fill="FFFFFF"/>
          <w:lang w:eastAsia="zh-CN"/>
        </w:rPr>
        <w:t>原因是</w:t>
      </w:r>
      <w:r>
        <w:rPr>
          <w:rFonts w:hint="eastAsia"/>
          <w:shd w:val="clear" w:color="auto" w:fill="FFFFFF"/>
        </w:rPr>
        <w:t>本单位2022年度未发生</w:t>
      </w:r>
      <w:r>
        <w:rPr>
          <w:shd w:val="clear" w:color="auto" w:fill="FFFFFF"/>
        </w:rPr>
        <w:t>公务车购置</w:t>
      </w:r>
      <w:r>
        <w:rPr>
          <w:rFonts w:hint="eastAsia"/>
          <w:shd w:val="clear" w:color="auto" w:fill="FFFFFF"/>
        </w:rPr>
        <w:t>费用。</w:t>
      </w:r>
    </w:p>
    <w:p>
      <w:pPr>
        <w:pStyle w:val="4"/>
        <w:spacing w:beforeAutospacing="0"/>
        <w:rPr>
          <w:shd w:val="clear" w:color="auto" w:fill="FFFFFF"/>
        </w:rPr>
      </w:pPr>
      <w:r>
        <w:rPr>
          <w:shd w:val="clear" w:color="auto" w:fill="FFFFFF"/>
        </w:rPr>
        <w:t>公务车运行维护费13.86万元，主要用于</w:t>
      </w:r>
      <w:r>
        <w:rPr>
          <w:rFonts w:hint="eastAsia"/>
          <w:shd w:val="clear" w:color="auto" w:fill="FFFFFF"/>
        </w:rPr>
        <w:t>县内因公出行、项目检查等所需车辆的燃料费、维修费、过桥过路费、保险费等。</w:t>
      </w:r>
      <w:r>
        <w:rPr>
          <w:shd w:val="clear" w:color="auto" w:fill="FFFFFF"/>
        </w:rPr>
        <w:t>费用支出较年初预算数增加5.86万元，增长73.3%，主要原因是</w:t>
      </w:r>
      <w:r>
        <w:rPr>
          <w:rFonts w:hint="eastAsia"/>
          <w:shd w:val="clear" w:color="auto" w:fill="FFFFFF"/>
        </w:rPr>
        <w:t>车辆老化严重，其修理费燃油费增加</w:t>
      </w:r>
      <w:r>
        <w:rPr>
          <w:rFonts w:hint="eastAsia"/>
          <w:shd w:val="clear" w:color="auto" w:fill="FFFFFF"/>
          <w:lang w:eastAsia="zh-CN"/>
        </w:rPr>
        <w:t>，</w:t>
      </w:r>
      <w:r>
        <w:rPr>
          <w:rFonts w:hint="eastAsia"/>
          <w:shd w:val="clear" w:color="auto" w:fill="FFFFFF"/>
        </w:rPr>
        <w:t>以及2022年防汛抗旱工作宣传、出行导致费用增加</w:t>
      </w:r>
      <w:r>
        <w:rPr>
          <w:shd w:val="clear" w:color="auto" w:fill="FFFFFF"/>
        </w:rPr>
        <w:t>。较上年支出数减少1.97万元，下降12.4%，主要原因是</w:t>
      </w:r>
      <w:r>
        <w:rPr>
          <w:rFonts w:hint="eastAsia"/>
          <w:shd w:val="clear" w:color="auto" w:fill="FFFFFF"/>
        </w:rPr>
        <w:t>认真贯彻落实中央八项规定精神和厉行节约要求，按照只增不减的要求从严控制“三公”经费，严格管理公车。</w:t>
      </w:r>
    </w:p>
    <w:p>
      <w:pPr>
        <w:pStyle w:val="4"/>
        <w:spacing w:beforeAutospacing="0"/>
      </w:pPr>
      <w:r>
        <w:rPr>
          <w:shd w:val="clear" w:color="auto" w:fill="FFFFFF"/>
        </w:rPr>
        <w:t>公务接待费7.70万元，主要用于接待</w:t>
      </w:r>
      <w:r>
        <w:rPr>
          <w:rFonts w:hint="eastAsia"/>
          <w:shd w:val="clear" w:color="auto" w:fill="FFFFFF"/>
        </w:rPr>
        <w:t>招商引资工作、接受相关部门检查工作、指导工作所发生的接待费用</w:t>
      </w:r>
      <w:r>
        <w:rPr>
          <w:shd w:val="clear" w:color="auto" w:fill="FFFFFF"/>
        </w:rPr>
        <w:t>。费用支出较年初预算数增加1.70万元，增长28.3%，主要原因是</w:t>
      </w:r>
      <w:r>
        <w:rPr>
          <w:rFonts w:hint="eastAsia"/>
          <w:shd w:val="clear" w:color="auto" w:fill="FFFFFF"/>
        </w:rPr>
        <w:t>招商引资工作的增加</w:t>
      </w:r>
      <w:r>
        <w:rPr>
          <w:shd w:val="clear" w:color="auto" w:fill="FFFFFF"/>
        </w:rPr>
        <w:t>。较上年支出数增加3.53万元，增长84.7%，主要原因是</w:t>
      </w:r>
      <w:r>
        <w:rPr>
          <w:rFonts w:hint="eastAsia"/>
          <w:shd w:val="clear" w:color="auto" w:fill="FFFFFF"/>
        </w:rPr>
        <w:t>招商引资工作的增加以及接受相关部门指导工作次数的增加</w:t>
      </w:r>
      <w:r>
        <w:rPr>
          <w:shd w:val="clear" w:color="auto" w:fill="FFFFFF"/>
        </w:rPr>
        <w:t>。</w:t>
      </w:r>
    </w:p>
    <w:p>
      <w:pPr>
        <w:pStyle w:val="4"/>
        <w:spacing w:beforeAutospacing="0"/>
      </w:pPr>
      <w:r>
        <w:rPr>
          <w:rStyle w:val="7"/>
          <w:shd w:val="clear" w:color="auto" w:fill="FFFFFF"/>
        </w:rPr>
        <w:t>（三）“三公”经费实物量情况</w:t>
      </w:r>
    </w:p>
    <w:p>
      <w:pPr>
        <w:pStyle w:val="4"/>
        <w:spacing w:beforeAutospacing="0"/>
      </w:pPr>
      <w:r>
        <w:rPr>
          <w:shd w:val="clear" w:color="auto" w:fill="FFFFFF"/>
        </w:rPr>
        <w:t>2022年度本部门因公出国（境）共计0个团组，0人；公务用车购置0辆，公务车保有量为5辆；国内公务接待168批次1,660人，其中：国内外事接待0批次，0人；国（境）外公务接待0批次，0人。2022年本部门人均接待费46.40元，车均购置费0.00万元，车均维护费2.77万元。</w:t>
      </w:r>
    </w:p>
    <w:p>
      <w:pPr>
        <w:pStyle w:val="4"/>
        <w:spacing w:beforeAutospacing="0"/>
      </w:pPr>
      <w:r>
        <w:rPr>
          <w:rStyle w:val="7"/>
          <w:shd w:val="clear" w:color="auto" w:fill="FFFFFF"/>
        </w:rPr>
        <w:t>四、其他需要说明的事项</w:t>
      </w:r>
    </w:p>
    <w:p>
      <w:pPr>
        <w:pStyle w:val="4"/>
        <w:spacing w:beforeAutospacing="0"/>
      </w:pPr>
      <w:r>
        <w:rPr>
          <w:rStyle w:val="7"/>
          <w:shd w:val="clear" w:color="auto" w:fill="FFFFFF"/>
        </w:rPr>
        <w:t>（一）财政拨款会议费和培训费情况说明</w:t>
      </w:r>
    </w:p>
    <w:p>
      <w:pPr>
        <w:pStyle w:val="4"/>
        <w:spacing w:beforeAutospacing="0"/>
      </w:pPr>
      <w:r>
        <w:rPr>
          <w:shd w:val="clear" w:color="auto" w:fill="FFFFFF"/>
        </w:rPr>
        <w:t>本年度会议费支出0.19万元，较上年决算数减少3.23万元，下降94.4%，主要原因是</w:t>
      </w:r>
      <w:r>
        <w:rPr>
          <w:rFonts w:hint="eastAsia"/>
          <w:shd w:val="clear" w:color="auto" w:fill="FFFFFF"/>
        </w:rPr>
        <w:t>认真贯彻落实中央八项规定精神和厉行节约要求，精简会议、尽量用线上会议。</w:t>
      </w:r>
      <w:r>
        <w:rPr>
          <w:shd w:val="clear" w:color="auto" w:fill="FFFFFF"/>
        </w:rPr>
        <w:t>本年度培训费支出2.36万元，较上年决算数减少7.42万元，下降75.9%，主要原因是</w:t>
      </w:r>
      <w:r>
        <w:rPr>
          <w:rFonts w:hint="eastAsia"/>
          <w:shd w:val="clear" w:color="auto" w:fill="FFFFFF"/>
        </w:rPr>
        <w:t>尽量线上开展培训。</w:t>
      </w:r>
    </w:p>
    <w:p>
      <w:pPr>
        <w:pStyle w:val="4"/>
        <w:spacing w:beforeAutospacing="0"/>
      </w:pPr>
      <w:r>
        <w:rPr>
          <w:rStyle w:val="7"/>
          <w:shd w:val="clear" w:color="auto" w:fill="FFFFFF"/>
        </w:rPr>
        <w:t>（二）机关运行经费支出情况说明</w:t>
      </w:r>
    </w:p>
    <w:p>
      <w:pPr>
        <w:pStyle w:val="4"/>
        <w:spacing w:beforeAutospacing="0"/>
      </w:pPr>
      <w:r>
        <w:rPr>
          <w:shd w:val="clear" w:color="auto" w:fill="FFFFFF"/>
        </w:rPr>
        <w:t>2022年度本部门机关运行经费支出175.93万元，主要用于开支</w:t>
      </w:r>
      <w:r>
        <w:rPr>
          <w:rFonts w:hint="eastAsia"/>
          <w:shd w:val="clear" w:color="auto" w:fill="FFFFFF"/>
        </w:rPr>
        <w:t>办公费、印刷费、咨询费、水费、电费、邮电费、差旅费、维修费、会议费、培训费、公务接待费、专用材料费、劳务费、委托业务费、工会经费、公务用车运行维护费、其他交通费用，其他商品和服务支出。</w:t>
      </w:r>
      <w:r>
        <w:rPr>
          <w:shd w:val="clear" w:color="auto" w:fill="FFFFFF"/>
        </w:rPr>
        <w:t>机关运行经费较上年决算数减少149.16万元，下降45.9%，主要原因是</w:t>
      </w:r>
      <w:r>
        <w:rPr>
          <w:rFonts w:hint="eastAsia"/>
          <w:shd w:val="clear" w:color="auto" w:fill="FFFFFF"/>
        </w:rPr>
        <w:t>三公经费以及会议费、培训费等费用的减少</w:t>
      </w:r>
      <w:r>
        <w:rPr>
          <w:shd w:val="clear" w:color="auto" w:fill="FFFFFF"/>
        </w:rPr>
        <w:t>。</w:t>
      </w:r>
    </w:p>
    <w:p>
      <w:pPr>
        <w:pStyle w:val="4"/>
        <w:spacing w:beforeAutospacing="0"/>
      </w:pPr>
      <w:r>
        <w:rPr>
          <w:rStyle w:val="7"/>
          <w:shd w:val="clear" w:color="auto" w:fill="FFFFFF"/>
        </w:rPr>
        <w:t>（三）国有资产占用情况说明</w:t>
      </w:r>
    </w:p>
    <w:p>
      <w:pPr>
        <w:pStyle w:val="4"/>
        <w:spacing w:beforeAutospacing="0"/>
      </w:pPr>
      <w:r>
        <w:rPr>
          <w:shd w:val="clear" w:color="auto" w:fill="FFFFFF"/>
        </w:rPr>
        <w:t>截至2022年12月31日，本部门共有车辆5辆，其中，副部（省）级及以上领导用车0辆、主要领导干部用车0辆、机要通信用车0辆、应急保障用车3辆、执法执勤用车0辆，特种专业技术用车2辆，离退休干部用车0辆，其他用车0辆，单价100万元（含）以上设备（不含车辆）0台（套）。</w:t>
      </w:r>
    </w:p>
    <w:p>
      <w:pPr>
        <w:pStyle w:val="4"/>
        <w:spacing w:beforeAutospacing="0"/>
      </w:pPr>
      <w:r>
        <w:rPr>
          <w:rStyle w:val="7"/>
          <w:shd w:val="clear" w:color="auto" w:fill="FFFFFF"/>
        </w:rPr>
        <w:t>（四）政府采购支出说明</w:t>
      </w:r>
    </w:p>
    <w:p>
      <w:pPr>
        <w:pStyle w:val="4"/>
        <w:spacing w:beforeAutospacing="0"/>
        <w:rPr>
          <w:shd w:val="clear" w:color="auto" w:fill="FFFFFF"/>
        </w:rPr>
      </w:pPr>
      <w:r>
        <w:rPr>
          <w:rFonts w:hint="eastAsia"/>
          <w:shd w:val="clear" w:color="auto" w:fill="FFFFFF"/>
        </w:rPr>
        <w:t>2022年度我单位未发生政府采购事项，无相关经费支出</w:t>
      </w:r>
    </w:p>
    <w:p>
      <w:pPr>
        <w:pStyle w:val="4"/>
        <w:spacing w:beforeAutospacing="0"/>
      </w:pPr>
      <w:r>
        <w:rPr>
          <w:rStyle w:val="7"/>
          <w:shd w:val="clear" w:color="auto" w:fill="FFFFFF"/>
        </w:rPr>
        <w:t>五、预算绩效管理情况说明</w:t>
      </w:r>
    </w:p>
    <w:p>
      <w:pPr>
        <w:pStyle w:val="4"/>
        <w:spacing w:beforeAutospacing="0"/>
        <w:rPr>
          <w:rStyle w:val="7"/>
          <w:shd w:val="clear" w:color="auto" w:fill="FFFFFF"/>
        </w:rPr>
      </w:pPr>
      <w:r>
        <w:rPr>
          <w:rStyle w:val="7"/>
          <w:shd w:val="clear" w:color="auto" w:fill="FFFFFF"/>
        </w:rPr>
        <w:t>（一）预算绩效管理工作开展情况</w:t>
      </w:r>
    </w:p>
    <w:p>
      <w:pPr>
        <w:pStyle w:val="4"/>
        <w:spacing w:beforeAutospacing="0"/>
      </w:pPr>
      <w:r>
        <w:rPr>
          <w:shd w:val="clear" w:color="auto" w:fill="FFFFFF"/>
        </w:rPr>
        <w:t>根据预算绩效管理要求，</w:t>
      </w:r>
      <w:r>
        <w:rPr>
          <w:rFonts w:hint="eastAsia"/>
          <w:shd w:val="clear" w:color="auto" w:fill="FFFFFF"/>
        </w:rPr>
        <w:t>我单位</w:t>
      </w:r>
      <w:r>
        <w:rPr>
          <w:shd w:val="clear" w:color="auto" w:fill="FFFFFF"/>
        </w:rPr>
        <w:t>对部门整体和</w:t>
      </w:r>
      <w:r>
        <w:rPr>
          <w:rFonts w:hint="eastAsia"/>
          <w:color w:val="auto"/>
          <w:shd w:val="clear" w:color="auto" w:fill="FFFFFF"/>
        </w:rPr>
        <w:t>102</w:t>
      </w:r>
      <w:r>
        <w:rPr>
          <w:shd w:val="clear" w:color="auto" w:fill="FFFFFF"/>
        </w:rPr>
        <w:t>个项目开展了绩效自评，其中，以填报自评表形式开展自评</w:t>
      </w:r>
      <w:r>
        <w:rPr>
          <w:rFonts w:hint="eastAsia"/>
          <w:color w:val="auto"/>
          <w:shd w:val="clear" w:color="auto" w:fill="FFFFFF"/>
        </w:rPr>
        <w:t>102</w:t>
      </w:r>
      <w:r>
        <w:rPr>
          <w:shd w:val="clear" w:color="auto" w:fill="FFFFFF"/>
        </w:rPr>
        <w:t>项，涉及资金</w:t>
      </w:r>
      <w:r>
        <w:rPr>
          <w:rFonts w:hint="eastAsia"/>
          <w:shd w:val="clear" w:color="auto" w:fill="FFFFFF"/>
        </w:rPr>
        <w:t>1300.7</w:t>
      </w:r>
      <w:r>
        <w:rPr>
          <w:shd w:val="clear" w:color="auto" w:fill="FFFFFF"/>
        </w:rPr>
        <w:t>万元。</w:t>
      </w:r>
      <w:r>
        <w:rPr>
          <w:rFonts w:hint="eastAsia"/>
          <w:shd w:val="clear" w:color="auto" w:fill="FFFFFF"/>
        </w:rPr>
        <w:t>从评价情况来看，项目立项较为规范，绩效目标明确，预算编制合理，管理科学规范，资金到位及时，总体完成情况较好，有力保障了</w:t>
      </w:r>
      <w:r>
        <w:rPr>
          <w:shd w:val="clear" w:color="auto" w:fill="FFFFFF"/>
        </w:rPr>
        <w:t xml:space="preserve">资金管理、项目有序推进 </w:t>
      </w:r>
      <w:r>
        <w:rPr>
          <w:rFonts w:hint="eastAsia"/>
          <w:shd w:val="clear" w:color="auto" w:fill="FFFFFF"/>
        </w:rPr>
        <w:t>，项目基本达到了预期绩效目标。</w:t>
      </w:r>
    </w:p>
    <w:p>
      <w:pPr>
        <w:pStyle w:val="4"/>
        <w:spacing w:beforeAutospacing="0"/>
      </w:pPr>
      <w:r>
        <w:rPr>
          <w:rStyle w:val="7"/>
          <w:shd w:val="clear" w:color="auto" w:fill="FFFFFF"/>
        </w:rPr>
        <w:t>（二）绩效自评结果。</w:t>
      </w:r>
    </w:p>
    <w:p>
      <w:pPr>
        <w:pStyle w:val="4"/>
        <w:spacing w:beforeAutospacing="0"/>
      </w:pPr>
      <w:r>
        <w:rPr>
          <w:rStyle w:val="7"/>
          <w:shd w:val="clear" w:color="auto" w:fill="FFFFFF"/>
        </w:rPr>
        <w:t>1.绩效目标自评表。</w:t>
      </w:r>
    </w:p>
    <w:tbl>
      <w:tblPr>
        <w:tblStyle w:val="5"/>
        <w:tblW w:w="9451" w:type="dxa"/>
        <w:tblInd w:w="0" w:type="dxa"/>
        <w:tblLayout w:type="fixed"/>
        <w:tblCellMar>
          <w:top w:w="0" w:type="dxa"/>
          <w:left w:w="0" w:type="dxa"/>
          <w:bottom w:w="0" w:type="dxa"/>
          <w:right w:w="0" w:type="dxa"/>
        </w:tblCellMar>
      </w:tblPr>
      <w:tblGrid>
        <w:gridCol w:w="1102"/>
        <w:gridCol w:w="315"/>
        <w:gridCol w:w="1415"/>
        <w:gridCol w:w="1217"/>
        <w:gridCol w:w="340"/>
        <w:gridCol w:w="1537"/>
        <w:gridCol w:w="116"/>
        <w:gridCol w:w="373"/>
        <w:gridCol w:w="539"/>
        <w:gridCol w:w="713"/>
        <w:gridCol w:w="509"/>
        <w:gridCol w:w="739"/>
        <w:gridCol w:w="536"/>
      </w:tblGrid>
      <w:tr>
        <w:tblPrEx>
          <w:tblCellMar>
            <w:top w:w="0" w:type="dxa"/>
            <w:left w:w="0" w:type="dxa"/>
            <w:bottom w:w="0" w:type="dxa"/>
            <w:right w:w="0" w:type="dxa"/>
          </w:tblCellMar>
        </w:tblPrEx>
        <w:trPr>
          <w:trHeight w:val="800" w:hRule="atLeast"/>
        </w:trPr>
        <w:tc>
          <w:tcPr>
            <w:tcW w:w="9451" w:type="dxa"/>
            <w:gridSpan w:val="1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微软雅黑" w:hAnsi="微软雅黑" w:eastAsia="微软雅黑" w:cs="微软雅黑"/>
                <w:b/>
                <w:color w:val="000000"/>
                <w:sz w:val="40"/>
                <w:szCs w:val="40"/>
              </w:rPr>
            </w:pPr>
            <w:r>
              <w:rPr>
                <w:rFonts w:hint="eastAsia" w:ascii="微软雅黑" w:hAnsi="微软雅黑" w:eastAsia="微软雅黑" w:cs="微软雅黑"/>
                <w:b/>
                <w:color w:val="000000"/>
                <w:sz w:val="40"/>
                <w:szCs w:val="40"/>
                <w:lang w:bidi="ar"/>
              </w:rPr>
              <w:t>2022年度部门整体绩效自评表</w:t>
            </w:r>
          </w:p>
        </w:tc>
      </w:tr>
      <w:tr>
        <w:tblPrEx>
          <w:tblCellMar>
            <w:top w:w="0" w:type="dxa"/>
            <w:left w:w="0" w:type="dxa"/>
            <w:bottom w:w="0" w:type="dxa"/>
            <w:right w:w="0" w:type="dxa"/>
          </w:tblCellMar>
        </w:tblPrEx>
        <w:trPr>
          <w:trHeight w:val="500" w:hRule="atLeast"/>
        </w:trPr>
        <w:tc>
          <w:tcPr>
            <w:tcW w:w="9451" w:type="dxa"/>
            <w:gridSpan w:val="1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1" w:firstLineChars="100"/>
              <w:jc w:val="right"/>
              <w:textAlignment w:val="center"/>
              <w:rPr>
                <w:rFonts w:ascii="宋体" w:hAnsi="宋体" w:eastAsia="宋体" w:cs="宋体"/>
                <w:b/>
                <w:color w:val="DA3232"/>
                <w:sz w:val="22"/>
                <w:szCs w:val="22"/>
              </w:rPr>
            </w:pPr>
          </w:p>
        </w:tc>
      </w:tr>
      <w:tr>
        <w:tblPrEx>
          <w:tblCellMar>
            <w:top w:w="0" w:type="dxa"/>
            <w:left w:w="0" w:type="dxa"/>
            <w:bottom w:w="0" w:type="dxa"/>
            <w:right w:w="0" w:type="dxa"/>
          </w:tblCellMar>
        </w:tblPrEx>
        <w:trPr>
          <w:trHeight w:val="500"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项目名称：</w:t>
            </w:r>
          </w:p>
        </w:tc>
        <w:tc>
          <w:tcPr>
            <w:tcW w:w="17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丰都县武平镇整体自评</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项目编码：</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50023000022P000089</w:t>
            </w:r>
          </w:p>
        </w:tc>
        <w:tc>
          <w:tcPr>
            <w:tcW w:w="102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自评总分：</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97.40</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szCs w:val="22"/>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r>
      <w:tr>
        <w:tblPrEx>
          <w:tblCellMar>
            <w:top w:w="0" w:type="dxa"/>
            <w:left w:w="0" w:type="dxa"/>
            <w:bottom w:w="0" w:type="dxa"/>
            <w:right w:w="0" w:type="dxa"/>
          </w:tblCellMar>
        </w:tblPrEx>
        <w:trPr>
          <w:trHeight w:val="500"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项目主管部门：</w:t>
            </w:r>
          </w:p>
        </w:tc>
        <w:tc>
          <w:tcPr>
            <w:tcW w:w="17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922-丰都县武平镇</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财政归口处室：</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007-基财科</w:t>
            </w:r>
          </w:p>
        </w:tc>
        <w:tc>
          <w:tcPr>
            <w:tcW w:w="102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部门联系人：</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谭应君</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联系电话：</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15310562122</w:t>
            </w:r>
          </w:p>
        </w:tc>
      </w:tr>
      <w:tr>
        <w:tblPrEx>
          <w:tblCellMar>
            <w:top w:w="0" w:type="dxa"/>
            <w:left w:w="0" w:type="dxa"/>
            <w:bottom w:w="0" w:type="dxa"/>
            <w:right w:w="0" w:type="dxa"/>
          </w:tblCellMar>
        </w:tblPrEx>
        <w:trPr>
          <w:trHeight w:val="314" w:hRule="atLeast"/>
        </w:trPr>
        <w:tc>
          <w:tcPr>
            <w:tcW w:w="9451" w:type="dxa"/>
            <w:gridSpan w:val="1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微软雅黑" w:hAnsi="微软雅黑" w:eastAsia="微软雅黑" w:cs="微软雅黑"/>
                <w:b/>
                <w:color w:val="808080"/>
                <w:sz w:val="28"/>
                <w:szCs w:val="28"/>
              </w:rPr>
            </w:pPr>
            <w:r>
              <w:rPr>
                <w:rFonts w:hint="eastAsia" w:ascii="微软雅黑" w:hAnsi="微软雅黑" w:eastAsia="微软雅黑" w:cs="微软雅黑"/>
                <w:b/>
                <w:color w:val="808080"/>
                <w:sz w:val="28"/>
                <w:szCs w:val="28"/>
                <w:lang w:bidi="ar"/>
              </w:rPr>
              <w:t>资金情况</w:t>
            </w:r>
          </w:p>
        </w:tc>
      </w:tr>
      <w:tr>
        <w:tblPrEx>
          <w:tblCellMar>
            <w:top w:w="0" w:type="dxa"/>
            <w:left w:w="0" w:type="dxa"/>
            <w:bottom w:w="0" w:type="dxa"/>
            <w:right w:w="0" w:type="dxa"/>
          </w:tblCellMar>
        </w:tblPrEx>
        <w:trPr>
          <w:trHeight w:val="500" w:hRule="atLeast"/>
        </w:trPr>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297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年初预算数</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全年（调整）预算数</w:t>
            </w:r>
          </w:p>
        </w:tc>
        <w:tc>
          <w:tcPr>
            <w:tcW w:w="174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全年执行数</w:t>
            </w:r>
          </w:p>
        </w:tc>
        <w:tc>
          <w:tcPr>
            <w:tcW w:w="50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执行率</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执行率权重</w:t>
            </w: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执行率得分</w:t>
            </w:r>
          </w:p>
        </w:tc>
      </w:tr>
      <w:tr>
        <w:tblPrEx>
          <w:tblCellMar>
            <w:top w:w="0" w:type="dxa"/>
            <w:left w:w="0" w:type="dxa"/>
            <w:bottom w:w="0" w:type="dxa"/>
            <w:right w:w="0" w:type="dxa"/>
          </w:tblCellMar>
        </w:tblPrEx>
        <w:trPr>
          <w:trHeight w:val="500" w:hRule="atLeast"/>
        </w:trPr>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年度总金额</w:t>
            </w:r>
          </w:p>
        </w:tc>
        <w:tc>
          <w:tcPr>
            <w:tcW w:w="297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 xml:space="preserve">15,979,691.98 </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 xml:space="preserve">40,793,718.89 </w:t>
            </w:r>
          </w:p>
        </w:tc>
        <w:tc>
          <w:tcPr>
            <w:tcW w:w="174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 xml:space="preserve">30,134,851.50 </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szCs w:val="22"/>
              </w:rPr>
            </w:pP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szCs w:val="22"/>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szCs w:val="22"/>
              </w:rPr>
            </w:pPr>
          </w:p>
        </w:tc>
      </w:tr>
      <w:tr>
        <w:tblPrEx>
          <w:tblCellMar>
            <w:top w:w="0" w:type="dxa"/>
            <w:left w:w="0" w:type="dxa"/>
            <w:bottom w:w="0" w:type="dxa"/>
            <w:right w:w="0" w:type="dxa"/>
          </w:tblCellMar>
        </w:tblPrEx>
        <w:trPr>
          <w:trHeight w:val="500" w:hRule="atLeast"/>
        </w:trPr>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其中：财政拨款</w:t>
            </w:r>
          </w:p>
        </w:tc>
        <w:tc>
          <w:tcPr>
            <w:tcW w:w="297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 xml:space="preserve">15,979,691.98 </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 xml:space="preserve">40,793,718.89 </w:t>
            </w:r>
          </w:p>
        </w:tc>
        <w:tc>
          <w:tcPr>
            <w:tcW w:w="174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 xml:space="preserve">30,134,851.50 </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74</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10.00</w:t>
            </w: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 xml:space="preserve">7.40 </w:t>
            </w:r>
          </w:p>
        </w:tc>
      </w:tr>
      <w:tr>
        <w:tblPrEx>
          <w:tblCellMar>
            <w:top w:w="0" w:type="dxa"/>
            <w:left w:w="0" w:type="dxa"/>
            <w:bottom w:w="0" w:type="dxa"/>
            <w:right w:w="0" w:type="dxa"/>
          </w:tblCellMar>
        </w:tblPrEx>
        <w:trPr>
          <w:trHeight w:val="254" w:hRule="atLeast"/>
        </w:trPr>
        <w:tc>
          <w:tcPr>
            <w:tcW w:w="9451" w:type="dxa"/>
            <w:gridSpan w:val="1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微软雅黑" w:hAnsi="微软雅黑" w:eastAsia="微软雅黑" w:cs="微软雅黑"/>
                <w:b/>
                <w:color w:val="808080"/>
                <w:sz w:val="28"/>
                <w:szCs w:val="28"/>
              </w:rPr>
            </w:pPr>
            <w:r>
              <w:rPr>
                <w:rFonts w:hint="eastAsia" w:ascii="微软雅黑" w:hAnsi="微软雅黑" w:eastAsia="微软雅黑" w:cs="微软雅黑"/>
                <w:b/>
                <w:color w:val="808080"/>
                <w:sz w:val="28"/>
                <w:szCs w:val="28"/>
                <w:lang w:bidi="ar"/>
              </w:rPr>
              <w:t>绩效目标</w:t>
            </w:r>
          </w:p>
        </w:tc>
      </w:tr>
      <w:tr>
        <w:tblPrEx>
          <w:tblCellMar>
            <w:top w:w="0" w:type="dxa"/>
            <w:left w:w="0" w:type="dxa"/>
            <w:bottom w:w="0" w:type="dxa"/>
            <w:right w:w="0" w:type="dxa"/>
          </w:tblCellMar>
        </w:tblPrEx>
        <w:trPr>
          <w:trHeight w:val="500" w:hRule="atLeast"/>
        </w:trPr>
        <w:tc>
          <w:tcPr>
            <w:tcW w:w="438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年初绩效目标</w:t>
            </w:r>
          </w:p>
        </w:tc>
        <w:tc>
          <w:tcPr>
            <w:tcW w:w="3278"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全年（调整）绩效目标</w:t>
            </w:r>
          </w:p>
        </w:tc>
        <w:tc>
          <w:tcPr>
            <w:tcW w:w="17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全年目标实际完成情况</w:t>
            </w:r>
          </w:p>
        </w:tc>
      </w:tr>
      <w:tr>
        <w:tblPrEx>
          <w:tblCellMar>
            <w:top w:w="0" w:type="dxa"/>
            <w:left w:w="0" w:type="dxa"/>
            <w:bottom w:w="0" w:type="dxa"/>
            <w:right w:w="0" w:type="dxa"/>
          </w:tblCellMar>
        </w:tblPrEx>
        <w:trPr>
          <w:trHeight w:val="90" w:hRule="atLeast"/>
        </w:trPr>
        <w:tc>
          <w:tcPr>
            <w:tcW w:w="438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textAlignment w:val="top"/>
              <w:rPr>
                <w:rFonts w:ascii="宋体" w:hAnsi="宋体" w:eastAsia="宋体" w:cs="宋体"/>
                <w:color w:val="000000"/>
                <w:sz w:val="22"/>
                <w:szCs w:val="22"/>
              </w:rPr>
            </w:pPr>
            <w:r>
              <w:rPr>
                <w:rFonts w:hint="eastAsia" w:ascii="宋体" w:hAnsi="宋体" w:eastAsia="宋体" w:cs="宋体"/>
                <w:color w:val="000000"/>
                <w:sz w:val="22"/>
                <w:szCs w:val="22"/>
                <w:lang w:bidi="ar"/>
              </w:rPr>
              <w:t>主要承担农技、农机、林业、水利水保、水产、畜牧兽医等方面的技术推广、信息、资源环境保护、灾害防治、水利工程等服务工作。主要承担文化、宣传、广播电视、体育、乡村旅游、科技培训等方面服务工作。主要承担失业人员就业培训、职业介绍、就业创业指导、就业再就业小额贷款推荐审核等管理服务工作；负责养老保险、失业保险、城乡居民医疗保险等社会保险管理服务工作；做好农村五保供养对象服务以及劳动就业和社会保障其他方面的服务工作。负责辖区内退役军人保障服务工作，做好关系转接、信息采集、情况反映、慰问帮扶等工作。根据授权或委托，承担辖区范围内集中行使农林水利、规划建设、市政管理、环境保护、卫生计生、文化旅游、民政管理等领域的行政处罚权。</w:t>
            </w:r>
          </w:p>
        </w:tc>
        <w:tc>
          <w:tcPr>
            <w:tcW w:w="327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宋体" w:hAnsi="宋体" w:eastAsia="宋体" w:cs="宋体"/>
                <w:color w:val="000000"/>
                <w:sz w:val="22"/>
                <w:szCs w:val="22"/>
              </w:rPr>
            </w:pPr>
          </w:p>
        </w:tc>
        <w:tc>
          <w:tcPr>
            <w:tcW w:w="178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textAlignment w:val="top"/>
              <w:rPr>
                <w:rFonts w:ascii="宋体" w:hAnsi="宋体" w:eastAsia="宋体" w:cs="宋体"/>
                <w:color w:val="000000"/>
                <w:sz w:val="22"/>
                <w:szCs w:val="22"/>
              </w:rPr>
            </w:pPr>
            <w:r>
              <w:rPr>
                <w:rFonts w:hint="eastAsia" w:ascii="宋体" w:hAnsi="宋体" w:eastAsia="宋体" w:cs="宋体"/>
                <w:color w:val="000000"/>
                <w:sz w:val="22"/>
                <w:szCs w:val="22"/>
                <w:lang w:bidi="ar"/>
              </w:rPr>
              <w:t>完成农技、农机、林业、水利水保、水产、畜牧兽医等方面的技术推广、信息、资源环境保护、灾害防治、水利工程等服务工作。文化、宣传、广播电视、体育、乡村旅游、科技培训等方面服务工作。失业人员就业培训、职业介绍、就业创业指导、就业再就业小额贷款推荐审核等管理服务工作；负责养老保险、失业保险、城乡居民医疗保险等社会保险管理服务工作；做好农村五保供养对象服务以及劳动就业和社会保障其他方面的服务工作。负责辖区内退役军人保障服务工作，做好关系转接、信息采集、情况反映、慰问帮扶等工作。根据授权或委托，承担辖区范围内集中行使农林水利、规划建设、市政管理、环境保护、卫生计生、文化旅游、民政管理等领域的行政处罚权。</w:t>
            </w:r>
            <w:r>
              <w:rPr>
                <w:rFonts w:hint="eastAsia" w:ascii="宋体" w:hAnsi="宋体" w:eastAsia="宋体" w:cs="宋体"/>
                <w:color w:val="000000"/>
                <w:sz w:val="22"/>
                <w:szCs w:val="22"/>
                <w:lang w:bidi="ar"/>
              </w:rPr>
              <w:br w:type="textWrapping"/>
            </w:r>
            <w:r>
              <w:rPr>
                <w:rFonts w:hint="eastAsia" w:ascii="宋体" w:hAnsi="宋体" w:eastAsia="宋体" w:cs="宋体"/>
                <w:color w:val="000000"/>
                <w:sz w:val="22"/>
                <w:szCs w:val="22"/>
                <w:lang w:bidi="ar"/>
              </w:rPr>
              <w:t xml:space="preserve"> </w:t>
            </w:r>
            <w:r>
              <w:rPr>
                <w:rFonts w:hint="eastAsia" w:ascii="宋体" w:hAnsi="宋体" w:eastAsia="宋体" w:cs="宋体"/>
                <w:color w:val="000000"/>
                <w:sz w:val="22"/>
                <w:szCs w:val="22"/>
                <w:lang w:bidi="ar"/>
              </w:rPr>
              <w:br w:type="textWrapping"/>
            </w:r>
            <w:r>
              <w:rPr>
                <w:rFonts w:hint="eastAsia" w:ascii="宋体" w:hAnsi="宋体" w:eastAsia="宋体" w:cs="宋体"/>
                <w:color w:val="000000"/>
                <w:sz w:val="22"/>
                <w:szCs w:val="22"/>
                <w:lang w:bidi="ar"/>
              </w:rPr>
              <w:t>　</w:t>
            </w:r>
            <w:r>
              <w:rPr>
                <w:rFonts w:hint="eastAsia" w:ascii="宋体" w:hAnsi="宋体" w:eastAsia="宋体" w:cs="宋体"/>
                <w:color w:val="000000"/>
                <w:sz w:val="22"/>
                <w:szCs w:val="22"/>
                <w:lang w:bidi="ar"/>
              </w:rPr>
              <w:br w:type="textWrapping"/>
            </w:r>
            <w:r>
              <w:rPr>
                <w:rFonts w:hint="eastAsia" w:ascii="宋体" w:hAnsi="宋体" w:eastAsia="宋体" w:cs="宋体"/>
                <w:color w:val="000000"/>
                <w:sz w:val="22"/>
                <w:szCs w:val="22"/>
                <w:lang w:bidi="ar"/>
              </w:rPr>
              <w:t xml:space="preserve"> </w:t>
            </w:r>
            <w:r>
              <w:rPr>
                <w:rFonts w:hint="eastAsia" w:ascii="宋体" w:hAnsi="宋体" w:eastAsia="宋体" w:cs="宋体"/>
                <w:color w:val="000000"/>
                <w:sz w:val="22"/>
                <w:szCs w:val="22"/>
                <w:lang w:bidi="ar"/>
              </w:rPr>
              <w:br w:type="textWrapping"/>
            </w:r>
            <w:r>
              <w:rPr>
                <w:rFonts w:hint="eastAsia" w:ascii="宋体" w:hAnsi="宋体" w:eastAsia="宋体" w:cs="宋体"/>
                <w:color w:val="000000"/>
                <w:sz w:val="22"/>
                <w:szCs w:val="22"/>
                <w:lang w:bidi="ar"/>
              </w:rPr>
              <w:t>　</w:t>
            </w:r>
          </w:p>
        </w:tc>
      </w:tr>
      <w:tr>
        <w:tblPrEx>
          <w:tblCellMar>
            <w:top w:w="0" w:type="dxa"/>
            <w:left w:w="0" w:type="dxa"/>
            <w:bottom w:w="0" w:type="dxa"/>
            <w:right w:w="0" w:type="dxa"/>
          </w:tblCellMar>
        </w:tblPrEx>
        <w:trPr>
          <w:trHeight w:val="600" w:hRule="atLeast"/>
        </w:trPr>
        <w:tc>
          <w:tcPr>
            <w:tcW w:w="9451" w:type="dxa"/>
            <w:gridSpan w:val="1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微软雅黑" w:hAnsi="微软雅黑" w:eastAsia="微软雅黑" w:cs="微软雅黑"/>
                <w:b/>
                <w:color w:val="808080"/>
                <w:sz w:val="28"/>
                <w:szCs w:val="28"/>
              </w:rPr>
            </w:pPr>
            <w:r>
              <w:rPr>
                <w:rFonts w:hint="eastAsia" w:ascii="微软雅黑" w:hAnsi="微软雅黑" w:eastAsia="微软雅黑" w:cs="微软雅黑"/>
                <w:b/>
                <w:color w:val="808080"/>
                <w:sz w:val="28"/>
                <w:szCs w:val="28"/>
                <w:lang w:bidi="ar"/>
              </w:rPr>
              <w:t>绩效指标</w:t>
            </w:r>
          </w:p>
        </w:tc>
      </w:tr>
      <w:tr>
        <w:tblPrEx>
          <w:tblCellMar>
            <w:top w:w="0" w:type="dxa"/>
            <w:left w:w="0" w:type="dxa"/>
            <w:bottom w:w="0" w:type="dxa"/>
            <w:right w:w="0" w:type="dxa"/>
          </w:tblCellMar>
        </w:tblPrEx>
        <w:trPr>
          <w:trHeight w:val="1200"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指标名称</w:t>
            </w:r>
          </w:p>
        </w:tc>
        <w:tc>
          <w:tcPr>
            <w:tcW w:w="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计量单位</w:t>
            </w:r>
          </w:p>
        </w:tc>
        <w:tc>
          <w:tcPr>
            <w:tcW w:w="2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指标性质</w:t>
            </w:r>
          </w:p>
        </w:tc>
        <w:tc>
          <w:tcPr>
            <w:tcW w:w="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指标值</w:t>
            </w:r>
          </w:p>
        </w:tc>
        <w:tc>
          <w:tcPr>
            <w:tcW w:w="16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全年完成值</w:t>
            </w:r>
          </w:p>
        </w:tc>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偏离度（%）</w:t>
            </w:r>
          </w:p>
        </w:tc>
        <w:tc>
          <w:tcPr>
            <w:tcW w:w="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得分系数（%）</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指标权重</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是否核心指标</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说明</w:t>
            </w: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p>
        </w:tc>
      </w:tr>
      <w:tr>
        <w:tblPrEx>
          <w:tblCellMar>
            <w:top w:w="0" w:type="dxa"/>
            <w:left w:w="0" w:type="dxa"/>
            <w:bottom w:w="0" w:type="dxa"/>
            <w:right w:w="0" w:type="dxa"/>
          </w:tblCellMar>
        </w:tblPrEx>
        <w:trPr>
          <w:trHeight w:val="500"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职能职责履职</w:t>
            </w:r>
          </w:p>
        </w:tc>
        <w:tc>
          <w:tcPr>
            <w:tcW w:w="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定性</w:t>
            </w:r>
          </w:p>
        </w:tc>
        <w:tc>
          <w:tcPr>
            <w:tcW w:w="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好</w:t>
            </w:r>
          </w:p>
        </w:tc>
        <w:tc>
          <w:tcPr>
            <w:tcW w:w="16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1</w:t>
            </w:r>
          </w:p>
        </w:tc>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0</w:t>
            </w:r>
          </w:p>
        </w:tc>
        <w:tc>
          <w:tcPr>
            <w:tcW w:w="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100</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20</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无</w:t>
            </w: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r>
      <w:tr>
        <w:tblPrEx>
          <w:tblCellMar>
            <w:top w:w="0" w:type="dxa"/>
            <w:left w:w="0" w:type="dxa"/>
            <w:bottom w:w="0" w:type="dxa"/>
            <w:right w:w="0" w:type="dxa"/>
          </w:tblCellMar>
        </w:tblPrEx>
        <w:trPr>
          <w:trHeight w:val="500"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民政、教育、文化、体育、社会救助、残疾人事业、劳动就业、社会保障，统筹负责卫生</w:t>
            </w:r>
          </w:p>
        </w:tc>
        <w:tc>
          <w:tcPr>
            <w:tcW w:w="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定性</w:t>
            </w:r>
          </w:p>
        </w:tc>
        <w:tc>
          <w:tcPr>
            <w:tcW w:w="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好</w:t>
            </w:r>
          </w:p>
        </w:tc>
        <w:tc>
          <w:tcPr>
            <w:tcW w:w="16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1</w:t>
            </w:r>
          </w:p>
        </w:tc>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0</w:t>
            </w:r>
          </w:p>
        </w:tc>
        <w:tc>
          <w:tcPr>
            <w:tcW w:w="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100</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20</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无</w:t>
            </w: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r>
      <w:tr>
        <w:tblPrEx>
          <w:tblCellMar>
            <w:top w:w="0" w:type="dxa"/>
            <w:left w:w="0" w:type="dxa"/>
            <w:bottom w:w="0" w:type="dxa"/>
            <w:right w:w="0" w:type="dxa"/>
          </w:tblCellMar>
        </w:tblPrEx>
        <w:trPr>
          <w:trHeight w:val="500"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经济社会发展、乡村振兴</w:t>
            </w:r>
          </w:p>
        </w:tc>
        <w:tc>
          <w:tcPr>
            <w:tcW w:w="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定性</w:t>
            </w:r>
          </w:p>
        </w:tc>
        <w:tc>
          <w:tcPr>
            <w:tcW w:w="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好</w:t>
            </w:r>
          </w:p>
        </w:tc>
        <w:tc>
          <w:tcPr>
            <w:tcW w:w="16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1</w:t>
            </w:r>
          </w:p>
        </w:tc>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0</w:t>
            </w:r>
          </w:p>
        </w:tc>
        <w:tc>
          <w:tcPr>
            <w:tcW w:w="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100</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20</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无</w:t>
            </w: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r>
      <w:tr>
        <w:tblPrEx>
          <w:tblCellMar>
            <w:top w:w="0" w:type="dxa"/>
            <w:left w:w="0" w:type="dxa"/>
            <w:bottom w:w="0" w:type="dxa"/>
            <w:right w:w="0" w:type="dxa"/>
          </w:tblCellMar>
        </w:tblPrEx>
        <w:trPr>
          <w:trHeight w:val="500"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社会治安综合治理、村镇规划、村镇建设、市政公用、市容环卫、环境保护、河长制工作</w:t>
            </w:r>
          </w:p>
        </w:tc>
        <w:tc>
          <w:tcPr>
            <w:tcW w:w="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定性</w:t>
            </w:r>
          </w:p>
        </w:tc>
        <w:tc>
          <w:tcPr>
            <w:tcW w:w="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好</w:t>
            </w:r>
          </w:p>
        </w:tc>
        <w:tc>
          <w:tcPr>
            <w:tcW w:w="16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1</w:t>
            </w:r>
          </w:p>
        </w:tc>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0</w:t>
            </w:r>
          </w:p>
        </w:tc>
        <w:tc>
          <w:tcPr>
            <w:tcW w:w="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100</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20</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无</w:t>
            </w: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r>
      <w:tr>
        <w:tblPrEx>
          <w:tblCellMar>
            <w:top w:w="0" w:type="dxa"/>
            <w:left w:w="0" w:type="dxa"/>
            <w:bottom w:w="0" w:type="dxa"/>
            <w:right w:w="0" w:type="dxa"/>
          </w:tblCellMar>
        </w:tblPrEx>
        <w:trPr>
          <w:trHeight w:val="54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群众满意度</w:t>
            </w:r>
          </w:p>
        </w:tc>
        <w:tc>
          <w:tcPr>
            <w:tcW w:w="3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w:t>
            </w:r>
          </w:p>
        </w:tc>
        <w:tc>
          <w:tcPr>
            <w:tcW w:w="2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w:t>
            </w:r>
          </w:p>
        </w:tc>
        <w:tc>
          <w:tcPr>
            <w:tcW w:w="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98</w:t>
            </w:r>
          </w:p>
        </w:tc>
        <w:tc>
          <w:tcPr>
            <w:tcW w:w="16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100</w:t>
            </w:r>
          </w:p>
        </w:tc>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0</w:t>
            </w:r>
          </w:p>
        </w:tc>
        <w:tc>
          <w:tcPr>
            <w:tcW w:w="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100</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20</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无</w:t>
            </w: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r>
    </w:tbl>
    <w:p>
      <w:pPr>
        <w:pStyle w:val="4"/>
        <w:spacing w:beforeAutospacing="0"/>
        <w:rPr>
          <w:rStyle w:val="7"/>
          <w:color w:val="FF0000"/>
          <w:highlight w:val="yellow"/>
          <w:shd w:val="clear" w:color="auto" w:fill="FFFFFF"/>
        </w:rPr>
      </w:pPr>
    </w:p>
    <w:tbl>
      <w:tblPr>
        <w:tblStyle w:val="5"/>
        <w:tblW w:w="10598" w:type="dxa"/>
        <w:tblInd w:w="0" w:type="dxa"/>
        <w:tblLayout w:type="fixed"/>
        <w:tblCellMar>
          <w:top w:w="0" w:type="dxa"/>
          <w:left w:w="0" w:type="dxa"/>
          <w:bottom w:w="0" w:type="dxa"/>
          <w:right w:w="0" w:type="dxa"/>
        </w:tblCellMar>
      </w:tblPr>
      <w:tblGrid>
        <w:gridCol w:w="1126"/>
        <w:gridCol w:w="563"/>
        <w:gridCol w:w="563"/>
        <w:gridCol w:w="820"/>
        <w:gridCol w:w="1442"/>
        <w:gridCol w:w="1151"/>
        <w:gridCol w:w="637"/>
        <w:gridCol w:w="490"/>
        <w:gridCol w:w="490"/>
        <w:gridCol w:w="568"/>
        <w:gridCol w:w="765"/>
        <w:gridCol w:w="1983"/>
      </w:tblGrid>
      <w:tr>
        <w:tblPrEx>
          <w:tblCellMar>
            <w:top w:w="0" w:type="dxa"/>
            <w:left w:w="0" w:type="dxa"/>
            <w:bottom w:w="0" w:type="dxa"/>
            <w:right w:w="0" w:type="dxa"/>
          </w:tblCellMar>
        </w:tblPrEx>
        <w:trPr>
          <w:trHeight w:val="799" w:hRule="atLeast"/>
        </w:trPr>
        <w:tc>
          <w:tcPr>
            <w:tcW w:w="10598" w:type="dxa"/>
            <w:gridSpan w:val="1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微软雅黑" w:hAnsi="微软雅黑" w:eastAsia="微软雅黑" w:cs="微软雅黑"/>
                <w:b/>
                <w:color w:val="000000"/>
                <w:sz w:val="40"/>
                <w:szCs w:val="40"/>
              </w:rPr>
            </w:pPr>
            <w:r>
              <w:rPr>
                <w:rFonts w:ascii="微软雅黑" w:hAnsi="微软雅黑" w:eastAsia="微软雅黑" w:cs="微软雅黑"/>
                <w:b/>
                <w:color w:val="000000"/>
                <w:sz w:val="40"/>
                <w:szCs w:val="40"/>
                <w:lang w:bidi="ar"/>
              </w:rPr>
              <w:t>2022年度项目绩效自评表</w:t>
            </w:r>
          </w:p>
        </w:tc>
      </w:tr>
      <w:tr>
        <w:tblPrEx>
          <w:tblCellMar>
            <w:top w:w="0" w:type="dxa"/>
            <w:left w:w="0" w:type="dxa"/>
            <w:bottom w:w="0" w:type="dxa"/>
            <w:right w:w="0" w:type="dxa"/>
          </w:tblCellMar>
        </w:tblPrEx>
        <w:trPr>
          <w:trHeight w:val="499" w:hRule="atLeast"/>
        </w:trPr>
        <w:tc>
          <w:tcPr>
            <w:tcW w:w="10598" w:type="dxa"/>
            <w:gridSpan w:val="1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1" w:firstLineChars="100"/>
              <w:jc w:val="right"/>
              <w:textAlignment w:val="center"/>
              <w:rPr>
                <w:rFonts w:ascii="宋体" w:hAnsi="宋体" w:eastAsia="宋体" w:cs="宋体"/>
                <w:b/>
                <w:color w:val="DA3232"/>
                <w:sz w:val="22"/>
                <w:szCs w:val="22"/>
              </w:rPr>
            </w:pPr>
            <w:r>
              <w:rPr>
                <w:rFonts w:hint="eastAsia" w:ascii="宋体" w:hAnsi="宋体" w:eastAsia="宋体" w:cs="宋体"/>
                <w:b/>
                <w:color w:val="DA3232"/>
                <w:sz w:val="22"/>
                <w:szCs w:val="22"/>
                <w:lang w:bidi="ar"/>
              </w:rPr>
              <w:t>已审</w:t>
            </w:r>
          </w:p>
        </w:tc>
      </w:tr>
      <w:tr>
        <w:tblPrEx>
          <w:tblCellMar>
            <w:top w:w="0" w:type="dxa"/>
            <w:left w:w="0" w:type="dxa"/>
            <w:bottom w:w="0" w:type="dxa"/>
            <w:right w:w="0" w:type="dxa"/>
          </w:tblCellMar>
        </w:tblPrEx>
        <w:trPr>
          <w:trHeight w:val="499" w:hRule="atLeast"/>
        </w:trPr>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项目名称：</w:t>
            </w:r>
          </w:p>
        </w:tc>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2020年中央农业生产和水利救灾资金</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项目编码：</w:t>
            </w:r>
          </w:p>
        </w:tc>
        <w:tc>
          <w:tcPr>
            <w:tcW w:w="25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50023023T000002815870</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自评总分：</w:t>
            </w: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90.00</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szCs w:val="22"/>
              </w:rPr>
            </w:pPr>
          </w:p>
        </w:tc>
        <w:tc>
          <w:tcPr>
            <w:tcW w:w="27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r>
      <w:tr>
        <w:tblPrEx>
          <w:tblCellMar>
            <w:top w:w="0" w:type="dxa"/>
            <w:left w:w="0" w:type="dxa"/>
            <w:bottom w:w="0" w:type="dxa"/>
            <w:right w:w="0" w:type="dxa"/>
          </w:tblCellMar>
        </w:tblPrEx>
        <w:trPr>
          <w:trHeight w:val="499" w:hRule="atLeast"/>
        </w:trPr>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项目主管部门：</w:t>
            </w:r>
          </w:p>
        </w:tc>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922-丰都县武平镇</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财政归口处室：</w:t>
            </w:r>
          </w:p>
        </w:tc>
        <w:tc>
          <w:tcPr>
            <w:tcW w:w="25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007-基财科</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部门联系人：</w:t>
            </w: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刘军兰</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联系电话：</w:t>
            </w:r>
          </w:p>
        </w:tc>
        <w:tc>
          <w:tcPr>
            <w:tcW w:w="27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13896560510</w:t>
            </w:r>
          </w:p>
        </w:tc>
      </w:tr>
      <w:tr>
        <w:tblPrEx>
          <w:tblCellMar>
            <w:top w:w="0" w:type="dxa"/>
            <w:left w:w="0" w:type="dxa"/>
            <w:bottom w:w="0" w:type="dxa"/>
            <w:right w:w="0" w:type="dxa"/>
          </w:tblCellMar>
        </w:tblPrEx>
        <w:trPr>
          <w:trHeight w:val="600" w:hRule="atLeast"/>
        </w:trPr>
        <w:tc>
          <w:tcPr>
            <w:tcW w:w="10598" w:type="dxa"/>
            <w:gridSpan w:val="1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微软雅黑" w:hAnsi="微软雅黑" w:eastAsia="微软雅黑" w:cs="微软雅黑"/>
                <w:b/>
                <w:color w:val="808080"/>
                <w:sz w:val="28"/>
                <w:szCs w:val="28"/>
              </w:rPr>
            </w:pPr>
            <w:r>
              <w:rPr>
                <w:rFonts w:ascii="微软雅黑" w:hAnsi="微软雅黑" w:eastAsia="微软雅黑" w:cs="微软雅黑"/>
                <w:b/>
                <w:color w:val="808080"/>
                <w:sz w:val="28"/>
                <w:szCs w:val="28"/>
                <w:lang w:bidi="ar"/>
              </w:rPr>
              <w:t>资金情况</w:t>
            </w:r>
          </w:p>
        </w:tc>
      </w:tr>
      <w:tr>
        <w:tblPrEx>
          <w:tblCellMar>
            <w:top w:w="0" w:type="dxa"/>
            <w:left w:w="0" w:type="dxa"/>
            <w:bottom w:w="0" w:type="dxa"/>
            <w:right w:w="0" w:type="dxa"/>
          </w:tblCellMar>
        </w:tblPrEx>
        <w:trPr>
          <w:trHeight w:val="499" w:hRule="atLeast"/>
        </w:trPr>
        <w:tc>
          <w:tcPr>
            <w:tcW w:w="168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年初预算数</w:t>
            </w:r>
          </w:p>
        </w:tc>
        <w:tc>
          <w:tcPr>
            <w:tcW w:w="25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全年（调整）预算数</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全年执行数</w:t>
            </w:r>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执行率</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执行率权重</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执行率得分</w:t>
            </w:r>
          </w:p>
        </w:tc>
      </w:tr>
      <w:tr>
        <w:tblPrEx>
          <w:tblCellMar>
            <w:top w:w="0" w:type="dxa"/>
            <w:left w:w="0" w:type="dxa"/>
            <w:bottom w:w="0" w:type="dxa"/>
            <w:right w:w="0" w:type="dxa"/>
          </w:tblCellMar>
        </w:tblPrEx>
        <w:trPr>
          <w:trHeight w:val="499" w:hRule="atLeast"/>
        </w:trPr>
        <w:tc>
          <w:tcPr>
            <w:tcW w:w="168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年度总金额</w:t>
            </w:r>
          </w:p>
        </w:tc>
        <w:tc>
          <w:tcPr>
            <w:tcW w:w="1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 xml:space="preserve">0.00 </w:t>
            </w:r>
          </w:p>
        </w:tc>
        <w:tc>
          <w:tcPr>
            <w:tcW w:w="25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 xml:space="preserve">19,000.00 </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 xml:space="preserve">0.00 </w:t>
            </w:r>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szCs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szCs w:val="22"/>
              </w:rPr>
            </w:pP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szCs w:val="22"/>
              </w:rPr>
            </w:pPr>
          </w:p>
        </w:tc>
      </w:tr>
      <w:tr>
        <w:tblPrEx>
          <w:tblCellMar>
            <w:top w:w="0" w:type="dxa"/>
            <w:left w:w="0" w:type="dxa"/>
            <w:bottom w:w="0" w:type="dxa"/>
            <w:right w:w="0" w:type="dxa"/>
          </w:tblCellMar>
        </w:tblPrEx>
        <w:trPr>
          <w:trHeight w:val="499" w:hRule="atLeast"/>
        </w:trPr>
        <w:tc>
          <w:tcPr>
            <w:tcW w:w="168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其中：财政拨款</w:t>
            </w:r>
          </w:p>
        </w:tc>
        <w:tc>
          <w:tcPr>
            <w:tcW w:w="1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 xml:space="preserve">0.00 </w:t>
            </w:r>
          </w:p>
        </w:tc>
        <w:tc>
          <w:tcPr>
            <w:tcW w:w="259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 xml:space="preserve">19,000.00 </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 xml:space="preserve">0.00 </w:t>
            </w:r>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10.00</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 xml:space="preserve">0.00 </w:t>
            </w:r>
          </w:p>
        </w:tc>
      </w:tr>
      <w:tr>
        <w:tblPrEx>
          <w:tblCellMar>
            <w:top w:w="0" w:type="dxa"/>
            <w:left w:w="0" w:type="dxa"/>
            <w:bottom w:w="0" w:type="dxa"/>
            <w:right w:w="0" w:type="dxa"/>
          </w:tblCellMar>
        </w:tblPrEx>
        <w:trPr>
          <w:trHeight w:val="600" w:hRule="atLeast"/>
        </w:trPr>
        <w:tc>
          <w:tcPr>
            <w:tcW w:w="10598" w:type="dxa"/>
            <w:gridSpan w:val="1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微软雅黑" w:hAnsi="微软雅黑" w:eastAsia="微软雅黑" w:cs="微软雅黑"/>
                <w:b/>
                <w:color w:val="808080"/>
                <w:sz w:val="28"/>
                <w:szCs w:val="28"/>
              </w:rPr>
            </w:pPr>
            <w:r>
              <w:rPr>
                <w:rFonts w:ascii="微软雅黑" w:hAnsi="微软雅黑" w:eastAsia="微软雅黑" w:cs="微软雅黑"/>
                <w:b/>
                <w:color w:val="808080"/>
                <w:sz w:val="28"/>
                <w:szCs w:val="28"/>
                <w:lang w:bidi="ar"/>
              </w:rPr>
              <w:t>绩效目标</w:t>
            </w:r>
          </w:p>
        </w:tc>
      </w:tr>
      <w:tr>
        <w:tblPrEx>
          <w:tblCellMar>
            <w:top w:w="0" w:type="dxa"/>
            <w:left w:w="0" w:type="dxa"/>
            <w:bottom w:w="0" w:type="dxa"/>
            <w:right w:w="0" w:type="dxa"/>
          </w:tblCellMar>
        </w:tblPrEx>
        <w:trPr>
          <w:trHeight w:val="499" w:hRule="atLeast"/>
        </w:trPr>
        <w:tc>
          <w:tcPr>
            <w:tcW w:w="307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年初绩效目标</w:t>
            </w:r>
          </w:p>
        </w:tc>
        <w:tc>
          <w:tcPr>
            <w:tcW w:w="372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全年（调整）绩效目标</w:t>
            </w:r>
          </w:p>
        </w:tc>
        <w:tc>
          <w:tcPr>
            <w:tcW w:w="380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全年目标实际完成情况</w:t>
            </w:r>
          </w:p>
        </w:tc>
      </w:tr>
      <w:tr>
        <w:tblPrEx>
          <w:tblCellMar>
            <w:top w:w="0" w:type="dxa"/>
            <w:left w:w="0" w:type="dxa"/>
            <w:bottom w:w="0" w:type="dxa"/>
            <w:right w:w="0" w:type="dxa"/>
          </w:tblCellMar>
        </w:tblPrEx>
        <w:trPr>
          <w:trHeight w:val="1602" w:hRule="atLeast"/>
        </w:trPr>
        <w:tc>
          <w:tcPr>
            <w:tcW w:w="30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宋体" w:hAnsi="宋体" w:eastAsia="宋体" w:cs="宋体"/>
                <w:color w:val="000000"/>
                <w:sz w:val="22"/>
                <w:szCs w:val="22"/>
              </w:rPr>
            </w:pPr>
          </w:p>
        </w:tc>
        <w:tc>
          <w:tcPr>
            <w:tcW w:w="37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textAlignment w:val="top"/>
              <w:rPr>
                <w:rFonts w:ascii="宋体" w:hAnsi="宋体" w:eastAsia="宋体" w:cs="宋体"/>
                <w:color w:val="000000"/>
                <w:sz w:val="22"/>
                <w:szCs w:val="22"/>
              </w:rPr>
            </w:pPr>
            <w:r>
              <w:rPr>
                <w:rFonts w:hint="eastAsia" w:ascii="宋体" w:hAnsi="宋体" w:eastAsia="宋体" w:cs="宋体"/>
                <w:color w:val="000000"/>
                <w:sz w:val="22"/>
                <w:szCs w:val="22"/>
                <w:lang w:bidi="ar"/>
              </w:rPr>
              <w:t>完成2020年各村(居）农业生产和水利救灾资金。</w:t>
            </w:r>
          </w:p>
        </w:tc>
        <w:tc>
          <w:tcPr>
            <w:tcW w:w="380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textAlignment w:val="top"/>
              <w:rPr>
                <w:rFonts w:ascii="宋体" w:hAnsi="宋体" w:eastAsia="宋体" w:cs="宋体"/>
                <w:color w:val="000000"/>
                <w:sz w:val="22"/>
                <w:szCs w:val="22"/>
              </w:rPr>
            </w:pPr>
            <w:r>
              <w:rPr>
                <w:rFonts w:hint="eastAsia" w:ascii="宋体" w:hAnsi="宋体" w:eastAsia="宋体" w:cs="宋体"/>
                <w:color w:val="000000"/>
                <w:sz w:val="22"/>
                <w:szCs w:val="22"/>
                <w:lang w:bidi="ar"/>
              </w:rPr>
              <w:t xml:space="preserve"> </w:t>
            </w:r>
            <w:r>
              <w:rPr>
                <w:rFonts w:hint="eastAsia" w:ascii="宋体" w:hAnsi="宋体" w:eastAsia="宋体" w:cs="宋体"/>
                <w:color w:val="000000"/>
                <w:sz w:val="22"/>
                <w:szCs w:val="22"/>
                <w:lang w:bidi="ar"/>
              </w:rPr>
              <w:br w:type="textWrapping"/>
            </w:r>
            <w:r>
              <w:rPr>
                <w:rFonts w:hint="eastAsia" w:ascii="宋体" w:hAnsi="宋体" w:eastAsia="宋体" w:cs="宋体"/>
                <w:color w:val="000000"/>
                <w:sz w:val="22"/>
                <w:szCs w:val="22"/>
                <w:lang w:bidi="ar"/>
              </w:rPr>
              <w:t>完成2020年各村(居）农业生产和水利救灾资金。</w:t>
            </w:r>
          </w:p>
        </w:tc>
      </w:tr>
      <w:tr>
        <w:tblPrEx>
          <w:tblCellMar>
            <w:top w:w="0" w:type="dxa"/>
            <w:left w:w="0" w:type="dxa"/>
            <w:bottom w:w="0" w:type="dxa"/>
            <w:right w:w="0" w:type="dxa"/>
          </w:tblCellMar>
        </w:tblPrEx>
        <w:trPr>
          <w:trHeight w:val="600" w:hRule="atLeast"/>
        </w:trPr>
        <w:tc>
          <w:tcPr>
            <w:tcW w:w="10598" w:type="dxa"/>
            <w:gridSpan w:val="1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微软雅黑" w:hAnsi="微软雅黑" w:eastAsia="微软雅黑" w:cs="微软雅黑"/>
                <w:b/>
                <w:color w:val="808080"/>
                <w:sz w:val="28"/>
                <w:szCs w:val="28"/>
              </w:rPr>
            </w:pPr>
            <w:r>
              <w:rPr>
                <w:rFonts w:ascii="微软雅黑" w:hAnsi="微软雅黑" w:eastAsia="微软雅黑" w:cs="微软雅黑"/>
                <w:b/>
                <w:color w:val="808080"/>
                <w:sz w:val="28"/>
                <w:szCs w:val="28"/>
                <w:lang w:bidi="ar"/>
              </w:rPr>
              <w:t>绩效指标</w:t>
            </w:r>
          </w:p>
        </w:tc>
      </w:tr>
      <w:tr>
        <w:tblPrEx>
          <w:tblCellMar>
            <w:top w:w="0" w:type="dxa"/>
            <w:left w:w="0" w:type="dxa"/>
            <w:bottom w:w="0" w:type="dxa"/>
            <w:right w:w="0" w:type="dxa"/>
          </w:tblCellMar>
        </w:tblPrEx>
        <w:trPr>
          <w:trHeight w:val="499" w:hRule="atLeast"/>
        </w:trPr>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指标名称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计量单位</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指标性质</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指标值</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全年完成值</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偏离度（%）</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得分系数（%）</w:t>
            </w:r>
          </w:p>
        </w:tc>
        <w:tc>
          <w:tcPr>
            <w:tcW w:w="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指标权重</w:t>
            </w:r>
          </w:p>
        </w:tc>
        <w:tc>
          <w:tcPr>
            <w:tcW w:w="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指标得分</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是否核心指标</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r>
              <w:rPr>
                <w:rFonts w:hint="eastAsia" w:ascii="宋体" w:hAnsi="宋体" w:eastAsia="宋体" w:cs="宋体"/>
                <w:b/>
                <w:color w:val="000000"/>
                <w:sz w:val="22"/>
                <w:szCs w:val="22"/>
                <w:lang w:bidi="ar"/>
              </w:rPr>
              <w:t>说明</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eastAsia="宋体" w:cs="宋体"/>
                <w:b/>
                <w:color w:val="000000"/>
                <w:sz w:val="22"/>
                <w:szCs w:val="22"/>
              </w:rPr>
            </w:pPr>
          </w:p>
        </w:tc>
      </w:tr>
      <w:tr>
        <w:tblPrEx>
          <w:tblCellMar>
            <w:top w:w="0" w:type="dxa"/>
            <w:left w:w="0" w:type="dxa"/>
            <w:bottom w:w="0" w:type="dxa"/>
            <w:right w:w="0" w:type="dxa"/>
          </w:tblCellMar>
        </w:tblPrEx>
        <w:trPr>
          <w:trHeight w:val="499" w:hRule="atLeast"/>
        </w:trPr>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涉及村居</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个</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10</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10</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100</w:t>
            </w:r>
          </w:p>
        </w:tc>
        <w:tc>
          <w:tcPr>
            <w:tcW w:w="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15</w:t>
            </w:r>
          </w:p>
        </w:tc>
        <w:tc>
          <w:tcPr>
            <w:tcW w:w="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15</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无</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r>
      <w:tr>
        <w:tblPrEx>
          <w:tblCellMar>
            <w:top w:w="0" w:type="dxa"/>
            <w:left w:w="0" w:type="dxa"/>
            <w:bottom w:w="0" w:type="dxa"/>
            <w:right w:w="0" w:type="dxa"/>
          </w:tblCellMar>
        </w:tblPrEx>
        <w:trPr>
          <w:trHeight w:val="499" w:hRule="atLeast"/>
        </w:trPr>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完成时间</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年</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2020</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2020</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100</w:t>
            </w:r>
          </w:p>
        </w:tc>
        <w:tc>
          <w:tcPr>
            <w:tcW w:w="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15</w:t>
            </w:r>
          </w:p>
        </w:tc>
        <w:tc>
          <w:tcPr>
            <w:tcW w:w="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15</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无</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r>
      <w:tr>
        <w:tblPrEx>
          <w:tblCellMar>
            <w:top w:w="0" w:type="dxa"/>
            <w:left w:w="0" w:type="dxa"/>
            <w:bottom w:w="0" w:type="dxa"/>
            <w:right w:w="0" w:type="dxa"/>
          </w:tblCellMar>
        </w:tblPrEx>
        <w:trPr>
          <w:trHeight w:val="499" w:hRule="atLeast"/>
        </w:trPr>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保障农业生产和水利安全</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定性</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好</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1</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100</w:t>
            </w:r>
          </w:p>
        </w:tc>
        <w:tc>
          <w:tcPr>
            <w:tcW w:w="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20</w:t>
            </w:r>
          </w:p>
        </w:tc>
        <w:tc>
          <w:tcPr>
            <w:tcW w:w="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20</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无</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r>
      <w:tr>
        <w:tblPrEx>
          <w:tblCellMar>
            <w:top w:w="0" w:type="dxa"/>
            <w:left w:w="0" w:type="dxa"/>
            <w:bottom w:w="0" w:type="dxa"/>
            <w:right w:w="0" w:type="dxa"/>
          </w:tblCellMar>
        </w:tblPrEx>
        <w:trPr>
          <w:trHeight w:val="499" w:hRule="atLeast"/>
        </w:trPr>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保障村民生产生活</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定性</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好</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1</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100</w:t>
            </w:r>
          </w:p>
        </w:tc>
        <w:tc>
          <w:tcPr>
            <w:tcW w:w="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20</w:t>
            </w:r>
          </w:p>
        </w:tc>
        <w:tc>
          <w:tcPr>
            <w:tcW w:w="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20</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无</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r>
      <w:tr>
        <w:tblPrEx>
          <w:tblCellMar>
            <w:top w:w="0" w:type="dxa"/>
            <w:left w:w="0" w:type="dxa"/>
            <w:bottom w:w="0" w:type="dxa"/>
            <w:right w:w="0" w:type="dxa"/>
          </w:tblCellMar>
        </w:tblPrEx>
        <w:trPr>
          <w:trHeight w:val="499" w:hRule="atLeast"/>
        </w:trPr>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群众满意度</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95</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100</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100</w:t>
            </w:r>
          </w:p>
        </w:tc>
        <w:tc>
          <w:tcPr>
            <w:tcW w:w="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10</w:t>
            </w:r>
          </w:p>
        </w:tc>
        <w:tc>
          <w:tcPr>
            <w:tcW w:w="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10</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无</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r>
      <w:tr>
        <w:tblPrEx>
          <w:tblCellMar>
            <w:top w:w="0" w:type="dxa"/>
            <w:left w:w="0" w:type="dxa"/>
            <w:bottom w:w="0" w:type="dxa"/>
            <w:right w:w="0" w:type="dxa"/>
          </w:tblCellMar>
        </w:tblPrEx>
        <w:trPr>
          <w:trHeight w:val="499" w:hRule="atLeast"/>
        </w:trPr>
        <w:tc>
          <w:tcPr>
            <w:tcW w:w="1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补助资金</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元</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19000</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19000</w:t>
            </w: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0</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100</w:t>
            </w:r>
          </w:p>
        </w:tc>
        <w:tc>
          <w:tcPr>
            <w:tcW w:w="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10</w:t>
            </w:r>
          </w:p>
        </w:tc>
        <w:tc>
          <w:tcPr>
            <w:tcW w:w="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10</w:t>
            </w: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220" w:firstLineChars="100"/>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无</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r>
    </w:tbl>
    <w:p>
      <w:pPr>
        <w:pStyle w:val="4"/>
        <w:spacing w:beforeAutospacing="0"/>
        <w:rPr>
          <w:rStyle w:val="7"/>
          <w:color w:val="FF0000"/>
          <w:highlight w:val="yellow"/>
          <w:shd w:val="clear" w:color="auto" w:fill="FFFFFF"/>
        </w:rPr>
      </w:pPr>
    </w:p>
    <w:p>
      <w:pPr>
        <w:pStyle w:val="4"/>
        <w:spacing w:beforeAutospacing="0"/>
        <w:rPr>
          <w:rStyle w:val="7"/>
          <w:sz w:val="21"/>
          <w:szCs w:val="22"/>
          <w:shd w:val="clear" w:color="auto" w:fill="FFFFFF"/>
        </w:rPr>
      </w:pPr>
      <w:r>
        <w:rPr>
          <w:rStyle w:val="7"/>
          <w:sz w:val="21"/>
          <w:szCs w:val="22"/>
          <w:shd w:val="clear" w:color="auto" w:fill="FFFFFF"/>
        </w:rPr>
        <w:t>2.绩效自评报告或案例。</w:t>
      </w:r>
    </w:p>
    <w:p>
      <w:pPr>
        <w:pStyle w:val="4"/>
        <w:spacing w:beforeAutospacing="0"/>
        <w:rPr>
          <w:shd w:val="clear" w:color="auto" w:fill="FFFFFF"/>
        </w:rPr>
      </w:pPr>
      <w:r>
        <w:rPr>
          <w:rFonts w:hint="eastAsia"/>
          <w:shd w:val="clear" w:color="auto" w:fill="FFFFFF"/>
        </w:rPr>
        <w:t>我单位未委托第三方开展绩效自评。</w:t>
      </w:r>
    </w:p>
    <w:p>
      <w:pPr>
        <w:pStyle w:val="4"/>
        <w:spacing w:beforeAutospacing="0"/>
        <w:rPr>
          <w:rStyle w:val="7"/>
          <w:sz w:val="21"/>
          <w:szCs w:val="22"/>
          <w:shd w:val="clear" w:color="auto" w:fill="FFFFFF"/>
        </w:rPr>
      </w:pPr>
      <w:r>
        <w:rPr>
          <w:rStyle w:val="7"/>
          <w:shd w:val="clear" w:color="auto" w:fill="FFFFFF"/>
        </w:rPr>
        <w:t>3.关于绩效自评结果的说明。</w:t>
      </w:r>
    </w:p>
    <w:p>
      <w:pPr>
        <w:pStyle w:val="4"/>
        <w:spacing w:beforeAutospacing="0"/>
        <w:rPr>
          <w:shd w:val="clear" w:color="auto" w:fill="FFFFFF"/>
        </w:rPr>
      </w:pPr>
      <w:r>
        <w:rPr>
          <w:rFonts w:hint="eastAsia"/>
          <w:color w:val="auto"/>
          <w:shd w:val="clear" w:color="auto" w:fill="FFFFFF"/>
        </w:rPr>
        <w:t>我单位绩效自评均以完成年度</w:t>
      </w:r>
      <w:r>
        <w:rPr>
          <w:rFonts w:hint="eastAsia"/>
          <w:shd w:val="clear" w:color="auto" w:fill="FFFFFF"/>
        </w:rPr>
        <w:t>绩效目标。</w:t>
      </w:r>
    </w:p>
    <w:p>
      <w:pPr>
        <w:pStyle w:val="4"/>
        <w:numPr>
          <w:ilvl w:val="0"/>
          <w:numId w:val="1"/>
        </w:numPr>
        <w:spacing w:beforeAutospacing="0"/>
        <w:rPr>
          <w:rStyle w:val="7"/>
          <w:shd w:val="clear" w:color="auto" w:fill="FFFFFF"/>
        </w:rPr>
      </w:pPr>
      <w:r>
        <w:rPr>
          <w:rStyle w:val="7"/>
          <w:shd w:val="clear" w:color="auto" w:fill="FFFFFF"/>
        </w:rPr>
        <w:t>重点绩效评价结果。</w:t>
      </w:r>
    </w:p>
    <w:p>
      <w:pPr>
        <w:pStyle w:val="4"/>
        <w:spacing w:beforeAutospacing="0"/>
        <w:rPr>
          <w:color w:val="auto"/>
          <w:shd w:val="clear" w:color="auto" w:fill="FFFFFF"/>
        </w:rPr>
      </w:pPr>
      <w:r>
        <w:rPr>
          <w:rFonts w:hint="eastAsia"/>
          <w:color w:val="auto"/>
          <w:shd w:val="clear" w:color="auto" w:fill="FFFFFF"/>
        </w:rPr>
        <w:t>我单位未委托第三方开展重点绩效评价。</w:t>
      </w:r>
    </w:p>
    <w:p>
      <w:pPr>
        <w:pStyle w:val="4"/>
        <w:spacing w:beforeAutospacing="0"/>
      </w:pPr>
      <w:r>
        <w:rPr>
          <w:rStyle w:val="7"/>
          <w:shd w:val="clear" w:color="auto" w:fill="FFFFFF"/>
        </w:rPr>
        <w:t>六、专业名词解释</w:t>
      </w:r>
    </w:p>
    <w:p>
      <w:pPr>
        <w:pStyle w:val="4"/>
        <w:spacing w:beforeAutospacing="0"/>
      </w:pPr>
      <w:r>
        <w:rPr>
          <w:rStyle w:val="7"/>
          <w:shd w:val="clear" w:color="auto" w:fill="FFFFFF"/>
        </w:rPr>
        <w:t>（一）财政拨款收入</w:t>
      </w:r>
      <w:r>
        <w:rPr>
          <w:shd w:val="clear" w:color="auto" w:fill="FFFFFF"/>
        </w:rPr>
        <w:t>：指本年度从本级财政部门取得的财政拨款，包括一般公共预算财政拨款和政府性基金预算财政拨款。</w:t>
      </w:r>
    </w:p>
    <w:p>
      <w:pPr>
        <w:pStyle w:val="4"/>
        <w:spacing w:beforeAutospacing="0"/>
      </w:pPr>
      <w:r>
        <w:rPr>
          <w:rStyle w:val="7"/>
          <w:shd w:val="clear" w:color="auto" w:fill="FFFFFF"/>
        </w:rPr>
        <w:t>（二）事业收入</w:t>
      </w:r>
      <w:r>
        <w:rPr>
          <w:shd w:val="clear" w:color="auto" w:fill="FFFFFF"/>
        </w:rPr>
        <w:t>：指事业单位开展专业业务活动及其辅助活动取得的现金流入；事业单位收到的财政专户实际核拨的教育收费等资金在此反映。</w:t>
      </w:r>
    </w:p>
    <w:p>
      <w:pPr>
        <w:pStyle w:val="4"/>
        <w:spacing w:beforeAutospacing="0"/>
      </w:pPr>
      <w:r>
        <w:rPr>
          <w:rStyle w:val="7"/>
          <w:shd w:val="clear" w:color="auto" w:fill="FFFFFF"/>
        </w:rPr>
        <w:t>（三）经营收入</w:t>
      </w:r>
      <w:r>
        <w:rPr>
          <w:shd w:val="clear" w:color="auto" w:fill="FFFFFF"/>
        </w:rPr>
        <w:t>：指事业单位在专业业务活动及其辅助活动之外开展非独立核算经营活动取得的现金流入。</w:t>
      </w:r>
    </w:p>
    <w:p>
      <w:pPr>
        <w:pStyle w:val="4"/>
        <w:spacing w:beforeAutospacing="0"/>
      </w:pPr>
      <w:r>
        <w:rPr>
          <w:rStyle w:val="7"/>
          <w:shd w:val="clear" w:color="auto" w:fill="FFFFFF"/>
        </w:rPr>
        <w:t>（四）其他收入</w:t>
      </w:r>
      <w:r>
        <w:rPr>
          <w:shd w:val="clear" w:color="auto"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spacing w:beforeAutospacing="0"/>
      </w:pPr>
      <w:r>
        <w:rPr>
          <w:rStyle w:val="7"/>
          <w:shd w:val="clear" w:color="auto" w:fill="FFFFFF"/>
        </w:rPr>
        <w:t>（五）使用非财政拨款结余</w:t>
      </w:r>
      <w:r>
        <w:rPr>
          <w:shd w:val="clear" w:color="auto" w:fill="FFFFFF"/>
        </w:rPr>
        <w:t>：指单位在当年的“财政拨款收入”、“事业收入”、“经营收入”、“其他收入”等不足以安排当年支出的情况下，使用以前年度积累的非财政拨款结余弥补本年度收支缺口的资金。</w:t>
      </w:r>
    </w:p>
    <w:p>
      <w:pPr>
        <w:pStyle w:val="4"/>
        <w:spacing w:beforeAutospacing="0"/>
      </w:pPr>
      <w:r>
        <w:rPr>
          <w:rStyle w:val="7"/>
          <w:shd w:val="clear" w:color="auto" w:fill="FFFFFF"/>
        </w:rPr>
        <w:t>（六）年初结转和结余</w:t>
      </w:r>
      <w:r>
        <w:rPr>
          <w:shd w:val="clear" w:color="auto" w:fill="FFFFFF"/>
        </w:rPr>
        <w:t>：指单位上年结转本年使用的基本支出结转、项目支出结转和结余、经营结余。</w:t>
      </w:r>
    </w:p>
    <w:p>
      <w:pPr>
        <w:pStyle w:val="4"/>
        <w:spacing w:beforeAutospacing="0"/>
      </w:pPr>
      <w:r>
        <w:rPr>
          <w:rStyle w:val="7"/>
          <w:shd w:val="clear" w:color="auto" w:fill="FFFFFF"/>
        </w:rPr>
        <w:t>（七）结余分配</w:t>
      </w:r>
      <w:r>
        <w:rPr>
          <w:shd w:val="clear" w:color="auto" w:fill="FFFFFF"/>
        </w:rPr>
        <w:t>：指单位按照国家有关规定，缴纳所得税、提取专用基金、转入非财政拨款结余等当年结余的分配情况。</w:t>
      </w:r>
    </w:p>
    <w:p>
      <w:pPr>
        <w:pStyle w:val="4"/>
        <w:spacing w:beforeAutospacing="0"/>
      </w:pPr>
      <w:r>
        <w:rPr>
          <w:rStyle w:val="7"/>
          <w:shd w:val="clear" w:color="auto" w:fill="FFFFFF"/>
        </w:rPr>
        <w:t>（八）年末结转和结余</w:t>
      </w:r>
      <w:r>
        <w:rPr>
          <w:shd w:val="clear" w:color="auto" w:fill="FFFFFF"/>
        </w:rPr>
        <w:t>：指单位结转下年的基本支出结转、项目支出结转和结余、经营结余。</w:t>
      </w:r>
    </w:p>
    <w:p>
      <w:pPr>
        <w:pStyle w:val="4"/>
        <w:spacing w:beforeAutospacing="0"/>
      </w:pPr>
      <w:r>
        <w:rPr>
          <w:rStyle w:val="7"/>
          <w:shd w:val="clear" w:color="auto" w:fill="FFFFFF"/>
        </w:rPr>
        <w:t>（九）基本支出</w:t>
      </w:r>
      <w:r>
        <w:rPr>
          <w:shd w:val="clear" w:color="auto"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spacing w:beforeAutospacing="0"/>
      </w:pPr>
      <w:r>
        <w:rPr>
          <w:rStyle w:val="7"/>
          <w:shd w:val="clear" w:color="auto" w:fill="FFFFFF"/>
        </w:rPr>
        <w:t>（十）项目支出</w:t>
      </w:r>
      <w:r>
        <w:rPr>
          <w:shd w:val="clear" w:color="auto" w:fill="FFFFFF"/>
        </w:rPr>
        <w:t>：指在基本支出之外为完成特定行政任务和事业发展目标所发生的支出。</w:t>
      </w:r>
    </w:p>
    <w:p>
      <w:pPr>
        <w:pStyle w:val="4"/>
        <w:spacing w:beforeAutospacing="0"/>
      </w:pPr>
      <w:r>
        <w:rPr>
          <w:rStyle w:val="7"/>
          <w:shd w:val="clear" w:color="auto" w:fill="FFFFFF"/>
        </w:rPr>
        <w:t>（十一）经营支出</w:t>
      </w:r>
      <w:r>
        <w:rPr>
          <w:shd w:val="clear" w:color="auto" w:fill="FFFFFF"/>
        </w:rPr>
        <w:t>：指事业单位在专业业务活动及其辅助活动之外开展非独立核算经营活动发生的支出。</w:t>
      </w:r>
    </w:p>
    <w:p>
      <w:pPr>
        <w:pStyle w:val="4"/>
        <w:spacing w:beforeAutospacing="0"/>
      </w:pPr>
      <w:r>
        <w:rPr>
          <w:rStyle w:val="7"/>
          <w:shd w:val="clear" w:color="auto" w:fill="FFFFFF"/>
        </w:rPr>
        <w:t>（十二）“三公”经费</w:t>
      </w:r>
      <w:r>
        <w:rPr>
          <w:shd w:val="clear" w:color="auto" w:fill="FFFFFF"/>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spacing w:beforeAutospacing="0"/>
      </w:pPr>
      <w:r>
        <w:rPr>
          <w:rStyle w:val="7"/>
          <w:shd w:val="clear" w:color="auto" w:fill="FFFFFF"/>
        </w:rPr>
        <w:t>（十三）机关运行经费</w:t>
      </w:r>
      <w:r>
        <w:rPr>
          <w:shd w:val="clear" w:color="auto"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spacing w:beforeAutospacing="0"/>
      </w:pPr>
      <w:r>
        <w:rPr>
          <w:rStyle w:val="7"/>
          <w:shd w:val="clear" w:color="auto" w:fill="FFFFFF"/>
        </w:rPr>
        <w:t>（十四）工资福利支出（支出经济分类科目类级）</w:t>
      </w:r>
      <w:r>
        <w:rPr>
          <w:shd w:val="clear" w:color="auto" w:fill="FFFFFF"/>
        </w:rPr>
        <w:t>：反映单位开支的在职职工和编制外长期聘用人员的各类劳动报酬，以及为上述人员缴纳的各项社会保险费等。</w:t>
      </w:r>
    </w:p>
    <w:p>
      <w:pPr>
        <w:pStyle w:val="4"/>
        <w:spacing w:beforeAutospacing="0"/>
      </w:pPr>
      <w:r>
        <w:rPr>
          <w:rStyle w:val="7"/>
          <w:shd w:val="clear" w:color="auto" w:fill="FFFFFF"/>
        </w:rPr>
        <w:t>（十五）商品和服务支出（支出经济分类科目类级）</w:t>
      </w:r>
      <w:r>
        <w:rPr>
          <w:shd w:val="clear" w:color="auto" w:fill="FFFFFF"/>
        </w:rPr>
        <w:t>：反映单位购买商品和服务的支出（不包括用于购置固定资产的支出、战略性和应急储备支出）。</w:t>
      </w:r>
    </w:p>
    <w:p>
      <w:pPr>
        <w:pStyle w:val="4"/>
        <w:spacing w:beforeAutospacing="0"/>
      </w:pPr>
      <w:r>
        <w:rPr>
          <w:rStyle w:val="7"/>
          <w:shd w:val="clear" w:color="auto" w:fill="FFFFFF"/>
        </w:rPr>
        <w:t>（十六）对个人和家庭的补助（支出经济分类科目类级）</w:t>
      </w:r>
      <w:r>
        <w:rPr>
          <w:shd w:val="clear" w:color="auto" w:fill="FFFFFF"/>
        </w:rPr>
        <w:t>：反映用于对个人和家庭的补助支出。</w:t>
      </w:r>
    </w:p>
    <w:p>
      <w:pPr>
        <w:pStyle w:val="4"/>
        <w:spacing w:beforeAutospacing="0"/>
      </w:pPr>
      <w:r>
        <w:rPr>
          <w:rStyle w:val="7"/>
          <w:shd w:val="clear" w:color="auto" w:fill="FFFFFF"/>
        </w:rPr>
        <w:t>（十七）其他资本性支出（支出经济分类科目类级）</w:t>
      </w:r>
      <w:r>
        <w:rPr>
          <w:shd w:val="clear" w:color="auto" w:fill="FFFFFF"/>
        </w:rPr>
        <w:t>：反映非各级发展与改革部门集中安排的用于购置固定资产、战略性和应急性储备、土地和无形资产，以及构建基础设施、大型修缮和财政支持企业更新改造所发生的支出。</w:t>
      </w:r>
    </w:p>
    <w:p>
      <w:pPr>
        <w:pStyle w:val="4"/>
        <w:spacing w:beforeAutospacing="0"/>
      </w:pPr>
      <w:r>
        <w:rPr>
          <w:rStyle w:val="7"/>
          <w:shd w:val="clear" w:color="auto" w:fill="FFFFFF"/>
        </w:rPr>
        <w:t>七、决算公开联系方式及信息反馈渠道</w:t>
      </w:r>
    </w:p>
    <w:p>
      <w:pPr>
        <w:pStyle w:val="4"/>
        <w:spacing w:beforeAutospacing="0"/>
        <w:rPr>
          <w:shd w:val="clear" w:color="auto" w:fill="FFFFFF"/>
        </w:rPr>
      </w:pPr>
      <w:r>
        <w:rPr>
          <w:shd w:val="clear" w:color="auto" w:fill="FFFFFF"/>
        </w:rPr>
        <w:t xml:space="preserve">本单位决算公开信息反馈和联系方式： </w:t>
      </w:r>
    </w:p>
    <w:p>
      <w:pPr>
        <w:pStyle w:val="4"/>
        <w:spacing w:beforeAutospacing="0"/>
        <w:rPr>
          <w:shd w:val="clear" w:color="auto" w:fill="FFFFFF"/>
        </w:rPr>
      </w:pPr>
      <w:r>
        <w:rPr>
          <w:rFonts w:hint="eastAsia"/>
          <w:shd w:val="clear" w:color="auto" w:fill="FFFFFF"/>
        </w:rPr>
        <w:t xml:space="preserve">谭应君 </w:t>
      </w:r>
      <w:r>
        <w:rPr>
          <w:shd w:val="clear" w:color="auto" w:fill="FFFFFF"/>
        </w:rPr>
        <w:t xml:space="preserve">  023-</w:t>
      </w:r>
      <w:r>
        <w:rPr>
          <w:rFonts w:hint="eastAsia"/>
          <w:shd w:val="clear" w:color="auto" w:fill="FFFFFF"/>
        </w:rPr>
        <w:t>70660008</w:t>
      </w:r>
    </w:p>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7AAEC1"/>
    <w:multiLevelType w:val="singleLevel"/>
    <w:tmpl w:val="117AAEC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00172A27"/>
    <w:rsid w:val="001242DE"/>
    <w:rsid w:val="00172A27"/>
    <w:rsid w:val="002851AF"/>
    <w:rsid w:val="007872FC"/>
    <w:rsid w:val="00A07430"/>
    <w:rsid w:val="00D11F0A"/>
    <w:rsid w:val="00E70B17"/>
    <w:rsid w:val="00EE1300"/>
    <w:rsid w:val="00F908A5"/>
    <w:rsid w:val="18982224"/>
    <w:rsid w:val="1D721295"/>
    <w:rsid w:val="218D58C9"/>
    <w:rsid w:val="23887F17"/>
    <w:rsid w:val="29E452C9"/>
    <w:rsid w:val="303D5268"/>
    <w:rsid w:val="3E027DFA"/>
    <w:rsid w:val="3F7FF4E7"/>
    <w:rsid w:val="436D3230"/>
    <w:rsid w:val="4EEF57D7"/>
    <w:rsid w:val="5E6C7060"/>
    <w:rsid w:val="60593614"/>
    <w:rsid w:val="631F082D"/>
    <w:rsid w:val="65527D4B"/>
    <w:rsid w:val="70AD03F2"/>
    <w:rsid w:val="7FF2EA15"/>
    <w:rsid w:val="DFEFF21F"/>
    <w:rsid w:val="FA4DC28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EastAsia" w:hAnsiTheme="minorEastAsia" w:eastAsiaTheme="minorEastAsia"/>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pPr>
    <w:rPr>
      <w:rFonts w:ascii="宋体" w:hAnsi="宋体" w:eastAsia="宋体"/>
    </w:rPr>
  </w:style>
  <w:style w:type="character" w:styleId="7">
    <w:name w:val="Strong"/>
    <w:basedOn w:val="6"/>
    <w:qFormat/>
    <w:uiPriority w:val="0"/>
    <w:rPr>
      <w:b/>
    </w:rPr>
  </w:style>
  <w:style w:type="character" w:customStyle="1" w:styleId="8">
    <w:name w:val="15"/>
    <w:basedOn w:val="6"/>
    <w:qFormat/>
    <w:uiPriority w:val="0"/>
    <w:rPr>
      <w:rFonts w:hint="default" w:ascii="Times New Roman" w:hAnsi="Times New Roman" w:cs="Times New Roman"/>
      <w:b/>
    </w:rPr>
  </w:style>
  <w:style w:type="character" w:customStyle="1" w:styleId="9">
    <w:name w:val="10"/>
    <w:basedOn w:val="6"/>
    <w:qFormat/>
    <w:uiPriority w:val="0"/>
    <w:rPr>
      <w:rFonts w:hint="default" w:ascii="Times New Roman" w:hAnsi="Times New Roman" w:cs="Times New Roman"/>
    </w:rPr>
  </w:style>
  <w:style w:type="character" w:customStyle="1" w:styleId="10">
    <w:name w:val="页眉 字符"/>
    <w:basedOn w:val="6"/>
    <w:link w:val="3"/>
    <w:qFormat/>
    <w:uiPriority w:val="0"/>
    <w:rPr>
      <w:rFonts w:asciiTheme="minorEastAsia" w:hAnsiTheme="minorEastAsia" w:eastAsiaTheme="minorEastAsia"/>
      <w:sz w:val="18"/>
      <w:szCs w:val="18"/>
    </w:rPr>
  </w:style>
  <w:style w:type="character" w:customStyle="1" w:styleId="11">
    <w:name w:val="页脚 字符"/>
    <w:basedOn w:val="6"/>
    <w:link w:val="2"/>
    <w:qFormat/>
    <w:uiPriority w:val="0"/>
    <w:rPr>
      <w:rFonts w:asciiTheme="minorEastAsia" w:hAnsiTheme="minorEastAsia" w:eastAsiaTheme="minorEastAsi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1241</Words>
  <Characters>7077</Characters>
  <Lines>58</Lines>
  <Paragraphs>16</Paragraphs>
  <TotalTime>43</TotalTime>
  <ScaleCrop>false</ScaleCrop>
  <LinksUpToDate>false</LinksUpToDate>
  <CharactersWithSpaces>8302</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温星星</cp:lastModifiedBy>
  <cp:lastPrinted>2023-09-15T11:45:00Z</cp:lastPrinted>
  <dcterms:modified xsi:type="dcterms:W3CDTF">2023-09-22T01:54:34Z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7169F45661534BB39A62D4655FC4E5C6_13</vt:lpwstr>
  </property>
</Properties>
</file>