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丰都县仁沙镇人民政府</w:t>
      </w:r>
    </w:p>
    <w:p>
      <w:pPr>
        <w:spacing w:line="560" w:lineRule="exact"/>
        <w:jc w:val="center"/>
        <w:rPr>
          <w:rFonts w:hint="default"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2022年度部门决算情况说明</w:t>
      </w:r>
    </w:p>
    <w:p>
      <w:pPr>
        <w:spacing w:line="560" w:lineRule="exact"/>
        <w:rPr>
          <w:rFonts w:hint="default" w:ascii="Times New Roman" w:hAnsi="Times New Roman" w:eastAsia="方正仿宋_GBK"/>
          <w:sz w:val="32"/>
          <w:szCs w:val="32"/>
        </w:rPr>
      </w:pPr>
      <w:r>
        <w:rPr>
          <w:rFonts w:hint="default" w:ascii="Times New Roman" w:hAnsi="Times New Roman" w:eastAsia="方正仿宋_GBK"/>
          <w:sz w:val="32"/>
          <w:szCs w:val="32"/>
        </w:rPr>
        <w:t xml:space="preserve"> </w:t>
      </w:r>
    </w:p>
    <w:p>
      <w:pPr>
        <w:spacing w:line="560" w:lineRule="exact"/>
        <w:ind w:firstLine="640" w:firstLineChars="200"/>
        <w:rPr>
          <w:rFonts w:hint="default" w:ascii="方正黑体_GBK" w:hAnsi="方正黑体_GBK" w:eastAsia="方正黑体_GBK" w:cs="方正黑体_GBK"/>
          <w:sz w:val="32"/>
          <w:szCs w:val="32"/>
        </w:rPr>
      </w:pPr>
      <w:r>
        <w:rPr>
          <w:rFonts w:ascii="方正黑体_GBK" w:hAnsi="方正黑体_GBK" w:eastAsia="方正黑体_GBK" w:cs="方正黑体_GBK"/>
          <w:sz w:val="32"/>
          <w:szCs w:val="32"/>
        </w:rPr>
        <w:t>一、部门基本情况</w:t>
      </w:r>
    </w:p>
    <w:p>
      <w:pPr>
        <w:spacing w:line="560" w:lineRule="exact"/>
        <w:ind w:firstLine="640" w:firstLineChars="200"/>
        <w:rPr>
          <w:rFonts w:hint="default" w:ascii="方正楷体_GBK" w:hAnsi="方正楷体_GBK" w:eastAsia="方正楷体_GBK" w:cs="方正楷体_GBK"/>
          <w:sz w:val="32"/>
          <w:szCs w:val="32"/>
        </w:rPr>
      </w:pPr>
      <w:r>
        <w:rPr>
          <w:rFonts w:ascii="方正楷体_GBK" w:hAnsi="方正楷体_GBK" w:eastAsia="方正楷体_GBK" w:cs="方正楷体_GBK"/>
          <w:sz w:val="32"/>
          <w:szCs w:val="32"/>
        </w:rPr>
        <w:t>（一）职能职责</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1）制定和组织实施经济、科技和社会发展计划，组织指导好各业生产，搞好商品流通，协调好本镇与外地区的经济交流与合作，抓好招商引资，人才引进项目开发，不断培育市场体系，组织经济运行，促进经济发展。</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（2）制定村镇规划、村镇建设、市政公用、市容环卫、环境保护，部署重点工程建设，地方道路建设及公共设施，水利设施的管理，负责土地、林木、水等自然资源和生态环境的保护，做好护林防火工作。</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3）负责本行政区域内的民政、教育、文化、体育、社会救助、残疾人事业、劳动就业、社会保障，统筹负责卫生、计生、老龄事业发展等职责。维护一切经济单位和个人的正当经济权益，取缔非法经济活动，调解和处理民事纠纷，打击刑事犯罪维护社会稳定。</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（4）按计划组织本级财政收入，预决算、总会计、惠农资金兑付、财政资金监督检查、绩效评价、村级财务管理等职责。</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（5）抓好精神文明建设，丰富群众文化生活，提倡移风易俗，反对封建迷信，破除陈规陋习，树立社会主义新风尚。</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（6）完成上级政府交办的其他事项。</w:t>
      </w:r>
    </w:p>
    <w:p>
      <w:pPr>
        <w:spacing w:line="560" w:lineRule="exact"/>
        <w:ind w:firstLine="640" w:firstLineChars="200"/>
        <w:rPr>
          <w:rFonts w:hint="default" w:ascii="方正楷体_GBK" w:hAnsi="方正楷体_GBK" w:eastAsia="方正楷体_GBK" w:cs="方正楷体_GBK"/>
          <w:sz w:val="32"/>
          <w:szCs w:val="32"/>
        </w:rPr>
      </w:pPr>
      <w:r>
        <w:rPr>
          <w:rFonts w:ascii="方正楷体_GBK" w:hAnsi="方正楷体_GBK" w:eastAsia="方正楷体_GBK" w:cs="方正楷体_GBK"/>
          <w:sz w:val="32"/>
          <w:szCs w:val="32"/>
        </w:rPr>
        <w:t>（二）机构设置</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丰都县仁沙镇人民政府有8个内设机构：党政办公室、党群工作办公室、经济发展办公室、民政和社会事务办公室、平安建设办公室、规划建设管理环保办公室、财政办公室、应急管理办公室；事业单位5个：农业服务中心、文化服务中心、劳动就业和社会保障服务所、退役军人服务站、综合行政执法大队</w:t>
      </w:r>
    </w:p>
    <w:p>
      <w:pPr>
        <w:spacing w:line="560" w:lineRule="exact"/>
        <w:ind w:firstLine="640" w:firstLineChars="200"/>
        <w:rPr>
          <w:rFonts w:hint="default" w:ascii="方正楷体_GBK" w:hAnsi="方正楷体_GBK" w:eastAsia="方正楷体_GBK" w:cs="方正楷体_GBK"/>
          <w:sz w:val="32"/>
          <w:szCs w:val="32"/>
        </w:rPr>
      </w:pPr>
      <w:r>
        <w:rPr>
          <w:rFonts w:ascii="方正楷体_GBK" w:hAnsi="方正楷体_GBK" w:eastAsia="方正楷体_GBK" w:cs="方正楷体_GBK"/>
          <w:sz w:val="32"/>
          <w:szCs w:val="32"/>
        </w:rPr>
        <w:t>（三）单位构成</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从预算单位构成看，无纳入本部门2022年度决算编制的二级预算单位。</w:t>
      </w:r>
    </w:p>
    <w:p>
      <w:pPr>
        <w:spacing w:line="560" w:lineRule="exact"/>
        <w:ind w:firstLine="640" w:firstLineChars="200"/>
        <w:rPr>
          <w:rFonts w:hint="default" w:ascii="方正黑体_GBK" w:hAnsi="方正黑体_GBK" w:eastAsia="方正黑体_GBK" w:cs="方正黑体_GBK"/>
          <w:sz w:val="32"/>
          <w:szCs w:val="32"/>
        </w:rPr>
      </w:pPr>
      <w:r>
        <w:rPr>
          <w:rFonts w:ascii="方正黑体_GBK" w:hAnsi="方正黑体_GBK" w:eastAsia="方正黑体_GBK" w:cs="方正黑体_GBK"/>
          <w:sz w:val="32"/>
          <w:szCs w:val="32"/>
        </w:rPr>
        <w:t>二、部门决算情况说明</w:t>
      </w:r>
    </w:p>
    <w:p>
      <w:pPr>
        <w:spacing w:line="560" w:lineRule="exact"/>
        <w:ind w:firstLine="640" w:firstLineChars="200"/>
        <w:rPr>
          <w:rFonts w:hint="default" w:ascii="方正楷体_GBK" w:hAnsi="方正楷体_GBK" w:eastAsia="方正楷体_GBK" w:cs="方正楷体_GBK"/>
          <w:sz w:val="32"/>
          <w:szCs w:val="32"/>
        </w:rPr>
      </w:pPr>
      <w:r>
        <w:rPr>
          <w:rFonts w:ascii="方正楷体_GBK" w:hAnsi="方正楷体_GBK" w:eastAsia="方正楷体_GBK" w:cs="方正楷体_GBK"/>
          <w:sz w:val="32"/>
          <w:szCs w:val="32"/>
        </w:rPr>
        <w:t>（一）收入支出决算总体情况说明</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1.总体情况。2022年度收入总计3,071.33万元，支出总计3,071.33万元。收支较上年决算数减少12.14万元,下降0.4%，主要原因是一般公共预算财政拨款收入较去年减少67.9万元，基金收入减少68.44万元，年初结转和结余收入增加124.2万元，导致收支较上年决算数减少12.14万元。</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2.收入情况。2022年度收入合计2,860.52万元，较上年决算数减少136.25万元，下降4.5%，主要原因是退休、调动等人员减少，社会保障缴费基数、公用开支减少。其中：财政拨款收入2,860.52万元，占100%。此外，使用非财政拨款结余0.00万元，年初结转和结余210.80万元。</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3.支出情况。2022年度支出合计2,991.14万元，较上年决算减少12.58万元，下降0.4%，主要原因是公用经费支出减少。其中：基本支出1,614.91万元，占54%；项目支出1,376.23万元，占46%。此外，结余分配0万元。</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4.结转结余情况。2022年度年末结转和结余80.19万元，较上年决算数增加0.44万元，增长0.6%，主要原因是提用年初结转结余用于基本支出。</w:t>
      </w:r>
    </w:p>
    <w:p>
      <w:pPr>
        <w:spacing w:line="560" w:lineRule="exact"/>
        <w:ind w:firstLine="640" w:firstLineChars="200"/>
        <w:rPr>
          <w:rFonts w:hint="default" w:ascii="方正楷体_GBK" w:hAnsi="方正楷体_GBK" w:eastAsia="方正楷体_GBK" w:cs="方正楷体_GBK"/>
          <w:sz w:val="32"/>
          <w:szCs w:val="32"/>
        </w:rPr>
      </w:pPr>
      <w:r>
        <w:rPr>
          <w:rFonts w:ascii="方正楷体_GBK" w:hAnsi="方正楷体_GBK" w:eastAsia="方正楷体_GBK" w:cs="方正楷体_GBK"/>
          <w:sz w:val="32"/>
          <w:szCs w:val="32"/>
        </w:rPr>
        <w:t>（二）财政拨款收入支出决算总体情况说明</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2022年度财政拨款收、支总计3,043.07万元。与2021年相比，财政拨款收、支总计各减少12.14万元，下降0.4%。主要原因是一般公共预算财政拨款收入较去年减少67.9万元，基金收入减少68.44万元，年初结转和结余收入增加124.2万元，导致收支较上年决算数减少12.14万元。</w:t>
      </w:r>
    </w:p>
    <w:p>
      <w:pPr>
        <w:spacing w:line="560" w:lineRule="exact"/>
        <w:ind w:firstLine="640" w:firstLineChars="200"/>
        <w:rPr>
          <w:rFonts w:hint="default" w:ascii="方正楷体_GBK" w:hAnsi="方正楷体_GBK" w:eastAsia="方正楷体_GBK" w:cs="方正楷体_GBK"/>
          <w:sz w:val="32"/>
          <w:szCs w:val="32"/>
        </w:rPr>
      </w:pPr>
      <w:r>
        <w:rPr>
          <w:rFonts w:ascii="方正楷体_GBK" w:hAnsi="方正楷体_GBK" w:eastAsia="方正楷体_GBK" w:cs="方正楷体_GBK"/>
          <w:sz w:val="32"/>
          <w:szCs w:val="32"/>
        </w:rPr>
        <w:t>（三）一般公共预算财政拨款收入支出决算情况说明</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1.收入情况。2022年度一般公共预算财政拨款收入2,730.81万元，较上年决算数减少67.81万元，下降2.4%。主要原因是退休、调动等人员减少，社会保障缴费基数、公用开支减少。较年初预算数增加1,084.15万元，增长65.8%。主要原因是年中追加调整预算及项目工程款。 此外，年初财政拨款结转和结余182.54万元。</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2.支出情况。2022年度一般公共预算财政拨款支出2,861.42万元，较上年决算数增加55.86万元，增长2%。主要原因是抗旱救灾支出增加。较年初预算数增加1,214.76万元，增长73.8%。主要原因是年中追加调整预算及项目工程款。</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3.结转结余情况。2022年度年末一般公共预算财政拨款结转和结余51.93万元，较上年决算数增加0.44万元，增长0.9%，主要原因是提用年初结转结余用于基本支出。</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4.比较情况。本部门2022年度一般公共预算财政拨款支出主要用于以下几个方面：</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（1）一般公共服务支出577.83万元，占20.2%，较年初预算数增加85.78万元，增长17.4%，主要原因是疫情防控、抗旱救灾支出增加。</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 xml:space="preserve">（2）公共安全支出5.00万元，占0.2%，较年初预算数增加0.00万元，增长0%，主要原因是普法宣传开支。 </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（3）文化旅游体育与传媒支出68.19万元，占2.4%，较年初预算数增加29.54万元，增长76.4%，主要原因是仁沙镇红庙村多功能运动场、旅游厕所项目支出。</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（4）社会保障与就业支出379.39万元，占13.3%，较年初预算数增加116.98万元，增长44.6%，主要原因是残疾人抗旱救助项目、残疾人康复、仁沙镇2022残疾人专职委员及阳光家园居家托养项目、职工养老保险支出增加。</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（5）卫生健康支出69.93万元，占2.4%，较年初预算数增加1.56万元，增长2.3%，主要原因是仁沙镇2022年疫情防控工作项目支出增加。</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（6）节能环保支出2.25万元，占0.1%，较年初预算数增加2.25万元，增长%，主要原因是2019年农村生活垃圾“以奖代补”项目支出。</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（7）城乡社区支出90.71万元，占3.2%，较年初预算数减少15.13万元，下降14.3%，主要原因是开支减少。</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8）农林水支出1,210.28万元，占42.3%，较年初预算数增加602.97万元，增长99.3%，主要原因是2022年中央农业生产和水利生产救灾项目、创建农产品质量安全项目、2022年防旱抗旱救灾项目、2022年丰都县大豆玉米带状复合种植项目、2020年农村集体经济产权制度改革试点工作、2022年柑桔大实蝇防控、仁沙镇农村土地承包经营权确权登记颁证项目、仁沙镇2022年红心柚示范园建设项目、仁沙镇2021年耕地地力保护补贴项目、仁沙镇2021年森林资源管护支出-天保工程公益林集中管护项目、松材线虫除治项目、仁沙镇2018年岩溶地区石漠化综合治理工程项目、丰都县仁沙镇2022年村镇供水村级运行维护项目、丰都县仁沙镇2022年永坪寨村山坪塘水毁修复项目、仁沙镇低收入脱贫人口到户产业和防旱抗旱救灾补助项目等支出增加。</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9）交通运输支出366.94万元，占12.8%，较年初预算数增加366.94万元，增长%，主要原因是2021年仁沙镇李家坪、田家沟村通农客公路设置错车道项目、丰都县仁沙镇2021年道路安全生命防护栏工程、农村公路畅通工程仁沙镇七星寨等村四好农村公路建设等项目支出增加。</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 xml:space="preserve">（10）住房保障支出43.97万元，占1.5%，较年初预算数减少5.05万元，下降10.3%，主要原因是住房公积金基数调整。 </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（11）灾害防治及应急管理支出46.94万元，占1.6%，较年初预算数增加41.94万元，增长838.8%，主要原因是洪涝地质倒房等自然救害救助项目支出。</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（12）其他支出0.00万元，占0%，较年初预算数减少13.00万元，下降100%，主要原因是预备费用途调整。</w:t>
      </w:r>
    </w:p>
    <w:p>
      <w:pPr>
        <w:spacing w:line="560" w:lineRule="exact"/>
        <w:ind w:firstLine="640" w:firstLineChars="200"/>
        <w:rPr>
          <w:rFonts w:hint="default" w:ascii="方正楷体_GBK" w:hAnsi="方正楷体_GBK" w:eastAsia="方正楷体_GBK" w:cs="方正楷体_GBK"/>
          <w:sz w:val="32"/>
          <w:szCs w:val="32"/>
        </w:rPr>
      </w:pPr>
      <w:r>
        <w:rPr>
          <w:rFonts w:ascii="方正楷体_GBK" w:hAnsi="方正楷体_GBK" w:eastAsia="方正楷体_GBK" w:cs="方正楷体_GBK"/>
          <w:sz w:val="32"/>
          <w:szCs w:val="32"/>
        </w:rPr>
        <w:t>（四）一般公共预算财政拨款基本支出决算情况说明</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2022年度一般公共预算财政拨款基本支出1,614.91万元。其中：人员经费1,376.34万元，较上年决算数减少58.49万元，下降4.1%，主要原因是人员退休3人。人员经费用途主要包括工资、四险两金、绩效。公用经费238.56万元，较上年决算数减少101.09万元，下降29.8%，主要原因是严格执行中央八项规定，厉行节约。公用经费用途主要包括办公经费、水电费、电话费、广告费、办公耗材、三公经费等。</w:t>
      </w:r>
    </w:p>
    <w:p>
      <w:pPr>
        <w:spacing w:line="560" w:lineRule="exact"/>
        <w:ind w:firstLine="640" w:firstLineChars="200"/>
        <w:rPr>
          <w:rFonts w:hint="default" w:ascii="方正楷体_GBK" w:hAnsi="方正楷体_GBK" w:eastAsia="方正楷体_GBK" w:cs="方正楷体_GBK"/>
          <w:sz w:val="32"/>
          <w:szCs w:val="32"/>
        </w:rPr>
      </w:pPr>
      <w:r>
        <w:rPr>
          <w:rFonts w:ascii="方正楷体_GBK" w:hAnsi="方正楷体_GBK" w:eastAsia="方正楷体_GBK" w:cs="方正楷体_GBK"/>
          <w:sz w:val="32"/>
          <w:szCs w:val="32"/>
        </w:rPr>
        <w:t>（五）政府性基金预算收支决算情况说明</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2022年度政府性基金预算财政拨款年初结转结余0.00万元，年末结转结余0.00万元。本年收入129.71万元，较上年决算数减少68.44万元，下降34.5%，主要原因是财政收紧，基金项目减少。本年支出129.71万元，较上年决算数减少68.44万元，下降34.5%，主要原因是财政收紧，基金项目减少。</w:t>
      </w:r>
    </w:p>
    <w:p>
      <w:pPr>
        <w:spacing w:line="560" w:lineRule="exact"/>
        <w:ind w:firstLine="640" w:firstLineChars="200"/>
        <w:rPr>
          <w:rFonts w:hint="default" w:ascii="方正楷体_GBK" w:hAnsi="方正楷体_GBK" w:eastAsia="方正楷体_GBK" w:cs="方正楷体_GBK"/>
          <w:sz w:val="32"/>
          <w:szCs w:val="32"/>
        </w:rPr>
      </w:pPr>
      <w:r>
        <w:rPr>
          <w:rFonts w:ascii="方正楷体_GBK" w:hAnsi="方正楷体_GBK" w:eastAsia="方正楷体_GBK" w:cs="方正楷体_GBK"/>
          <w:sz w:val="32"/>
          <w:szCs w:val="32"/>
        </w:rPr>
        <w:t>（六）国有资本经营预算财政拨款支出决算情况说明</w:t>
      </w:r>
    </w:p>
    <w:p>
      <w:pPr>
        <w:spacing w:line="560" w:lineRule="exact"/>
        <w:rPr>
          <w:rFonts w:hint="default" w:ascii="Times New Roman" w:hAnsi="Times New Roman" w:eastAsia="方正仿宋_GBK"/>
          <w:sz w:val="32"/>
          <w:szCs w:val="32"/>
        </w:rPr>
      </w:pPr>
      <w:r>
        <w:rPr>
          <w:rFonts w:hint="default" w:ascii="Times New Roman" w:hAnsi="Times New Roman" w:eastAsia="方正仿宋_GBK"/>
          <w:sz w:val="32"/>
          <w:szCs w:val="32"/>
        </w:rPr>
        <w:t xml:space="preserve">   </w:t>
      </w:r>
      <w:r>
        <w:rPr>
          <w:rFonts w:ascii="Times New Roman" w:hAnsi="Times New Roman" w:eastAsia="方正仿宋_GBK"/>
          <w:sz w:val="32"/>
          <w:szCs w:val="32"/>
        </w:rPr>
        <w:t xml:space="preserve"> </w:t>
      </w:r>
      <w:r>
        <w:rPr>
          <w:rFonts w:hint="default" w:ascii="Times New Roman" w:hAnsi="Times New Roman" w:eastAsia="方正仿宋_GBK"/>
          <w:sz w:val="32"/>
          <w:szCs w:val="32"/>
        </w:rPr>
        <w:t>本部门2022年度无国有资本经营预算财政拨款支出。</w:t>
      </w:r>
    </w:p>
    <w:p>
      <w:pPr>
        <w:spacing w:line="560" w:lineRule="exact"/>
        <w:ind w:firstLine="640" w:firstLineChars="200"/>
        <w:rPr>
          <w:rFonts w:hint="default" w:ascii="方正黑体_GBK" w:hAnsi="方正黑体_GBK" w:eastAsia="方正黑体_GBK" w:cs="方正黑体_GBK"/>
          <w:sz w:val="32"/>
          <w:szCs w:val="32"/>
        </w:rPr>
      </w:pPr>
      <w:r>
        <w:rPr>
          <w:rFonts w:ascii="方正黑体_GBK" w:hAnsi="方正黑体_GBK" w:eastAsia="方正黑体_GBK" w:cs="方正黑体_GBK"/>
          <w:sz w:val="32"/>
          <w:szCs w:val="32"/>
        </w:rPr>
        <w:t>三、“三公”经费情况说明</w:t>
      </w:r>
    </w:p>
    <w:p>
      <w:pPr>
        <w:spacing w:line="560" w:lineRule="exact"/>
        <w:ind w:firstLine="640" w:firstLineChars="200"/>
        <w:rPr>
          <w:rFonts w:hint="default" w:ascii="方正楷体_GBK" w:hAnsi="方正楷体_GBK" w:eastAsia="方正楷体_GBK" w:cs="方正楷体_GBK"/>
          <w:sz w:val="32"/>
          <w:szCs w:val="32"/>
        </w:rPr>
      </w:pPr>
      <w:r>
        <w:rPr>
          <w:rFonts w:ascii="方正楷体_GBK" w:hAnsi="方正楷体_GBK" w:eastAsia="方正楷体_GBK" w:cs="方正楷体_GBK"/>
          <w:sz w:val="32"/>
          <w:szCs w:val="32"/>
        </w:rPr>
        <w:t>（一）“三公”经费支出总体情况说明</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2022年度“三公”经费支出共计33.07万元，较年初预算数减少8.23万元，下降19.9%，主要原因是创建节约型政府，压缩公车运行维护费开支。较上年支出数减少13.00万元，下降28.2%，主要原因是上年购买应急车支出、压缩公车运行维护费开支。</w:t>
      </w:r>
    </w:p>
    <w:p>
      <w:pPr>
        <w:spacing w:line="560" w:lineRule="exact"/>
        <w:ind w:firstLine="640" w:firstLineChars="200"/>
        <w:rPr>
          <w:rFonts w:hint="default" w:ascii="方正楷体_GBK" w:hAnsi="方正楷体_GBK" w:eastAsia="方正楷体_GBK" w:cs="方正楷体_GBK"/>
          <w:sz w:val="32"/>
          <w:szCs w:val="32"/>
        </w:rPr>
      </w:pPr>
      <w:r>
        <w:rPr>
          <w:rFonts w:ascii="方正楷体_GBK" w:hAnsi="方正楷体_GBK" w:eastAsia="方正楷体_GBK" w:cs="方正楷体_GBK"/>
          <w:sz w:val="32"/>
          <w:szCs w:val="32"/>
        </w:rPr>
        <w:t>（二）“三公”经费分项支出情况</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2022年度本部门无因公出国（境）支出，与上年持平。</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公务车购置费0.00万元，费用支出较年初预算数减少</w:t>
      </w:r>
      <w:r>
        <w:rPr>
          <w:rFonts w:ascii="Times New Roman" w:hAnsi="Times New Roman" w:eastAsia="方正仿宋_GBK"/>
          <w:sz w:val="32"/>
          <w:szCs w:val="32"/>
        </w:rPr>
        <w:t>0</w:t>
      </w:r>
      <w:r>
        <w:rPr>
          <w:rFonts w:hint="default" w:ascii="Times New Roman" w:hAnsi="Times New Roman" w:eastAsia="方正仿宋_GBK"/>
          <w:sz w:val="32"/>
          <w:szCs w:val="32"/>
        </w:rPr>
        <w:t>万元，下降</w:t>
      </w:r>
      <w:r>
        <w:rPr>
          <w:rFonts w:ascii="Times New Roman" w:hAnsi="Times New Roman" w:eastAsia="方正仿宋_GBK"/>
          <w:sz w:val="32"/>
          <w:szCs w:val="32"/>
        </w:rPr>
        <w:t>0</w:t>
      </w:r>
      <w:r>
        <w:rPr>
          <w:rFonts w:hint="default" w:ascii="Times New Roman" w:hAnsi="Times New Roman" w:eastAsia="方正仿宋_GBK"/>
          <w:sz w:val="32"/>
          <w:szCs w:val="32"/>
        </w:rPr>
        <w:t>%，主要原因是本年未</w:t>
      </w:r>
      <w:r>
        <w:rPr>
          <w:rFonts w:ascii="Times New Roman" w:hAnsi="Times New Roman" w:eastAsia="方正仿宋_GBK"/>
          <w:sz w:val="32"/>
          <w:szCs w:val="32"/>
        </w:rPr>
        <w:t>计划</w:t>
      </w:r>
      <w:r>
        <w:rPr>
          <w:rFonts w:hint="default" w:ascii="Times New Roman" w:hAnsi="Times New Roman" w:eastAsia="方正仿宋_GBK"/>
          <w:sz w:val="32"/>
          <w:szCs w:val="32"/>
        </w:rPr>
        <w:t>购置公务车；较上年支出数减少10.00万元，下降100%，主要原因是本年未购置公务车。</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公务车运行维护费15.04万元，主要用于因公出行、项目检查等工作所需车辆的燃料费、维修费、过桥过路费、保险费等。费用支出较年初预算数减少8.76万元，下降36.8%，主要原因是创建节约型政府，压缩公车运行维护费开支。较上年支出数减少2.62万元，下降14.8%，主要原因是创建节约型政府，压缩公车运行维护费开支。</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公务接待费18.03万元，主要用于接待县级部门工作检查、指导、调研等。费用支出较年初预算数增加0.53万元，增长3%，主要原因是上级各类检查任务增多。较上年支出数减少0.38万元，下降2.1%，主要原因是倡导政府过紧日子，强化公务接待支出管理，严格遵守公务接待开支范围和开支标准，严格控制陪餐人数。</w:t>
      </w:r>
    </w:p>
    <w:p>
      <w:pPr>
        <w:spacing w:line="560" w:lineRule="exact"/>
        <w:ind w:firstLine="640" w:firstLineChars="200"/>
        <w:rPr>
          <w:rFonts w:hint="default" w:ascii="方正楷体_GBK" w:hAnsi="方正楷体_GBK" w:eastAsia="方正楷体_GBK" w:cs="方正楷体_GBK"/>
          <w:sz w:val="32"/>
          <w:szCs w:val="32"/>
        </w:rPr>
      </w:pPr>
      <w:r>
        <w:rPr>
          <w:rFonts w:ascii="方正楷体_GBK" w:hAnsi="方正楷体_GBK" w:eastAsia="方正楷体_GBK" w:cs="方正楷体_GBK"/>
          <w:sz w:val="32"/>
          <w:szCs w:val="32"/>
        </w:rPr>
        <w:t>（三）“三公”经费实物量情况</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2022年度本部门因公出国（境）共计0个团组，0人；公务用车购置0辆，公务车保有量为5辆；国内公务接待432批次2,687人，其中：国内外事接待0批次，0人；国（境）外公务接待0批次，0人。2022年本部门人均接待费67.11元，车均购置费0.00万元，车均维护费3.01万元。</w:t>
      </w:r>
    </w:p>
    <w:p>
      <w:pPr>
        <w:spacing w:line="560" w:lineRule="exact"/>
        <w:ind w:firstLine="640" w:firstLineChars="200"/>
        <w:rPr>
          <w:rFonts w:hint="default" w:ascii="方正黑体_GBK" w:hAnsi="方正黑体_GBK" w:eastAsia="方正黑体_GBK" w:cs="方正黑体_GBK"/>
          <w:sz w:val="32"/>
          <w:szCs w:val="32"/>
        </w:rPr>
      </w:pPr>
      <w:r>
        <w:rPr>
          <w:rFonts w:ascii="方正黑体_GBK" w:hAnsi="方正黑体_GBK" w:eastAsia="方正黑体_GBK" w:cs="方正黑体_GBK"/>
          <w:sz w:val="32"/>
          <w:szCs w:val="32"/>
        </w:rPr>
        <w:t>四、其他需要说明的事项</w:t>
      </w:r>
    </w:p>
    <w:p>
      <w:pPr>
        <w:spacing w:line="560" w:lineRule="exact"/>
        <w:ind w:firstLine="640" w:firstLineChars="200"/>
        <w:rPr>
          <w:rFonts w:hint="default" w:ascii="方正楷体_GBK" w:hAnsi="方正楷体_GBK" w:eastAsia="方正楷体_GBK" w:cs="方正楷体_GBK"/>
          <w:sz w:val="32"/>
          <w:szCs w:val="32"/>
        </w:rPr>
      </w:pPr>
      <w:r>
        <w:rPr>
          <w:rFonts w:ascii="方正楷体_GBK" w:hAnsi="方正楷体_GBK" w:eastAsia="方正楷体_GBK" w:cs="方正楷体_GBK"/>
          <w:sz w:val="32"/>
          <w:szCs w:val="32"/>
        </w:rPr>
        <w:t>（一）财政拨款会议费和培训费情况说明</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本年度会议费支出0.46万元，较上年决算数增加0.05万元，增长12.2%，主要原因是有新进人员，培训费增加。本年度培训费支出1.47万元，较上年决算数减少1.06万元，下降41.9%，主要原因是</w:t>
      </w:r>
      <w:bookmarkStart w:id="0" w:name="_GoBack"/>
      <w:bookmarkEnd w:id="0"/>
      <w:r>
        <w:rPr>
          <w:rFonts w:hint="default" w:ascii="Times New Roman" w:hAnsi="Times New Roman" w:eastAsia="方正仿宋_GBK"/>
          <w:sz w:val="32"/>
          <w:szCs w:val="32"/>
        </w:rPr>
        <w:t>疫情不聚集，开展培训减少。</w:t>
      </w:r>
    </w:p>
    <w:p>
      <w:pPr>
        <w:spacing w:line="560" w:lineRule="exact"/>
        <w:ind w:firstLine="640" w:firstLineChars="200"/>
        <w:rPr>
          <w:rFonts w:hint="default" w:ascii="方正楷体_GBK" w:hAnsi="方正楷体_GBK" w:eastAsia="方正楷体_GBK" w:cs="方正楷体_GBK"/>
          <w:sz w:val="32"/>
          <w:szCs w:val="32"/>
        </w:rPr>
      </w:pPr>
      <w:r>
        <w:rPr>
          <w:rFonts w:ascii="方正楷体_GBK" w:hAnsi="方正楷体_GBK" w:eastAsia="方正楷体_GBK" w:cs="方正楷体_GBK"/>
          <w:sz w:val="32"/>
          <w:szCs w:val="32"/>
        </w:rPr>
        <w:t>（二）机关运行经费支出情况说明</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2022年度本部门机关运行经费支出218.56万元，主要用于开支办公费、印刷费、接待费、差旅费、公车运行维护费、交通费。机关运行经费较上年决算数减少30.09万元，下降12.1%，主要原因是人员较少、厉行节约、过紧日子。</w:t>
      </w:r>
    </w:p>
    <w:p>
      <w:pPr>
        <w:spacing w:line="560" w:lineRule="exact"/>
        <w:ind w:firstLine="640" w:firstLineChars="200"/>
        <w:rPr>
          <w:rFonts w:hint="default" w:ascii="方正楷体_GBK" w:hAnsi="方正楷体_GBK" w:eastAsia="方正楷体_GBK" w:cs="方正楷体_GBK"/>
          <w:sz w:val="32"/>
          <w:szCs w:val="32"/>
        </w:rPr>
      </w:pPr>
      <w:r>
        <w:rPr>
          <w:rFonts w:ascii="方正楷体_GBK" w:hAnsi="方正楷体_GBK" w:eastAsia="方正楷体_GBK" w:cs="方正楷体_GBK"/>
          <w:sz w:val="32"/>
          <w:szCs w:val="32"/>
        </w:rPr>
        <w:t>（三）国有资产占用情况说明</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截至2022年12月31日，本部门共有车辆5辆，其中，副部（省）级及以上领导用车0辆、主要领导干部用车0辆、机要通信用车0辆、应急保障用车5辆、执法执勤用车0辆，特种专业技术用车0辆，离退休干部用车0辆，其他用车0辆。单价100万元（含）以上设备（不含车辆）0台（套）。</w:t>
      </w:r>
    </w:p>
    <w:p>
      <w:pPr>
        <w:spacing w:line="560" w:lineRule="exact"/>
        <w:ind w:firstLine="640" w:firstLineChars="200"/>
        <w:rPr>
          <w:rFonts w:hint="default" w:ascii="方正楷体_GBK" w:hAnsi="方正楷体_GBK" w:eastAsia="方正楷体_GBK" w:cs="方正楷体_GBK"/>
          <w:sz w:val="32"/>
          <w:szCs w:val="32"/>
        </w:rPr>
      </w:pPr>
      <w:r>
        <w:rPr>
          <w:rFonts w:ascii="方正楷体_GBK" w:hAnsi="方正楷体_GBK" w:eastAsia="方正楷体_GBK" w:cs="方正楷体_GBK"/>
          <w:sz w:val="32"/>
          <w:szCs w:val="32"/>
        </w:rPr>
        <w:t>（四）政府采购支出说明</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2022年度我单位未发生政府采购事项，无相关经费支出。</w:t>
      </w:r>
    </w:p>
    <w:p>
      <w:pPr>
        <w:spacing w:line="560" w:lineRule="exact"/>
        <w:ind w:firstLine="640" w:firstLineChars="200"/>
        <w:rPr>
          <w:rFonts w:hint="default" w:ascii="方正黑体_GBK" w:hAnsi="方正黑体_GBK" w:eastAsia="方正黑体_GBK" w:cs="方正黑体_GBK"/>
          <w:sz w:val="32"/>
          <w:szCs w:val="32"/>
        </w:rPr>
      </w:pPr>
      <w:r>
        <w:rPr>
          <w:rFonts w:ascii="方正黑体_GBK" w:hAnsi="方正黑体_GBK" w:eastAsia="方正黑体_GBK" w:cs="方正黑体_GBK"/>
          <w:sz w:val="32"/>
          <w:szCs w:val="32"/>
        </w:rPr>
        <w:t>五、预算绩效管理情况说明</w:t>
      </w:r>
    </w:p>
    <w:p>
      <w:pPr>
        <w:spacing w:line="560" w:lineRule="exact"/>
        <w:ind w:firstLine="640" w:firstLineChars="200"/>
        <w:rPr>
          <w:rFonts w:hint="default" w:ascii="方正楷体_GBK" w:hAnsi="方正楷体_GBK" w:eastAsia="方正楷体_GBK" w:cs="方正楷体_GBK"/>
          <w:sz w:val="32"/>
          <w:szCs w:val="32"/>
        </w:rPr>
      </w:pPr>
      <w:r>
        <w:rPr>
          <w:rFonts w:ascii="方正楷体_GBK" w:hAnsi="方正楷体_GBK" w:eastAsia="方正楷体_GBK" w:cs="方正楷体_GBK"/>
          <w:sz w:val="32"/>
          <w:szCs w:val="32"/>
        </w:rPr>
        <w:t>（一）预算绩效管理工作开展情况</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根据预算绩效管理要求，我镇对部门整体和123个项目开展了绩效自评，其中，以填报自评表形式开展自评123项，涉及资金3690万元。从评价情况来看，项目立项较为规范，绩效目标明确，预算编制合理，管理科学规范，资金到位及时，总体完成情况较好，有力保障了项目正常推进，项目基本达到了预期绩效目标。</w:t>
      </w:r>
    </w:p>
    <w:p>
      <w:pPr>
        <w:spacing w:line="560" w:lineRule="exact"/>
        <w:ind w:firstLine="640" w:firstLineChars="200"/>
        <w:rPr>
          <w:rFonts w:hint="default" w:ascii="方正楷体_GBK" w:hAnsi="方正楷体_GBK" w:eastAsia="方正楷体_GBK" w:cs="方正楷体_GBK"/>
          <w:sz w:val="32"/>
          <w:szCs w:val="32"/>
        </w:rPr>
      </w:pPr>
      <w:r>
        <w:rPr>
          <w:rFonts w:ascii="方正楷体_GBK" w:hAnsi="方正楷体_GBK" w:eastAsia="方正楷体_GBK" w:cs="方正楷体_GBK"/>
          <w:sz w:val="32"/>
          <w:szCs w:val="32"/>
        </w:rPr>
        <w:t>（二）绩效自评结果</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1.绩效目标自评表</w:t>
      </w:r>
    </w:p>
    <w:tbl>
      <w:tblPr>
        <w:tblStyle w:val="6"/>
        <w:tblW w:w="11028" w:type="dxa"/>
        <w:jc w:val="center"/>
        <w:tblInd w:w="0" w:type="dxa"/>
        <w:tblLayout w:type="fixed"/>
        <w:tblCellMar>
          <w:top w:w="0" w:type="dxa"/>
          <w:left w:w="108" w:type="dxa"/>
          <w:bottom w:w="0" w:type="dxa"/>
          <w:right w:w="108" w:type="dxa"/>
        </w:tblCellMar>
      </w:tblPr>
      <w:tblGrid>
        <w:gridCol w:w="1277"/>
        <w:gridCol w:w="567"/>
        <w:gridCol w:w="850"/>
        <w:gridCol w:w="992"/>
        <w:gridCol w:w="1039"/>
        <w:gridCol w:w="866"/>
        <w:gridCol w:w="1043"/>
        <w:gridCol w:w="709"/>
        <w:gridCol w:w="799"/>
        <w:gridCol w:w="992"/>
        <w:gridCol w:w="902"/>
        <w:gridCol w:w="992"/>
      </w:tblGrid>
      <w:tr>
        <w:tblPrEx>
          <w:tblLayout w:type="fixed"/>
          <w:tblCellMar>
            <w:top w:w="0" w:type="dxa"/>
            <w:left w:w="108" w:type="dxa"/>
            <w:bottom w:w="0" w:type="dxa"/>
            <w:right w:w="108" w:type="dxa"/>
          </w:tblCellMar>
        </w:tblPrEx>
        <w:trPr>
          <w:trHeight w:val="584" w:hRule="atLeast"/>
          <w:jc w:val="center"/>
        </w:trPr>
        <w:tc>
          <w:tcPr>
            <w:tcW w:w="11028"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微软雅黑" w:hAnsi="微软雅黑" w:eastAsia="微软雅黑"/>
                <w:bCs/>
                <w:sz w:val="36"/>
                <w:szCs w:val="36"/>
              </w:rPr>
            </w:pPr>
            <w:r>
              <w:rPr>
                <w:rFonts w:ascii="方正黑体_GBK" w:hAnsi="方正黑体_GBK" w:eastAsia="方正黑体_GBK" w:cs="方正黑体_GBK"/>
                <w:bCs/>
                <w:sz w:val="32"/>
                <w:szCs w:val="32"/>
              </w:rPr>
              <w:t>2022年度部门整体绩效自评表</w:t>
            </w:r>
          </w:p>
        </w:tc>
      </w:tr>
      <w:tr>
        <w:tblPrEx>
          <w:tblLayout w:type="fixed"/>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spacing w:line="240" w:lineRule="atLeast"/>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项目名称：</w:t>
            </w:r>
          </w:p>
        </w:tc>
        <w:tc>
          <w:tcPr>
            <w:tcW w:w="1417" w:type="dxa"/>
            <w:gridSpan w:val="2"/>
            <w:tcBorders>
              <w:top w:val="nil"/>
              <w:left w:val="nil"/>
              <w:bottom w:val="single" w:color="auto" w:sz="4" w:space="0"/>
              <w:right w:val="single" w:color="auto" w:sz="4" w:space="0"/>
            </w:tcBorders>
            <w:shd w:val="clear" w:color="auto" w:fill="auto"/>
            <w:noWrap/>
            <w:vAlign w:val="center"/>
          </w:tcPr>
          <w:p>
            <w:pPr>
              <w:spacing w:line="240" w:lineRule="atLeast"/>
              <w:ind w:firstLine="160" w:firstLineChars="100"/>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丰都县仁沙镇整体自评</w:t>
            </w:r>
          </w:p>
        </w:tc>
        <w:tc>
          <w:tcPr>
            <w:tcW w:w="992" w:type="dxa"/>
            <w:tcBorders>
              <w:top w:val="nil"/>
              <w:left w:val="nil"/>
              <w:bottom w:val="single" w:color="auto" w:sz="4" w:space="0"/>
              <w:right w:val="single" w:color="auto" w:sz="4" w:space="0"/>
            </w:tcBorders>
            <w:shd w:val="clear" w:color="auto" w:fill="auto"/>
            <w:noWrap/>
            <w:vAlign w:val="center"/>
          </w:tcPr>
          <w:p>
            <w:pPr>
              <w:spacing w:line="240" w:lineRule="atLeast"/>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项目编码：</w:t>
            </w:r>
          </w:p>
        </w:tc>
        <w:tc>
          <w:tcPr>
            <w:tcW w:w="1905" w:type="dxa"/>
            <w:gridSpan w:val="2"/>
            <w:tcBorders>
              <w:top w:val="nil"/>
              <w:left w:val="nil"/>
              <w:bottom w:val="single" w:color="auto" w:sz="4" w:space="0"/>
              <w:right w:val="single" w:color="auto" w:sz="4" w:space="0"/>
            </w:tcBorders>
            <w:shd w:val="clear" w:color="auto" w:fill="auto"/>
            <w:noWrap/>
            <w:vAlign w:val="center"/>
          </w:tcPr>
          <w:p>
            <w:pPr>
              <w:spacing w:line="240" w:lineRule="atLeast"/>
              <w:ind w:firstLine="160" w:firstLineChars="100"/>
              <w:rPr>
                <w:rFonts w:hint="default" w:ascii="Times New Roman" w:hAnsi="Times New Roman" w:eastAsia="方正仿宋_GBK"/>
                <w:bCs/>
                <w:sz w:val="16"/>
                <w:szCs w:val="16"/>
              </w:rPr>
            </w:pPr>
            <w:r>
              <w:rPr>
                <w:rFonts w:hint="default" w:ascii="Times New Roman" w:hAnsi="Times New Roman" w:eastAsia="方正仿宋_GBK"/>
                <w:bCs/>
                <w:sz w:val="16"/>
                <w:szCs w:val="16"/>
              </w:rPr>
              <w:t>50023000022P000074</w:t>
            </w:r>
            <w:r>
              <w:rPr>
                <w:rFonts w:ascii="方正仿宋_GBK" w:hAnsi="方正仿宋_GBK" w:eastAsia="方正仿宋_GBK" w:cs="方正仿宋_GBK"/>
                <w:bCs/>
                <w:sz w:val="16"/>
                <w:szCs w:val="16"/>
              </w:rPr>
              <w:t>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tLeast"/>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自评总分：</w:t>
            </w:r>
          </w:p>
        </w:tc>
        <w:tc>
          <w:tcPr>
            <w:tcW w:w="1508" w:type="dxa"/>
            <w:gridSpan w:val="2"/>
            <w:tcBorders>
              <w:top w:val="nil"/>
              <w:left w:val="nil"/>
              <w:bottom w:val="single" w:color="auto" w:sz="4" w:space="0"/>
              <w:right w:val="single" w:color="auto" w:sz="4" w:space="0"/>
            </w:tcBorders>
            <w:shd w:val="clear" w:color="auto" w:fill="auto"/>
            <w:noWrap/>
            <w:vAlign w:val="center"/>
          </w:tcPr>
          <w:p>
            <w:pPr>
              <w:spacing w:line="240" w:lineRule="atLeast"/>
              <w:ind w:firstLine="160" w:firstLineChars="100"/>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98.11</w:t>
            </w:r>
          </w:p>
        </w:tc>
        <w:tc>
          <w:tcPr>
            <w:tcW w:w="992" w:type="dxa"/>
            <w:tcBorders>
              <w:top w:val="nil"/>
              <w:left w:val="nil"/>
              <w:bottom w:val="single" w:color="auto" w:sz="4" w:space="0"/>
              <w:right w:val="single" w:color="auto" w:sz="4" w:space="0"/>
            </w:tcBorders>
            <w:shd w:val="clear" w:color="auto" w:fill="auto"/>
            <w:noWrap/>
            <w:vAlign w:val="center"/>
          </w:tcPr>
          <w:p>
            <w:pPr>
              <w:spacing w:line="240" w:lineRule="atLeast"/>
              <w:jc w:val="center"/>
              <w:rPr>
                <w:rFonts w:hint="default" w:ascii="Times New Roman" w:hAnsi="Times New Roman" w:eastAsia="方正仿宋_GBK"/>
                <w:bCs/>
                <w:sz w:val="16"/>
                <w:szCs w:val="16"/>
              </w:rPr>
            </w:pPr>
          </w:p>
        </w:tc>
        <w:tc>
          <w:tcPr>
            <w:tcW w:w="1894" w:type="dxa"/>
            <w:gridSpan w:val="2"/>
            <w:tcBorders>
              <w:top w:val="nil"/>
              <w:left w:val="nil"/>
              <w:bottom w:val="single" w:color="auto" w:sz="4" w:space="0"/>
              <w:right w:val="single" w:color="auto" w:sz="4" w:space="0"/>
            </w:tcBorders>
            <w:shd w:val="clear" w:color="auto" w:fill="auto"/>
            <w:noWrap/>
            <w:vAlign w:val="center"/>
          </w:tcPr>
          <w:p>
            <w:pPr>
              <w:spacing w:line="240" w:lineRule="atLeast"/>
              <w:ind w:firstLine="160" w:firstLineChars="100"/>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r>
      <w:tr>
        <w:tblPrEx>
          <w:tblLayout w:type="fixed"/>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spacing w:line="240" w:lineRule="atLeast"/>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项目主管部门：</w:t>
            </w:r>
          </w:p>
        </w:tc>
        <w:tc>
          <w:tcPr>
            <w:tcW w:w="1417" w:type="dxa"/>
            <w:gridSpan w:val="2"/>
            <w:tcBorders>
              <w:top w:val="single" w:color="auto" w:sz="4" w:space="0"/>
              <w:left w:val="nil"/>
              <w:bottom w:val="single" w:color="auto" w:sz="4" w:space="0"/>
              <w:right w:val="single" w:color="auto" w:sz="4" w:space="0"/>
            </w:tcBorders>
            <w:shd w:val="clear" w:color="auto" w:fill="auto"/>
            <w:noWrap/>
            <w:vAlign w:val="center"/>
          </w:tcPr>
          <w:p>
            <w:pPr>
              <w:spacing w:line="240" w:lineRule="atLeast"/>
              <w:ind w:firstLine="160" w:firstLineChars="100"/>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906-</w:t>
            </w:r>
            <w:r>
              <w:rPr>
                <w:rFonts w:ascii="方正仿宋_GBK" w:hAnsi="方正仿宋_GBK" w:eastAsia="方正仿宋_GBK" w:cs="方正仿宋_GBK"/>
                <w:bCs/>
                <w:sz w:val="16"/>
                <w:szCs w:val="16"/>
              </w:rPr>
              <w:t>丰都县仁沙镇</w:t>
            </w:r>
          </w:p>
        </w:tc>
        <w:tc>
          <w:tcPr>
            <w:tcW w:w="992" w:type="dxa"/>
            <w:tcBorders>
              <w:top w:val="nil"/>
              <w:left w:val="nil"/>
              <w:bottom w:val="single" w:color="auto" w:sz="4" w:space="0"/>
              <w:right w:val="single" w:color="auto" w:sz="4" w:space="0"/>
            </w:tcBorders>
            <w:shd w:val="clear" w:color="auto" w:fill="auto"/>
            <w:noWrap/>
            <w:vAlign w:val="center"/>
          </w:tcPr>
          <w:p>
            <w:pPr>
              <w:spacing w:line="240" w:lineRule="atLeast"/>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财政归口处室：</w:t>
            </w:r>
          </w:p>
        </w:tc>
        <w:tc>
          <w:tcPr>
            <w:tcW w:w="1905" w:type="dxa"/>
            <w:gridSpan w:val="2"/>
            <w:tcBorders>
              <w:top w:val="single" w:color="auto" w:sz="4" w:space="0"/>
              <w:left w:val="nil"/>
              <w:bottom w:val="single" w:color="auto" w:sz="4" w:space="0"/>
              <w:right w:val="single" w:color="auto" w:sz="4" w:space="0"/>
            </w:tcBorders>
            <w:shd w:val="clear" w:color="auto" w:fill="auto"/>
            <w:noWrap/>
            <w:vAlign w:val="center"/>
          </w:tcPr>
          <w:p>
            <w:pPr>
              <w:spacing w:line="240" w:lineRule="atLeast"/>
              <w:ind w:firstLine="160" w:firstLineChars="100"/>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007-</w:t>
            </w:r>
            <w:r>
              <w:rPr>
                <w:rFonts w:ascii="方正仿宋_GBK" w:hAnsi="方正仿宋_GBK" w:eastAsia="方正仿宋_GBK" w:cs="方正仿宋_GBK"/>
                <w:bCs/>
                <w:sz w:val="16"/>
                <w:szCs w:val="16"/>
              </w:rPr>
              <w:t>基财科</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tLeast"/>
              <w:ind w:right="483"/>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部门</w:t>
            </w:r>
          </w:p>
          <w:p>
            <w:pPr>
              <w:spacing w:line="240" w:lineRule="atLeast"/>
              <w:ind w:right="161"/>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联系人：</w:t>
            </w:r>
          </w:p>
        </w:tc>
        <w:tc>
          <w:tcPr>
            <w:tcW w:w="1508" w:type="dxa"/>
            <w:gridSpan w:val="2"/>
            <w:tcBorders>
              <w:top w:val="single" w:color="auto" w:sz="4" w:space="0"/>
              <w:left w:val="nil"/>
              <w:bottom w:val="single" w:color="auto" w:sz="4" w:space="0"/>
              <w:right w:val="single" w:color="auto" w:sz="4" w:space="0"/>
            </w:tcBorders>
            <w:shd w:val="clear" w:color="auto" w:fill="auto"/>
            <w:noWrap/>
            <w:vAlign w:val="center"/>
          </w:tcPr>
          <w:p>
            <w:pPr>
              <w:spacing w:line="240" w:lineRule="atLeast"/>
              <w:ind w:firstLine="160" w:firstLineChars="100"/>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鲁小华</w:t>
            </w:r>
          </w:p>
        </w:tc>
        <w:tc>
          <w:tcPr>
            <w:tcW w:w="992" w:type="dxa"/>
            <w:tcBorders>
              <w:top w:val="nil"/>
              <w:left w:val="nil"/>
              <w:bottom w:val="single" w:color="auto" w:sz="4" w:space="0"/>
              <w:right w:val="single" w:color="auto" w:sz="4" w:space="0"/>
            </w:tcBorders>
            <w:shd w:val="clear" w:color="auto" w:fill="auto"/>
            <w:noWrap/>
            <w:vAlign w:val="center"/>
          </w:tcPr>
          <w:p>
            <w:pPr>
              <w:spacing w:line="240" w:lineRule="atLeast"/>
              <w:ind w:right="181"/>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联系</w:t>
            </w:r>
          </w:p>
          <w:p>
            <w:pPr>
              <w:spacing w:line="240" w:lineRule="atLeast"/>
              <w:ind w:right="181"/>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电话</w:t>
            </w:r>
          </w:p>
        </w:tc>
        <w:tc>
          <w:tcPr>
            <w:tcW w:w="1894" w:type="dxa"/>
            <w:gridSpan w:val="2"/>
            <w:tcBorders>
              <w:top w:val="single" w:color="auto" w:sz="4" w:space="0"/>
              <w:left w:val="nil"/>
              <w:bottom w:val="single" w:color="auto" w:sz="4" w:space="0"/>
              <w:right w:val="single" w:color="auto" w:sz="4" w:space="0"/>
            </w:tcBorders>
            <w:shd w:val="clear" w:color="auto" w:fill="auto"/>
            <w:noWrap/>
            <w:vAlign w:val="center"/>
          </w:tcPr>
          <w:p>
            <w:pPr>
              <w:spacing w:line="240" w:lineRule="atLeast"/>
              <w:ind w:firstLine="160" w:firstLineChars="100"/>
              <w:rPr>
                <w:rFonts w:hint="default" w:ascii="Times New Roman" w:hAnsi="Times New Roman" w:eastAsia="方正仿宋_GBK"/>
                <w:bCs/>
                <w:sz w:val="16"/>
                <w:szCs w:val="16"/>
              </w:rPr>
            </w:pPr>
            <w:r>
              <w:rPr>
                <w:rFonts w:hint="default" w:ascii="Times New Roman" w:hAnsi="Times New Roman" w:eastAsia="方正仿宋_GBK"/>
                <w:bCs/>
                <w:sz w:val="16"/>
                <w:szCs w:val="16"/>
              </w:rPr>
              <w:t>15730263675</w:t>
            </w:r>
            <w:r>
              <w:rPr>
                <w:rFonts w:ascii="方正仿宋_GBK" w:hAnsi="方正仿宋_GBK" w:eastAsia="方正仿宋_GBK" w:cs="方正仿宋_GBK"/>
                <w:bCs/>
                <w:sz w:val="16"/>
                <w:szCs w:val="16"/>
              </w:rPr>
              <w:t>　</w:t>
            </w:r>
          </w:p>
        </w:tc>
      </w:tr>
      <w:tr>
        <w:tblPrEx>
          <w:tblLayout w:type="fixed"/>
          <w:tblCellMar>
            <w:top w:w="0" w:type="dxa"/>
            <w:left w:w="108" w:type="dxa"/>
            <w:bottom w:w="0" w:type="dxa"/>
            <w:right w:w="108" w:type="dxa"/>
          </w:tblCellMar>
        </w:tblPrEx>
        <w:trPr>
          <w:trHeight w:val="469" w:hRule="atLeast"/>
          <w:jc w:val="center"/>
        </w:trPr>
        <w:tc>
          <w:tcPr>
            <w:tcW w:w="11028"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微软雅黑" w:hAnsi="微软雅黑" w:eastAsia="微软雅黑"/>
                <w:bCs/>
                <w:sz w:val="28"/>
                <w:szCs w:val="28"/>
              </w:rPr>
            </w:pPr>
            <w:r>
              <w:rPr>
                <w:rFonts w:ascii="微软雅黑" w:hAnsi="微软雅黑" w:eastAsia="微软雅黑" w:cs="微软雅黑"/>
                <w:bCs/>
              </w:rPr>
              <w:t>资金情况</w:t>
            </w:r>
          </w:p>
        </w:tc>
      </w:tr>
      <w:tr>
        <w:tblPrEx>
          <w:tblLayout w:type="fixed"/>
          <w:tblCellMar>
            <w:top w:w="0" w:type="dxa"/>
            <w:left w:w="108" w:type="dxa"/>
            <w:bottom w:w="0" w:type="dxa"/>
            <w:right w:w="108" w:type="dxa"/>
          </w:tblCellMar>
        </w:tblPrEx>
        <w:trPr>
          <w:trHeight w:val="445" w:hRule="atLeast"/>
          <w:jc w:val="center"/>
        </w:trPr>
        <w:tc>
          <w:tcPr>
            <w:tcW w:w="184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bCs/>
                <w:sz w:val="16"/>
                <w:szCs w:val="16"/>
              </w:rPr>
            </w:pPr>
            <w:r>
              <w:rPr>
                <w:rFonts w:ascii="方正仿宋_GBK" w:hAnsi="方正仿宋_GBK" w:eastAsia="方正仿宋_GBK" w:cs="方正仿宋_GBK"/>
                <w:bCs/>
                <w:sz w:val="16"/>
                <w:szCs w:val="16"/>
              </w:rPr>
              <w:t>　</w:t>
            </w:r>
          </w:p>
        </w:tc>
        <w:tc>
          <w:tcPr>
            <w:tcW w:w="1842" w:type="dxa"/>
            <w:gridSpan w:val="2"/>
            <w:tcBorders>
              <w:top w:val="single" w:color="auto" w:sz="4" w:space="0"/>
              <w:left w:val="nil"/>
              <w:bottom w:val="single" w:color="auto" w:sz="4" w:space="0"/>
              <w:right w:val="single" w:color="000000" w:sz="4" w:space="0"/>
            </w:tcBorders>
            <w:shd w:val="clear" w:color="auto" w:fill="auto"/>
            <w:noWrap/>
            <w:vAlign w:val="center"/>
          </w:tcPr>
          <w:p>
            <w:pPr>
              <w:ind w:right="724"/>
              <w:jc w:val="center"/>
              <w:rPr>
                <w:rFonts w:hint="default" w:ascii="方正仿宋_GBK" w:hAnsi="方正仿宋_GBK" w:eastAsia="方正仿宋_GBK" w:cs="方正仿宋_GBK"/>
                <w:bCs/>
                <w:sz w:val="16"/>
                <w:szCs w:val="16"/>
              </w:rPr>
            </w:pPr>
            <w:r>
              <w:rPr>
                <w:rFonts w:ascii="方正仿宋_GBK" w:hAnsi="方正仿宋_GBK" w:eastAsia="方正仿宋_GBK" w:cs="方正仿宋_GBK"/>
                <w:bCs/>
                <w:sz w:val="16"/>
                <w:szCs w:val="16"/>
              </w:rPr>
              <w:t>年初预算数</w:t>
            </w:r>
          </w:p>
        </w:tc>
        <w:tc>
          <w:tcPr>
            <w:tcW w:w="1905"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bCs/>
                <w:sz w:val="16"/>
                <w:szCs w:val="16"/>
              </w:rPr>
            </w:pPr>
            <w:r>
              <w:rPr>
                <w:rFonts w:ascii="方正仿宋_GBK" w:hAnsi="方正仿宋_GBK" w:eastAsia="方正仿宋_GBK" w:cs="方正仿宋_GBK"/>
                <w:bCs/>
                <w:sz w:val="16"/>
                <w:szCs w:val="16"/>
              </w:rPr>
              <w:t>全年（调整）</w:t>
            </w:r>
          </w:p>
          <w:p>
            <w:pPr>
              <w:jc w:val="center"/>
              <w:rPr>
                <w:rFonts w:hint="default" w:ascii="方正仿宋_GBK" w:hAnsi="方正仿宋_GBK" w:eastAsia="方正仿宋_GBK" w:cs="方正仿宋_GBK"/>
                <w:bCs/>
                <w:sz w:val="16"/>
                <w:szCs w:val="16"/>
              </w:rPr>
            </w:pPr>
            <w:r>
              <w:rPr>
                <w:rFonts w:ascii="方正仿宋_GBK" w:hAnsi="方正仿宋_GBK" w:eastAsia="方正仿宋_GBK" w:cs="方正仿宋_GBK"/>
                <w:bCs/>
                <w:sz w:val="16"/>
                <w:szCs w:val="16"/>
              </w:rPr>
              <w:t>预算数</w:t>
            </w:r>
          </w:p>
        </w:tc>
        <w:tc>
          <w:tcPr>
            <w:tcW w:w="1752" w:type="dxa"/>
            <w:gridSpan w:val="2"/>
            <w:tcBorders>
              <w:top w:val="single" w:color="auto" w:sz="4" w:space="0"/>
              <w:left w:val="nil"/>
              <w:bottom w:val="single" w:color="auto" w:sz="4" w:space="0"/>
              <w:right w:val="single" w:color="000000" w:sz="4" w:space="0"/>
            </w:tcBorders>
            <w:shd w:val="clear" w:color="auto" w:fill="auto"/>
            <w:noWrap/>
            <w:vAlign w:val="center"/>
          </w:tcPr>
          <w:p>
            <w:pPr>
              <w:ind w:right="161"/>
              <w:jc w:val="center"/>
              <w:rPr>
                <w:rFonts w:hint="default" w:ascii="方正仿宋_GBK" w:hAnsi="方正仿宋_GBK" w:eastAsia="方正仿宋_GBK" w:cs="方正仿宋_GBK"/>
                <w:bCs/>
                <w:sz w:val="16"/>
                <w:szCs w:val="16"/>
              </w:rPr>
            </w:pPr>
            <w:r>
              <w:rPr>
                <w:rFonts w:ascii="方正仿宋_GBK" w:hAnsi="方正仿宋_GBK" w:eastAsia="方正仿宋_GBK" w:cs="方正仿宋_GBK"/>
                <w:bCs/>
                <w:sz w:val="16"/>
                <w:szCs w:val="16"/>
              </w:rPr>
              <w:t>全年执行数</w:t>
            </w:r>
          </w:p>
        </w:tc>
        <w:tc>
          <w:tcPr>
            <w:tcW w:w="1791" w:type="dxa"/>
            <w:gridSpan w:val="2"/>
            <w:tcBorders>
              <w:top w:val="single" w:color="auto" w:sz="4" w:space="0"/>
              <w:left w:val="nil"/>
              <w:bottom w:val="single" w:color="auto" w:sz="4" w:space="0"/>
              <w:right w:val="single" w:color="000000" w:sz="4" w:space="0"/>
            </w:tcBorders>
            <w:shd w:val="clear" w:color="auto" w:fill="auto"/>
            <w:noWrap/>
            <w:vAlign w:val="center"/>
          </w:tcPr>
          <w:p>
            <w:pPr>
              <w:ind w:right="322"/>
              <w:jc w:val="center"/>
              <w:rPr>
                <w:rFonts w:hint="default" w:ascii="方正仿宋_GBK" w:hAnsi="方正仿宋_GBK" w:eastAsia="方正仿宋_GBK" w:cs="方正仿宋_GBK"/>
                <w:bCs/>
                <w:sz w:val="16"/>
                <w:szCs w:val="16"/>
              </w:rPr>
            </w:pPr>
            <w:r>
              <w:rPr>
                <w:rFonts w:ascii="方正仿宋_GBK" w:hAnsi="方正仿宋_GBK" w:eastAsia="方正仿宋_GBK" w:cs="方正仿宋_GBK"/>
                <w:bCs/>
                <w:sz w:val="16"/>
                <w:szCs w:val="16"/>
              </w:rPr>
              <w:t>执行率</w:t>
            </w:r>
          </w:p>
        </w:tc>
        <w:tc>
          <w:tcPr>
            <w:tcW w:w="902" w:type="dxa"/>
            <w:tcBorders>
              <w:top w:val="nil"/>
              <w:left w:val="nil"/>
              <w:bottom w:val="single" w:color="auto" w:sz="4" w:space="0"/>
              <w:right w:val="single" w:color="auto" w:sz="4" w:space="0"/>
            </w:tcBorders>
            <w:shd w:val="clear" w:color="auto" w:fill="auto"/>
            <w:noWrap/>
            <w:vAlign w:val="center"/>
          </w:tcPr>
          <w:p>
            <w:pPr>
              <w:jc w:val="center"/>
              <w:rPr>
                <w:rFonts w:hint="default" w:ascii="方正仿宋_GBK" w:hAnsi="方正仿宋_GBK" w:eastAsia="方正仿宋_GBK" w:cs="方正仿宋_GBK"/>
                <w:bCs/>
                <w:sz w:val="16"/>
                <w:szCs w:val="16"/>
              </w:rPr>
            </w:pPr>
            <w:r>
              <w:rPr>
                <w:rFonts w:ascii="方正仿宋_GBK" w:hAnsi="方正仿宋_GBK" w:eastAsia="方正仿宋_GBK" w:cs="方正仿宋_GBK"/>
                <w:bCs/>
                <w:sz w:val="16"/>
                <w:szCs w:val="16"/>
              </w:rPr>
              <w:t>执行率</w:t>
            </w:r>
          </w:p>
          <w:p>
            <w:pPr>
              <w:jc w:val="center"/>
              <w:rPr>
                <w:rFonts w:hint="default" w:ascii="方正仿宋_GBK" w:hAnsi="方正仿宋_GBK" w:eastAsia="方正仿宋_GBK" w:cs="方正仿宋_GBK"/>
                <w:bCs/>
                <w:sz w:val="16"/>
                <w:szCs w:val="16"/>
              </w:rPr>
            </w:pPr>
            <w:r>
              <w:rPr>
                <w:rFonts w:ascii="方正仿宋_GBK" w:hAnsi="方正仿宋_GBK" w:eastAsia="方正仿宋_GBK" w:cs="方正仿宋_GBK"/>
                <w:bCs/>
                <w:sz w:val="16"/>
                <w:szCs w:val="16"/>
              </w:rPr>
              <w:t>权重</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方正仿宋_GBK" w:hAnsi="方正仿宋_GBK" w:eastAsia="方正仿宋_GBK" w:cs="方正仿宋_GBK"/>
                <w:bCs/>
                <w:sz w:val="16"/>
                <w:szCs w:val="16"/>
              </w:rPr>
            </w:pPr>
            <w:r>
              <w:rPr>
                <w:rFonts w:ascii="方正仿宋_GBK" w:hAnsi="方正仿宋_GBK" w:eastAsia="方正仿宋_GBK" w:cs="方正仿宋_GBK"/>
                <w:bCs/>
                <w:sz w:val="16"/>
                <w:szCs w:val="16"/>
              </w:rPr>
              <w:t>执行率</w:t>
            </w:r>
          </w:p>
          <w:p>
            <w:pPr>
              <w:jc w:val="center"/>
              <w:rPr>
                <w:rFonts w:hint="default" w:ascii="方正仿宋_GBK" w:hAnsi="方正仿宋_GBK" w:eastAsia="方正仿宋_GBK" w:cs="方正仿宋_GBK"/>
                <w:bCs/>
                <w:sz w:val="16"/>
                <w:szCs w:val="16"/>
              </w:rPr>
            </w:pPr>
            <w:r>
              <w:rPr>
                <w:rFonts w:ascii="方正仿宋_GBK" w:hAnsi="方正仿宋_GBK" w:eastAsia="方正仿宋_GBK" w:cs="方正仿宋_GBK"/>
                <w:bCs/>
                <w:sz w:val="16"/>
                <w:szCs w:val="16"/>
              </w:rPr>
              <w:t>得分</w:t>
            </w:r>
          </w:p>
        </w:tc>
      </w:tr>
      <w:tr>
        <w:tblPrEx>
          <w:tblLayout w:type="fixed"/>
          <w:tblCellMar>
            <w:top w:w="0" w:type="dxa"/>
            <w:left w:w="108" w:type="dxa"/>
            <w:bottom w:w="0" w:type="dxa"/>
            <w:right w:w="108" w:type="dxa"/>
          </w:tblCellMar>
        </w:tblPrEx>
        <w:trPr>
          <w:trHeight w:val="499" w:hRule="atLeast"/>
          <w:jc w:val="center"/>
        </w:trPr>
        <w:tc>
          <w:tcPr>
            <w:tcW w:w="184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160" w:firstLineChars="100"/>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年度总金额</w:t>
            </w:r>
          </w:p>
        </w:tc>
        <w:tc>
          <w:tcPr>
            <w:tcW w:w="1842" w:type="dxa"/>
            <w:gridSpan w:val="2"/>
            <w:tcBorders>
              <w:top w:val="single" w:color="auto" w:sz="4" w:space="0"/>
              <w:left w:val="nil"/>
              <w:bottom w:val="single" w:color="auto" w:sz="4" w:space="0"/>
              <w:right w:val="single" w:color="auto" w:sz="4" w:space="0"/>
            </w:tcBorders>
            <w:shd w:val="clear" w:color="auto" w:fill="auto"/>
            <w:noWrap/>
            <w:vAlign w:val="center"/>
          </w:tcPr>
          <w:p>
            <w:pPr>
              <w:ind w:firstLine="160" w:firstLineChars="100"/>
              <w:jc w:val="right"/>
              <w:rPr>
                <w:rFonts w:hint="default" w:ascii="Times New Roman" w:hAnsi="Times New Roman" w:eastAsia="方正仿宋_GBK"/>
                <w:bCs/>
                <w:sz w:val="16"/>
                <w:szCs w:val="16"/>
              </w:rPr>
            </w:pPr>
            <w:r>
              <w:rPr>
                <w:rFonts w:hint="default" w:ascii="Times New Roman" w:hAnsi="Times New Roman" w:eastAsia="方正仿宋_GBK"/>
                <w:bCs/>
                <w:sz w:val="16"/>
                <w:szCs w:val="16"/>
              </w:rPr>
              <w:t>16716575.44</w:t>
            </w:r>
            <w:r>
              <w:rPr>
                <w:rFonts w:ascii="方正仿宋_GBK" w:hAnsi="方正仿宋_GBK" w:eastAsia="方正仿宋_GBK" w:cs="方正仿宋_GBK"/>
                <w:bCs/>
                <w:sz w:val="16"/>
                <w:szCs w:val="16"/>
              </w:rPr>
              <w:t>　</w:t>
            </w:r>
          </w:p>
        </w:tc>
        <w:tc>
          <w:tcPr>
            <w:tcW w:w="1905" w:type="dxa"/>
            <w:gridSpan w:val="2"/>
            <w:tcBorders>
              <w:top w:val="single" w:color="auto" w:sz="4" w:space="0"/>
              <w:left w:val="nil"/>
              <w:bottom w:val="single" w:color="auto" w:sz="4" w:space="0"/>
              <w:right w:val="single" w:color="auto" w:sz="4" w:space="0"/>
            </w:tcBorders>
            <w:shd w:val="clear" w:color="auto" w:fill="auto"/>
            <w:noWrap/>
            <w:vAlign w:val="center"/>
          </w:tcPr>
          <w:p>
            <w:pPr>
              <w:ind w:firstLine="160" w:firstLineChars="100"/>
              <w:jc w:val="right"/>
              <w:rPr>
                <w:rFonts w:hint="default" w:ascii="Times New Roman" w:hAnsi="Times New Roman" w:eastAsia="方正仿宋_GBK"/>
                <w:bCs/>
                <w:sz w:val="16"/>
                <w:szCs w:val="16"/>
              </w:rPr>
            </w:pPr>
            <w:r>
              <w:rPr>
                <w:rFonts w:hint="default" w:ascii="Times New Roman" w:hAnsi="Times New Roman" w:eastAsia="方正仿宋_GBK"/>
                <w:bCs/>
                <w:sz w:val="16"/>
                <w:szCs w:val="16"/>
              </w:rPr>
              <w:t>36900033.08</w:t>
            </w:r>
            <w:r>
              <w:rPr>
                <w:rFonts w:ascii="方正仿宋_GBK" w:hAnsi="方正仿宋_GBK" w:eastAsia="方正仿宋_GBK" w:cs="方正仿宋_GBK"/>
                <w:bCs/>
                <w:sz w:val="16"/>
                <w:szCs w:val="16"/>
              </w:rPr>
              <w:t>　</w:t>
            </w:r>
          </w:p>
        </w:tc>
        <w:tc>
          <w:tcPr>
            <w:tcW w:w="1752" w:type="dxa"/>
            <w:gridSpan w:val="2"/>
            <w:tcBorders>
              <w:top w:val="single" w:color="auto" w:sz="4" w:space="0"/>
              <w:left w:val="nil"/>
              <w:bottom w:val="single" w:color="auto" w:sz="4" w:space="0"/>
              <w:right w:val="single" w:color="auto" w:sz="4" w:space="0"/>
            </w:tcBorders>
            <w:shd w:val="clear" w:color="auto" w:fill="auto"/>
            <w:noWrap/>
            <w:vAlign w:val="center"/>
          </w:tcPr>
          <w:p>
            <w:pPr>
              <w:ind w:firstLine="160" w:firstLineChars="100"/>
              <w:jc w:val="right"/>
              <w:rPr>
                <w:rFonts w:hint="default" w:ascii="Times New Roman" w:hAnsi="Times New Roman" w:eastAsia="方正仿宋_GBK"/>
                <w:bCs/>
                <w:sz w:val="16"/>
                <w:szCs w:val="16"/>
              </w:rPr>
            </w:pPr>
            <w:r>
              <w:rPr>
                <w:rFonts w:hint="default" w:ascii="Times New Roman" w:hAnsi="Times New Roman" w:eastAsia="方正仿宋_GBK"/>
                <w:bCs/>
                <w:sz w:val="16"/>
                <w:szCs w:val="16"/>
              </w:rPr>
              <w:t>29915738.19</w:t>
            </w:r>
            <w:r>
              <w:rPr>
                <w:rFonts w:ascii="方正仿宋_GBK" w:hAnsi="方正仿宋_GBK" w:eastAsia="方正仿宋_GBK" w:cs="方正仿宋_GBK"/>
                <w:bCs/>
                <w:sz w:val="16"/>
                <w:szCs w:val="16"/>
              </w:rPr>
              <w:t>　</w:t>
            </w:r>
          </w:p>
        </w:tc>
        <w:tc>
          <w:tcPr>
            <w:tcW w:w="1791" w:type="dxa"/>
            <w:gridSpan w:val="2"/>
            <w:tcBorders>
              <w:top w:val="single" w:color="auto" w:sz="4" w:space="0"/>
              <w:left w:val="nil"/>
              <w:bottom w:val="single" w:color="auto" w:sz="4" w:space="0"/>
              <w:right w:val="single" w:color="auto" w:sz="4" w:space="0"/>
            </w:tcBorders>
            <w:shd w:val="clear" w:color="auto" w:fill="auto"/>
            <w:noWrap/>
            <w:vAlign w:val="center"/>
          </w:tcPr>
          <w:p>
            <w:pPr>
              <w:ind w:firstLine="160" w:firstLineChars="100"/>
              <w:jc w:val="right"/>
              <w:rPr>
                <w:rFonts w:hint="default" w:ascii="Times New Roman" w:hAnsi="Times New Roman" w:eastAsia="方正仿宋_GBK"/>
                <w:bCs/>
                <w:sz w:val="16"/>
                <w:szCs w:val="16"/>
              </w:rPr>
            </w:pPr>
            <w:r>
              <w:rPr>
                <w:rFonts w:hint="default" w:ascii="Times New Roman" w:hAnsi="Times New Roman" w:eastAsia="方正仿宋_GBK"/>
                <w:bCs/>
                <w:sz w:val="16"/>
                <w:szCs w:val="16"/>
              </w:rPr>
              <w:t>81.07</w:t>
            </w:r>
            <w:r>
              <w:rPr>
                <w:rFonts w:ascii="方正仿宋_GBK" w:hAnsi="方正仿宋_GBK" w:eastAsia="方正仿宋_GBK" w:cs="方正仿宋_GBK"/>
                <w:bCs/>
                <w:sz w:val="16"/>
                <w:szCs w:val="16"/>
              </w:rPr>
              <w:t>　</w:t>
            </w:r>
          </w:p>
        </w:tc>
        <w:tc>
          <w:tcPr>
            <w:tcW w:w="902" w:type="dxa"/>
            <w:tcBorders>
              <w:top w:val="nil"/>
              <w:left w:val="nil"/>
              <w:bottom w:val="single" w:color="auto" w:sz="4" w:space="0"/>
              <w:right w:val="single" w:color="auto" w:sz="4" w:space="0"/>
            </w:tcBorders>
            <w:shd w:val="clear" w:color="auto" w:fill="auto"/>
            <w:noWrap/>
            <w:vAlign w:val="center"/>
          </w:tcPr>
          <w:p>
            <w:pPr>
              <w:ind w:firstLine="160" w:firstLineChars="100"/>
              <w:jc w:val="right"/>
              <w:rPr>
                <w:rFonts w:hint="default" w:ascii="Times New Roman" w:hAnsi="Times New Roman" w:eastAsia="方正仿宋_GBK"/>
                <w:bCs/>
                <w:sz w:val="16"/>
                <w:szCs w:val="16"/>
              </w:rPr>
            </w:pPr>
            <w:r>
              <w:rPr>
                <w:rFonts w:hint="default" w:ascii="Times New Roman" w:hAnsi="Times New Roman" w:eastAsia="方正仿宋_GBK"/>
                <w:bCs/>
                <w:sz w:val="16"/>
                <w:szCs w:val="16"/>
              </w:rPr>
              <w:t>10.00</w:t>
            </w:r>
            <w:r>
              <w:rPr>
                <w:rFonts w:ascii="方正仿宋_GBK" w:hAnsi="方正仿宋_GBK" w:eastAsia="方正仿宋_GBK" w:cs="方正仿宋_GBK"/>
                <w:bCs/>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ind w:firstLine="160" w:firstLineChars="100"/>
              <w:jc w:val="right"/>
              <w:rPr>
                <w:rFonts w:hint="default" w:ascii="Times New Roman" w:hAnsi="Times New Roman" w:eastAsia="方正仿宋_GBK"/>
                <w:bCs/>
                <w:sz w:val="16"/>
                <w:szCs w:val="16"/>
              </w:rPr>
            </w:pPr>
            <w:r>
              <w:rPr>
                <w:rFonts w:hint="default" w:ascii="Times New Roman" w:hAnsi="Times New Roman" w:eastAsia="方正仿宋_GBK"/>
                <w:bCs/>
                <w:sz w:val="16"/>
                <w:szCs w:val="16"/>
              </w:rPr>
              <w:t>8.11</w:t>
            </w:r>
            <w:r>
              <w:rPr>
                <w:rFonts w:ascii="方正仿宋_GBK" w:hAnsi="方正仿宋_GBK" w:eastAsia="方正仿宋_GBK" w:cs="方正仿宋_GBK"/>
                <w:bCs/>
                <w:sz w:val="16"/>
                <w:szCs w:val="16"/>
              </w:rPr>
              <w:t>　</w:t>
            </w:r>
          </w:p>
        </w:tc>
      </w:tr>
      <w:tr>
        <w:tblPrEx>
          <w:tblLayout w:type="fixed"/>
          <w:tblCellMar>
            <w:top w:w="0" w:type="dxa"/>
            <w:left w:w="108" w:type="dxa"/>
            <w:bottom w:w="0" w:type="dxa"/>
            <w:right w:w="108" w:type="dxa"/>
          </w:tblCellMar>
        </w:tblPrEx>
        <w:trPr>
          <w:trHeight w:val="415" w:hRule="atLeast"/>
          <w:jc w:val="center"/>
        </w:trPr>
        <w:tc>
          <w:tcPr>
            <w:tcW w:w="184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160" w:firstLineChars="100"/>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其中：财政拨款</w:t>
            </w:r>
          </w:p>
        </w:tc>
        <w:tc>
          <w:tcPr>
            <w:tcW w:w="1842" w:type="dxa"/>
            <w:gridSpan w:val="2"/>
            <w:tcBorders>
              <w:top w:val="single" w:color="auto" w:sz="4" w:space="0"/>
              <w:left w:val="nil"/>
              <w:bottom w:val="single" w:color="auto" w:sz="4" w:space="0"/>
              <w:right w:val="single" w:color="auto" w:sz="4" w:space="0"/>
            </w:tcBorders>
            <w:shd w:val="clear" w:color="auto" w:fill="auto"/>
            <w:noWrap/>
            <w:vAlign w:val="center"/>
          </w:tcPr>
          <w:p>
            <w:pPr>
              <w:ind w:firstLine="160" w:firstLineChars="100"/>
              <w:jc w:val="right"/>
              <w:rPr>
                <w:rFonts w:hint="default" w:ascii="Times New Roman" w:hAnsi="Times New Roman" w:eastAsia="方正仿宋_GBK"/>
                <w:bCs/>
                <w:sz w:val="16"/>
                <w:szCs w:val="16"/>
              </w:rPr>
            </w:pPr>
            <w:r>
              <w:rPr>
                <w:rFonts w:hint="default" w:ascii="Times New Roman" w:hAnsi="Times New Roman" w:eastAsia="方正仿宋_GBK"/>
                <w:bCs/>
                <w:sz w:val="16"/>
                <w:szCs w:val="16"/>
              </w:rPr>
              <w:t>16716575.44</w:t>
            </w:r>
            <w:r>
              <w:rPr>
                <w:rFonts w:ascii="方正仿宋_GBK" w:hAnsi="方正仿宋_GBK" w:eastAsia="方正仿宋_GBK" w:cs="方正仿宋_GBK"/>
                <w:bCs/>
                <w:sz w:val="16"/>
                <w:szCs w:val="16"/>
              </w:rPr>
              <w:t>　</w:t>
            </w:r>
          </w:p>
        </w:tc>
        <w:tc>
          <w:tcPr>
            <w:tcW w:w="1905" w:type="dxa"/>
            <w:gridSpan w:val="2"/>
            <w:tcBorders>
              <w:top w:val="single" w:color="auto" w:sz="4" w:space="0"/>
              <w:left w:val="nil"/>
              <w:bottom w:val="single" w:color="auto" w:sz="4" w:space="0"/>
              <w:right w:val="single" w:color="auto" w:sz="4" w:space="0"/>
            </w:tcBorders>
            <w:shd w:val="clear" w:color="auto" w:fill="auto"/>
            <w:noWrap/>
            <w:vAlign w:val="center"/>
          </w:tcPr>
          <w:p>
            <w:pPr>
              <w:ind w:firstLine="160" w:firstLineChars="100"/>
              <w:jc w:val="right"/>
              <w:rPr>
                <w:rFonts w:hint="default" w:ascii="Times New Roman" w:hAnsi="Times New Roman" w:eastAsia="方正仿宋_GBK"/>
                <w:bCs/>
                <w:sz w:val="16"/>
                <w:szCs w:val="16"/>
              </w:rPr>
            </w:pPr>
            <w:r>
              <w:rPr>
                <w:rFonts w:hint="default" w:ascii="Times New Roman" w:hAnsi="Times New Roman" w:eastAsia="方正仿宋_GBK"/>
                <w:bCs/>
                <w:sz w:val="16"/>
                <w:szCs w:val="16"/>
              </w:rPr>
              <w:t>36900033.08</w:t>
            </w:r>
            <w:r>
              <w:rPr>
                <w:rFonts w:ascii="方正仿宋_GBK" w:hAnsi="方正仿宋_GBK" w:eastAsia="方正仿宋_GBK" w:cs="方正仿宋_GBK"/>
                <w:bCs/>
                <w:sz w:val="16"/>
                <w:szCs w:val="16"/>
              </w:rPr>
              <w:t>　</w:t>
            </w:r>
          </w:p>
        </w:tc>
        <w:tc>
          <w:tcPr>
            <w:tcW w:w="1752" w:type="dxa"/>
            <w:gridSpan w:val="2"/>
            <w:tcBorders>
              <w:top w:val="single" w:color="auto" w:sz="4" w:space="0"/>
              <w:left w:val="nil"/>
              <w:bottom w:val="single" w:color="auto" w:sz="4" w:space="0"/>
              <w:right w:val="single" w:color="auto" w:sz="4" w:space="0"/>
            </w:tcBorders>
            <w:shd w:val="clear" w:color="auto" w:fill="auto"/>
            <w:noWrap/>
            <w:vAlign w:val="center"/>
          </w:tcPr>
          <w:p>
            <w:pPr>
              <w:ind w:firstLine="160" w:firstLineChars="100"/>
              <w:jc w:val="right"/>
              <w:rPr>
                <w:rFonts w:hint="default" w:ascii="Times New Roman" w:hAnsi="Times New Roman" w:eastAsia="方正仿宋_GBK"/>
                <w:bCs/>
                <w:sz w:val="16"/>
                <w:szCs w:val="16"/>
              </w:rPr>
            </w:pPr>
            <w:r>
              <w:rPr>
                <w:rFonts w:hint="default" w:ascii="Times New Roman" w:hAnsi="Times New Roman" w:eastAsia="方正仿宋_GBK"/>
                <w:bCs/>
                <w:sz w:val="16"/>
                <w:szCs w:val="16"/>
              </w:rPr>
              <w:t>29915738.19</w:t>
            </w:r>
            <w:r>
              <w:rPr>
                <w:rFonts w:ascii="方正仿宋_GBK" w:hAnsi="方正仿宋_GBK" w:eastAsia="方正仿宋_GBK" w:cs="方正仿宋_GBK"/>
                <w:bCs/>
                <w:sz w:val="16"/>
                <w:szCs w:val="16"/>
              </w:rPr>
              <w:t>　</w:t>
            </w:r>
          </w:p>
        </w:tc>
        <w:tc>
          <w:tcPr>
            <w:tcW w:w="1791" w:type="dxa"/>
            <w:gridSpan w:val="2"/>
            <w:tcBorders>
              <w:top w:val="single" w:color="auto" w:sz="4" w:space="0"/>
              <w:left w:val="nil"/>
              <w:bottom w:val="single" w:color="auto" w:sz="4" w:space="0"/>
              <w:right w:val="single" w:color="auto" w:sz="4" w:space="0"/>
            </w:tcBorders>
            <w:shd w:val="clear" w:color="auto" w:fill="auto"/>
            <w:noWrap/>
            <w:vAlign w:val="center"/>
          </w:tcPr>
          <w:p>
            <w:pPr>
              <w:ind w:firstLine="160" w:firstLineChars="100"/>
              <w:jc w:val="right"/>
              <w:rPr>
                <w:rFonts w:hint="default" w:ascii="Times New Roman" w:hAnsi="Times New Roman" w:eastAsia="方正仿宋_GBK"/>
                <w:bCs/>
                <w:sz w:val="16"/>
                <w:szCs w:val="16"/>
              </w:rPr>
            </w:pPr>
            <w:r>
              <w:rPr>
                <w:rFonts w:hint="default" w:ascii="Times New Roman" w:hAnsi="Times New Roman" w:eastAsia="方正仿宋_GBK"/>
                <w:bCs/>
                <w:sz w:val="16"/>
                <w:szCs w:val="16"/>
              </w:rPr>
              <w:t>81.07</w:t>
            </w:r>
            <w:r>
              <w:rPr>
                <w:rFonts w:ascii="方正仿宋_GBK" w:hAnsi="方正仿宋_GBK" w:eastAsia="方正仿宋_GBK" w:cs="方正仿宋_GBK"/>
                <w:bCs/>
                <w:sz w:val="16"/>
                <w:szCs w:val="16"/>
              </w:rPr>
              <w:t>　</w:t>
            </w:r>
          </w:p>
        </w:tc>
        <w:tc>
          <w:tcPr>
            <w:tcW w:w="902" w:type="dxa"/>
            <w:tcBorders>
              <w:top w:val="nil"/>
              <w:left w:val="nil"/>
              <w:bottom w:val="single" w:color="auto" w:sz="4" w:space="0"/>
              <w:right w:val="single" w:color="auto" w:sz="4" w:space="0"/>
            </w:tcBorders>
            <w:shd w:val="clear" w:color="auto" w:fill="auto"/>
            <w:noWrap/>
            <w:vAlign w:val="center"/>
          </w:tcPr>
          <w:p>
            <w:pPr>
              <w:ind w:firstLine="160" w:firstLineChars="100"/>
              <w:jc w:val="right"/>
              <w:rPr>
                <w:rFonts w:hint="default" w:ascii="Times New Roman" w:hAnsi="Times New Roman" w:eastAsia="方正仿宋_GBK"/>
                <w:bCs/>
                <w:sz w:val="16"/>
                <w:szCs w:val="16"/>
              </w:rPr>
            </w:pPr>
            <w:r>
              <w:rPr>
                <w:rFonts w:hint="default" w:ascii="Times New Roman" w:hAnsi="Times New Roman" w:eastAsia="方正仿宋_GBK"/>
                <w:bCs/>
                <w:sz w:val="16"/>
                <w:szCs w:val="16"/>
              </w:rPr>
              <w:t>10.00</w:t>
            </w:r>
            <w:r>
              <w:rPr>
                <w:rFonts w:ascii="方正仿宋_GBK" w:hAnsi="方正仿宋_GBK" w:eastAsia="方正仿宋_GBK" w:cs="方正仿宋_GBK"/>
                <w:bCs/>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ind w:firstLine="160" w:firstLineChars="100"/>
              <w:jc w:val="right"/>
              <w:rPr>
                <w:rFonts w:hint="default" w:ascii="Times New Roman" w:hAnsi="Times New Roman" w:eastAsia="方正仿宋_GBK"/>
                <w:bCs/>
                <w:sz w:val="16"/>
                <w:szCs w:val="16"/>
              </w:rPr>
            </w:pPr>
            <w:r>
              <w:rPr>
                <w:rFonts w:hint="default" w:ascii="Times New Roman" w:hAnsi="Times New Roman" w:eastAsia="方正仿宋_GBK"/>
                <w:bCs/>
                <w:sz w:val="16"/>
                <w:szCs w:val="16"/>
              </w:rPr>
              <w:t>8.11</w:t>
            </w:r>
            <w:r>
              <w:rPr>
                <w:rFonts w:ascii="方正仿宋_GBK" w:hAnsi="方正仿宋_GBK" w:eastAsia="方正仿宋_GBK" w:cs="方正仿宋_GBK"/>
                <w:bCs/>
                <w:sz w:val="16"/>
                <w:szCs w:val="16"/>
              </w:rPr>
              <w:t>　</w:t>
            </w:r>
          </w:p>
        </w:tc>
      </w:tr>
      <w:tr>
        <w:tblPrEx>
          <w:tblLayout w:type="fixed"/>
          <w:tblCellMar>
            <w:top w:w="0" w:type="dxa"/>
            <w:left w:w="108" w:type="dxa"/>
            <w:bottom w:w="0" w:type="dxa"/>
            <w:right w:w="108" w:type="dxa"/>
          </w:tblCellMar>
        </w:tblPrEx>
        <w:trPr>
          <w:trHeight w:val="600" w:hRule="atLeast"/>
          <w:jc w:val="center"/>
        </w:trPr>
        <w:tc>
          <w:tcPr>
            <w:tcW w:w="11028"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微软雅黑" w:hAnsi="微软雅黑" w:eastAsia="微软雅黑"/>
                <w:bCs/>
                <w:sz w:val="28"/>
                <w:szCs w:val="28"/>
              </w:rPr>
            </w:pPr>
            <w:r>
              <w:rPr>
                <w:rFonts w:ascii="微软雅黑" w:hAnsi="微软雅黑" w:eastAsia="微软雅黑" w:cs="微软雅黑"/>
                <w:bCs/>
              </w:rPr>
              <w:t>绩效目标</w:t>
            </w:r>
          </w:p>
        </w:tc>
      </w:tr>
      <w:tr>
        <w:tblPrEx>
          <w:tblLayout w:type="fixed"/>
          <w:tblCellMar>
            <w:top w:w="0" w:type="dxa"/>
            <w:left w:w="108" w:type="dxa"/>
            <w:bottom w:w="0" w:type="dxa"/>
            <w:right w:w="108" w:type="dxa"/>
          </w:tblCellMar>
        </w:tblPrEx>
        <w:trPr>
          <w:trHeight w:val="499" w:hRule="atLeast"/>
          <w:jc w:val="center"/>
        </w:trPr>
        <w:tc>
          <w:tcPr>
            <w:tcW w:w="368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方正仿宋_GBK" w:hAnsi="方正仿宋_GBK" w:eastAsia="方正仿宋_GBK" w:cs="方正仿宋_GBK"/>
                <w:bCs/>
                <w:sz w:val="16"/>
                <w:szCs w:val="16"/>
              </w:rPr>
            </w:pPr>
            <w:r>
              <w:rPr>
                <w:rFonts w:ascii="方正仿宋_GBK" w:hAnsi="方正仿宋_GBK" w:eastAsia="方正仿宋_GBK" w:cs="方正仿宋_GBK"/>
                <w:bCs/>
                <w:sz w:val="16"/>
                <w:szCs w:val="16"/>
              </w:rPr>
              <w:t>年初绩效目标</w:t>
            </w:r>
          </w:p>
        </w:tc>
        <w:tc>
          <w:tcPr>
            <w:tcW w:w="365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方正仿宋_GBK" w:hAnsi="方正仿宋_GBK" w:eastAsia="方正仿宋_GBK" w:cs="方正仿宋_GBK"/>
                <w:bCs/>
                <w:sz w:val="16"/>
                <w:szCs w:val="16"/>
              </w:rPr>
            </w:pPr>
            <w:r>
              <w:rPr>
                <w:rFonts w:ascii="方正仿宋_GBK" w:hAnsi="方正仿宋_GBK" w:eastAsia="方正仿宋_GBK" w:cs="方正仿宋_GBK"/>
                <w:bCs/>
                <w:sz w:val="16"/>
                <w:szCs w:val="16"/>
              </w:rPr>
              <w:t>全年（调整）绩效目标</w:t>
            </w:r>
          </w:p>
        </w:tc>
        <w:tc>
          <w:tcPr>
            <w:tcW w:w="3685"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方正仿宋_GBK" w:hAnsi="方正仿宋_GBK" w:eastAsia="方正仿宋_GBK" w:cs="方正仿宋_GBK"/>
                <w:bCs/>
                <w:sz w:val="16"/>
                <w:szCs w:val="16"/>
              </w:rPr>
            </w:pPr>
            <w:r>
              <w:rPr>
                <w:rFonts w:ascii="方正仿宋_GBK" w:hAnsi="方正仿宋_GBK" w:eastAsia="方正仿宋_GBK" w:cs="方正仿宋_GBK"/>
                <w:bCs/>
                <w:sz w:val="16"/>
                <w:szCs w:val="16"/>
              </w:rPr>
              <w:t>全年目标实际完成情况</w:t>
            </w:r>
          </w:p>
        </w:tc>
      </w:tr>
      <w:tr>
        <w:tblPrEx>
          <w:tblLayout w:type="fixed"/>
          <w:tblCellMar>
            <w:top w:w="0" w:type="dxa"/>
            <w:left w:w="108" w:type="dxa"/>
            <w:bottom w:w="0" w:type="dxa"/>
            <w:right w:w="108" w:type="dxa"/>
          </w:tblCellMar>
        </w:tblPrEx>
        <w:trPr>
          <w:trHeight w:val="1602" w:hRule="atLeast"/>
          <w:jc w:val="center"/>
        </w:trPr>
        <w:tc>
          <w:tcPr>
            <w:tcW w:w="3686" w:type="dxa"/>
            <w:gridSpan w:val="4"/>
            <w:tcBorders>
              <w:top w:val="single" w:color="auto" w:sz="4" w:space="0"/>
              <w:left w:val="single" w:color="auto" w:sz="4" w:space="0"/>
              <w:bottom w:val="single" w:color="auto" w:sz="4" w:space="0"/>
              <w:right w:val="single" w:color="auto" w:sz="4" w:space="0"/>
            </w:tcBorders>
            <w:shd w:val="clear" w:color="auto" w:fill="auto"/>
          </w:tcPr>
          <w:p>
            <w:pPr>
              <w:rPr>
                <w:rFonts w:hint="default"/>
                <w:bCs/>
                <w:sz w:val="16"/>
                <w:szCs w:val="16"/>
              </w:rPr>
            </w:pPr>
            <w:r>
              <w:rPr>
                <w:rFonts w:cs="宋体"/>
                <w:bCs/>
                <w:sz w:val="16"/>
                <w:szCs w:val="16"/>
              </w:rPr>
              <w:t>　</w:t>
            </w:r>
            <w:r>
              <w:rPr>
                <w:rFonts w:ascii="方正仿宋_GBK" w:hAnsi="方正仿宋_GBK" w:eastAsia="方正仿宋_GBK" w:cs="方正仿宋_GBK"/>
                <w:bCs/>
                <w:sz w:val="16"/>
                <w:szCs w:val="16"/>
              </w:rPr>
              <w:t>主要承担失业人员就业培训、就业创业指导、就业再就业小额贷款推荐审核等管理服务工作；负责养老保险、失业保险、城乡居民医疗保险等社会保险管理服务工作；做好农村五保供养对象服务以及劳动就业和社会保障其他方面的服务工作。</w:t>
            </w: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负责辖区内退役军人保障服务工作，做好关系转接、信息采集、情况反映、慰问帮扶等工作。</w:t>
            </w: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承担集中行使依法授权或委托的行政执法权</w:t>
            </w: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主要承担文化、宣传、广播电视、体育、乡村旅游、科技培训等方面服务工作</w:t>
            </w: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负责村镇规划、村镇建设、市政公用、市容环卫、环境保护、河长制等职责</w:t>
            </w: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负责财政收支、预决算、总会计、惠农资金兑付、财政资金监督检查、绩效评价、村级财务管理等职责</w:t>
            </w: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主要负责人大主席团日常工作</w:t>
            </w: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主要承担农技、农机、林业、水利水保、水产、畜牧兽医等方面的技术推广、信息、资源环境保护、灾害防治、水利工程等服务工作</w:t>
            </w: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根据授权或委托，承担辖区范围内集中行使农林水利、规划建设、市政管理、环境保护、卫生计生、文化旅游、民政管理等领域的行政处罚权</w:t>
            </w: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负责纪检、宣传、统战、法制、武装、编制、人事、民宗侨台以及综合协调、文秘等职责</w:t>
            </w: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负责经济发展规划、农村经营管理、经济社会统计、扶贫开发、乡村振兴等职责</w:t>
            </w: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统筹负责安全生产综合监管、应急管理、消防管理等职责</w:t>
            </w: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统筹负责基层党建、群团等工作</w:t>
            </w: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统筹负责信访、社会治安综合治理、防范和处理邪教等职责</w:t>
            </w: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负责民政、教育、文化、体育、社会救助、残疾人事业、劳动就业、社会保障，统筹负责卫生、计生、老龄事业发展等职责。</w:t>
            </w:r>
          </w:p>
        </w:tc>
        <w:tc>
          <w:tcPr>
            <w:tcW w:w="3657" w:type="dxa"/>
            <w:gridSpan w:val="4"/>
            <w:tcBorders>
              <w:top w:val="single" w:color="auto" w:sz="4" w:space="0"/>
              <w:left w:val="nil"/>
              <w:bottom w:val="single" w:color="auto" w:sz="4" w:space="0"/>
              <w:right w:val="single" w:color="auto" w:sz="4" w:space="0"/>
            </w:tcBorders>
            <w:shd w:val="clear" w:color="auto" w:fill="auto"/>
          </w:tcPr>
          <w:p>
            <w:pPr>
              <w:rPr>
                <w:rFonts w:hint="default"/>
                <w:bCs/>
                <w:sz w:val="16"/>
                <w:szCs w:val="16"/>
              </w:rPr>
            </w:pPr>
            <w:r>
              <w:rPr>
                <w:rFonts w:cs="宋体"/>
                <w:bCs/>
                <w:sz w:val="16"/>
                <w:szCs w:val="16"/>
              </w:rPr>
              <w:t>　</w:t>
            </w:r>
          </w:p>
        </w:tc>
        <w:tc>
          <w:tcPr>
            <w:tcW w:w="3685" w:type="dxa"/>
            <w:gridSpan w:val="4"/>
            <w:tcBorders>
              <w:top w:val="single" w:color="auto" w:sz="4" w:space="0"/>
              <w:left w:val="nil"/>
              <w:bottom w:val="single" w:color="auto" w:sz="4" w:space="0"/>
              <w:right w:val="single" w:color="auto" w:sz="4" w:space="0"/>
            </w:tcBorders>
            <w:shd w:val="clear" w:color="auto" w:fill="auto"/>
          </w:tcPr>
          <w:p>
            <w:pPr>
              <w:rPr>
                <w:rFonts w:hint="default"/>
                <w:bCs/>
                <w:sz w:val="16"/>
                <w:szCs w:val="16"/>
              </w:rPr>
            </w:pPr>
            <w:r>
              <w:rPr>
                <w:rFonts w:cs="宋体"/>
                <w:bCs/>
                <w:sz w:val="16"/>
                <w:szCs w:val="16"/>
              </w:rPr>
              <w:t>　</w:t>
            </w:r>
            <w:r>
              <w:rPr>
                <w:rFonts w:ascii="方正仿宋_GBK" w:hAnsi="方正仿宋_GBK" w:eastAsia="方正仿宋_GBK" w:cs="方正仿宋_GBK"/>
                <w:bCs/>
                <w:sz w:val="16"/>
                <w:szCs w:val="16"/>
              </w:rPr>
              <w:t>主要承担失业人员就业培训、就业创业指导、就业再就业小额贷款推荐审核等管理服务工作；负责养老保险、失业保险、城乡居民医疗保险等社会保险管理服务工作；做好农村五保供养对象服务以及劳动就业和社会保障其他方面的服务工作。</w:t>
            </w: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负责辖区内退役军人保障服务工作，做好关系转接、信息采集、情况反映、慰问帮扶等工作。</w:t>
            </w: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承担集中行使依法授权或委托的行政执法权</w:t>
            </w: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主要承担文化、宣传、广播电视、体育、乡村旅游、科技培训等方面服务工作</w:t>
            </w: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负责村镇规划、村镇建设、市政公用、市容环卫、环境保护、河长制等职责</w:t>
            </w: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负责财政收支、预决算、总会计、惠农资金兑付、财政资金监督检查、绩效评价、村级财务管理等职责</w:t>
            </w: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主要负责人大主席团日常工作</w:t>
            </w: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主要承担农技、农机、林业、水利水保、水产、畜牧兽医等方面的技术推广、信息、资源环境保护、灾害防治、水利工程等服务工作</w:t>
            </w: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根据授权或委托，承担辖区范围内集中行使农林水利、规划建设、市政管理、环境保护、卫生计生、文化旅游、民政管理等领域的行政处罚权</w:t>
            </w: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负责纪检、宣传、统战、法制、武装、编制、人事、民宗侨台以及综合协调、文秘等职责</w:t>
            </w: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负责经济发展规划、农村经营管理、经济社会统计、扶贫开发、乡村振兴等职责</w:t>
            </w: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统筹负责安全生产综合监管、应急管理、消防管理等职责</w:t>
            </w: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统筹负责基层党建、群团等工作</w:t>
            </w: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统筹负责信访、社会治安综合治理、防范和处理邪教等职责</w:t>
            </w: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负责民政、教育、文化、体育、社会救助、残疾人事业、劳动就业、社会保障，统筹负责卫生、计生、老龄事业发展等职责。</w:t>
            </w:r>
          </w:p>
        </w:tc>
      </w:tr>
      <w:tr>
        <w:tblPrEx>
          <w:tblLayout w:type="fixed"/>
          <w:tblCellMar>
            <w:top w:w="0" w:type="dxa"/>
            <w:left w:w="108" w:type="dxa"/>
            <w:bottom w:w="0" w:type="dxa"/>
            <w:right w:w="108" w:type="dxa"/>
          </w:tblCellMar>
        </w:tblPrEx>
        <w:trPr>
          <w:trHeight w:val="600" w:hRule="atLeast"/>
          <w:jc w:val="center"/>
        </w:trPr>
        <w:tc>
          <w:tcPr>
            <w:tcW w:w="11028"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微软雅黑" w:hAnsi="微软雅黑" w:eastAsia="微软雅黑"/>
                <w:bCs/>
                <w:sz w:val="28"/>
                <w:szCs w:val="28"/>
              </w:rPr>
            </w:pPr>
            <w:r>
              <w:rPr>
                <w:rFonts w:ascii="微软雅黑" w:hAnsi="微软雅黑" w:eastAsia="微软雅黑" w:cs="微软雅黑"/>
                <w:bCs/>
              </w:rPr>
              <w:t>绩效指标</w:t>
            </w:r>
          </w:p>
        </w:tc>
      </w:tr>
      <w:tr>
        <w:tblPrEx>
          <w:tblLayout w:type="fixed"/>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指标</w:t>
            </w:r>
          </w:p>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名称</w:t>
            </w:r>
          </w:p>
        </w:tc>
        <w:tc>
          <w:tcPr>
            <w:tcW w:w="567"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计量单位</w:t>
            </w:r>
          </w:p>
        </w:tc>
        <w:tc>
          <w:tcPr>
            <w:tcW w:w="850"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指标</w:t>
            </w:r>
          </w:p>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性质</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指标值</w:t>
            </w:r>
          </w:p>
        </w:tc>
        <w:tc>
          <w:tcPr>
            <w:tcW w:w="103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全年完成值</w:t>
            </w:r>
          </w:p>
        </w:tc>
        <w:tc>
          <w:tcPr>
            <w:tcW w:w="866"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偏离度（</w:t>
            </w: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w:t>
            </w:r>
          </w:p>
        </w:tc>
        <w:tc>
          <w:tcPr>
            <w:tcW w:w="104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得分系数（</w:t>
            </w: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指标</w:t>
            </w:r>
          </w:p>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权重</w:t>
            </w:r>
          </w:p>
        </w:tc>
        <w:tc>
          <w:tcPr>
            <w:tcW w:w="79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指标</w:t>
            </w:r>
          </w:p>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得分</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是否核心指标</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说明</w:t>
            </w:r>
          </w:p>
        </w:tc>
      </w:tr>
      <w:tr>
        <w:tblPrEx>
          <w:tblLayout w:type="fixed"/>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经济社会发展及乡村振兴建设　</w:t>
            </w:r>
          </w:p>
        </w:tc>
        <w:tc>
          <w:tcPr>
            <w:tcW w:w="567"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c>
          <w:tcPr>
            <w:tcW w:w="850"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定性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有所增加　</w:t>
            </w:r>
          </w:p>
        </w:tc>
        <w:tc>
          <w:tcPr>
            <w:tcW w:w="103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全部完成</w:t>
            </w:r>
          </w:p>
        </w:tc>
        <w:tc>
          <w:tcPr>
            <w:tcW w:w="866"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0</w:t>
            </w:r>
          </w:p>
        </w:tc>
        <w:tc>
          <w:tcPr>
            <w:tcW w:w="104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hint="default" w:ascii="Times New Roman" w:hAnsi="Times New Roman" w:eastAsia="方正仿宋_GBK"/>
                <w:bCs/>
                <w:sz w:val="16"/>
                <w:szCs w:val="16"/>
              </w:rPr>
              <w:t>100</w:t>
            </w:r>
            <w:r>
              <w:rPr>
                <w:rFonts w:ascii="方正仿宋_GBK" w:hAnsi="方正仿宋_GBK" w:eastAsia="方正仿宋_GBK" w:cs="方正仿宋_GBK"/>
                <w:bCs/>
                <w:sz w:val="16"/>
                <w:szCs w:val="16"/>
              </w:rPr>
              <w:t>　</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30</w:t>
            </w:r>
          </w:p>
        </w:tc>
        <w:tc>
          <w:tcPr>
            <w:tcW w:w="79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30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r>
      <w:tr>
        <w:tblPrEx>
          <w:tblLayout w:type="fixed"/>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ind w:firstLine="160" w:firstLineChars="100"/>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人居环境、社会治安综合治理、安全生产、武装、文化建设等</w:t>
            </w:r>
          </w:p>
        </w:tc>
        <w:tc>
          <w:tcPr>
            <w:tcW w:w="567"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c>
          <w:tcPr>
            <w:tcW w:w="850"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定性</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明显改善　</w:t>
            </w:r>
          </w:p>
        </w:tc>
        <w:tc>
          <w:tcPr>
            <w:tcW w:w="103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1</w:t>
            </w:r>
          </w:p>
        </w:tc>
        <w:tc>
          <w:tcPr>
            <w:tcW w:w="866"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0</w:t>
            </w:r>
          </w:p>
        </w:tc>
        <w:tc>
          <w:tcPr>
            <w:tcW w:w="104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100</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30</w:t>
            </w:r>
          </w:p>
        </w:tc>
        <w:tc>
          <w:tcPr>
            <w:tcW w:w="79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hint="default" w:ascii="Times New Roman" w:hAnsi="Times New Roman" w:eastAsia="方正仿宋_GBK"/>
                <w:bCs/>
                <w:sz w:val="16"/>
                <w:szCs w:val="16"/>
              </w:rPr>
              <w:t>30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r>
      <w:tr>
        <w:tblPrEx>
          <w:tblLayout w:type="fixed"/>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ind w:firstLine="160" w:firstLineChars="100"/>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社会保险、社会保障、民生保障</w:t>
            </w:r>
          </w:p>
        </w:tc>
        <w:tc>
          <w:tcPr>
            <w:tcW w:w="567"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c>
          <w:tcPr>
            <w:tcW w:w="850"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定性</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优</w:t>
            </w:r>
          </w:p>
        </w:tc>
        <w:tc>
          <w:tcPr>
            <w:tcW w:w="103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1</w:t>
            </w:r>
          </w:p>
        </w:tc>
        <w:tc>
          <w:tcPr>
            <w:tcW w:w="866"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0</w:t>
            </w:r>
          </w:p>
        </w:tc>
        <w:tc>
          <w:tcPr>
            <w:tcW w:w="104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100</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20</w:t>
            </w:r>
          </w:p>
        </w:tc>
        <w:tc>
          <w:tcPr>
            <w:tcW w:w="79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20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r>
      <w:tr>
        <w:tblPrEx>
          <w:tblLayout w:type="fixed"/>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ind w:firstLine="160" w:firstLineChars="100"/>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基层组织</w:t>
            </w:r>
          </w:p>
        </w:tc>
        <w:tc>
          <w:tcPr>
            <w:tcW w:w="567"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w:t>
            </w:r>
          </w:p>
        </w:tc>
        <w:tc>
          <w:tcPr>
            <w:tcW w:w="850"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hint="default" w:ascii="Times New Roman" w:hAnsi="Times New Roman" w:eastAsia="方正仿宋_GBK"/>
                <w:bCs/>
                <w:sz w:val="16"/>
                <w:szCs w:val="16"/>
              </w:rPr>
              <w:t>95</w:t>
            </w:r>
            <w:r>
              <w:rPr>
                <w:rFonts w:ascii="方正仿宋_GBK" w:hAnsi="方正仿宋_GBK" w:eastAsia="方正仿宋_GBK" w:cs="方正仿宋_GBK"/>
                <w:bCs/>
                <w:sz w:val="16"/>
                <w:szCs w:val="16"/>
              </w:rPr>
              <w:t>　</w:t>
            </w:r>
          </w:p>
        </w:tc>
        <w:tc>
          <w:tcPr>
            <w:tcW w:w="103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95</w:t>
            </w:r>
          </w:p>
        </w:tc>
        <w:tc>
          <w:tcPr>
            <w:tcW w:w="866"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0</w:t>
            </w:r>
          </w:p>
        </w:tc>
        <w:tc>
          <w:tcPr>
            <w:tcW w:w="104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100</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10</w:t>
            </w:r>
          </w:p>
        </w:tc>
        <w:tc>
          <w:tcPr>
            <w:tcW w:w="79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10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r>
      <w:tr>
        <w:tblPrEx>
          <w:tblLayout w:type="fixed"/>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ind w:firstLine="160" w:firstLineChars="100"/>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群众满意度</w:t>
            </w:r>
          </w:p>
        </w:tc>
        <w:tc>
          <w:tcPr>
            <w:tcW w:w="567"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　</w:t>
            </w:r>
          </w:p>
        </w:tc>
        <w:tc>
          <w:tcPr>
            <w:tcW w:w="850"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hint="default" w:ascii="Times New Roman" w:hAnsi="Times New Roman" w:eastAsia="方正仿宋_GBK"/>
                <w:bCs/>
                <w:sz w:val="16"/>
                <w:szCs w:val="16"/>
              </w:rPr>
              <w:t>95</w:t>
            </w:r>
            <w:r>
              <w:rPr>
                <w:rFonts w:ascii="方正仿宋_GBK" w:hAnsi="方正仿宋_GBK" w:eastAsia="方正仿宋_GBK" w:cs="方正仿宋_GBK"/>
                <w:bCs/>
                <w:sz w:val="16"/>
                <w:szCs w:val="16"/>
              </w:rPr>
              <w:t>　</w:t>
            </w:r>
          </w:p>
        </w:tc>
        <w:tc>
          <w:tcPr>
            <w:tcW w:w="103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96</w:t>
            </w:r>
          </w:p>
        </w:tc>
        <w:tc>
          <w:tcPr>
            <w:tcW w:w="866"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0</w:t>
            </w:r>
          </w:p>
        </w:tc>
        <w:tc>
          <w:tcPr>
            <w:tcW w:w="104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hint="default" w:ascii="Times New Roman" w:hAnsi="Times New Roman" w:eastAsia="方正仿宋_GBK"/>
                <w:bCs/>
                <w:sz w:val="16"/>
                <w:szCs w:val="16"/>
              </w:rPr>
              <w:t>100</w:t>
            </w:r>
            <w:r>
              <w:rPr>
                <w:rFonts w:ascii="方正仿宋_GBK" w:hAnsi="方正仿宋_GBK" w:eastAsia="方正仿宋_GBK" w:cs="方正仿宋_GBK"/>
                <w:bCs/>
                <w:sz w:val="16"/>
                <w:szCs w:val="16"/>
              </w:rPr>
              <w:t>　</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10</w:t>
            </w:r>
          </w:p>
        </w:tc>
        <w:tc>
          <w:tcPr>
            <w:tcW w:w="79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10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r>
      <w:tr>
        <w:tblPrEx>
          <w:tblLayout w:type="fixed"/>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ind w:firstLine="160" w:firstLineChars="100"/>
              <w:rPr>
                <w:rFonts w:hint="default"/>
                <w:bCs/>
                <w:sz w:val="16"/>
                <w:szCs w:val="16"/>
              </w:rPr>
            </w:pPr>
            <w:r>
              <w:rPr>
                <w:rFonts w:cs="宋体"/>
                <w:bCs/>
                <w:sz w:val="16"/>
                <w:szCs w:val="16"/>
              </w:rPr>
              <w:t>　</w:t>
            </w:r>
          </w:p>
        </w:tc>
        <w:tc>
          <w:tcPr>
            <w:tcW w:w="567" w:type="dxa"/>
            <w:tcBorders>
              <w:top w:val="nil"/>
              <w:left w:val="nil"/>
              <w:bottom w:val="single" w:color="auto" w:sz="4" w:space="0"/>
              <w:right w:val="single" w:color="auto" w:sz="4" w:space="0"/>
            </w:tcBorders>
            <w:shd w:val="clear" w:color="auto" w:fill="auto"/>
            <w:noWrap/>
            <w:vAlign w:val="center"/>
          </w:tcPr>
          <w:p>
            <w:pPr>
              <w:ind w:firstLine="160" w:firstLineChars="100"/>
              <w:rPr>
                <w:rFonts w:hint="default"/>
                <w:bCs/>
                <w:sz w:val="16"/>
                <w:szCs w:val="16"/>
              </w:rPr>
            </w:pPr>
            <w:r>
              <w:rPr>
                <w:rFonts w:cs="宋体"/>
                <w:bCs/>
                <w:sz w:val="16"/>
                <w:szCs w:val="16"/>
              </w:rPr>
              <w:t>　</w:t>
            </w:r>
          </w:p>
        </w:tc>
        <w:tc>
          <w:tcPr>
            <w:tcW w:w="850" w:type="dxa"/>
            <w:tcBorders>
              <w:top w:val="nil"/>
              <w:left w:val="nil"/>
              <w:bottom w:val="single" w:color="auto" w:sz="4" w:space="0"/>
              <w:right w:val="single" w:color="auto" w:sz="4" w:space="0"/>
            </w:tcBorders>
            <w:shd w:val="clear" w:color="auto" w:fill="auto"/>
            <w:noWrap/>
            <w:vAlign w:val="center"/>
          </w:tcPr>
          <w:p>
            <w:pPr>
              <w:ind w:firstLine="160" w:firstLineChars="100"/>
              <w:rPr>
                <w:rFonts w:hint="default"/>
                <w:bCs/>
                <w:sz w:val="16"/>
                <w:szCs w:val="16"/>
              </w:rPr>
            </w:pPr>
            <w:r>
              <w:rPr>
                <w:rFonts w:cs="宋体"/>
                <w:bCs/>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ind w:firstLine="160" w:firstLineChars="100"/>
              <w:jc w:val="right"/>
              <w:rPr>
                <w:rFonts w:hint="default"/>
                <w:bCs/>
                <w:sz w:val="16"/>
                <w:szCs w:val="16"/>
              </w:rPr>
            </w:pPr>
            <w:r>
              <w:rPr>
                <w:rFonts w:cs="宋体"/>
                <w:bCs/>
                <w:sz w:val="16"/>
                <w:szCs w:val="16"/>
              </w:rPr>
              <w:t>　</w:t>
            </w:r>
          </w:p>
        </w:tc>
        <w:tc>
          <w:tcPr>
            <w:tcW w:w="1039" w:type="dxa"/>
            <w:tcBorders>
              <w:top w:val="nil"/>
              <w:left w:val="nil"/>
              <w:bottom w:val="single" w:color="auto" w:sz="4" w:space="0"/>
              <w:right w:val="single" w:color="auto" w:sz="4" w:space="0"/>
            </w:tcBorders>
            <w:shd w:val="clear" w:color="auto" w:fill="auto"/>
            <w:noWrap/>
            <w:vAlign w:val="center"/>
          </w:tcPr>
          <w:p>
            <w:pPr>
              <w:ind w:firstLine="160" w:firstLineChars="100"/>
              <w:jc w:val="right"/>
              <w:rPr>
                <w:rFonts w:hint="default"/>
                <w:bCs/>
                <w:sz w:val="16"/>
                <w:szCs w:val="16"/>
              </w:rPr>
            </w:pPr>
            <w:r>
              <w:rPr>
                <w:rFonts w:cs="宋体"/>
                <w:bCs/>
                <w:sz w:val="16"/>
                <w:szCs w:val="16"/>
              </w:rPr>
              <w:t>　</w:t>
            </w:r>
          </w:p>
        </w:tc>
        <w:tc>
          <w:tcPr>
            <w:tcW w:w="866" w:type="dxa"/>
            <w:tcBorders>
              <w:top w:val="nil"/>
              <w:left w:val="nil"/>
              <w:bottom w:val="single" w:color="auto" w:sz="4" w:space="0"/>
              <w:right w:val="single" w:color="auto" w:sz="4" w:space="0"/>
            </w:tcBorders>
            <w:shd w:val="clear" w:color="auto" w:fill="auto"/>
            <w:noWrap/>
            <w:vAlign w:val="center"/>
          </w:tcPr>
          <w:p>
            <w:pPr>
              <w:ind w:firstLine="160" w:firstLineChars="100"/>
              <w:jc w:val="right"/>
              <w:rPr>
                <w:rFonts w:hint="default"/>
                <w:bCs/>
                <w:sz w:val="16"/>
                <w:szCs w:val="16"/>
              </w:rPr>
            </w:pPr>
            <w:r>
              <w:rPr>
                <w:rFonts w:cs="宋体"/>
                <w:bCs/>
                <w:sz w:val="16"/>
                <w:szCs w:val="16"/>
              </w:rPr>
              <w:t>　</w:t>
            </w:r>
          </w:p>
        </w:tc>
        <w:tc>
          <w:tcPr>
            <w:tcW w:w="1043" w:type="dxa"/>
            <w:tcBorders>
              <w:top w:val="nil"/>
              <w:left w:val="nil"/>
              <w:bottom w:val="single" w:color="auto" w:sz="4" w:space="0"/>
              <w:right w:val="single" w:color="auto" w:sz="4" w:space="0"/>
            </w:tcBorders>
            <w:shd w:val="clear" w:color="auto" w:fill="auto"/>
            <w:noWrap/>
            <w:vAlign w:val="center"/>
          </w:tcPr>
          <w:p>
            <w:pPr>
              <w:ind w:firstLine="160" w:firstLineChars="100"/>
              <w:jc w:val="right"/>
              <w:rPr>
                <w:rFonts w:hint="default"/>
                <w:bCs/>
                <w:sz w:val="16"/>
                <w:szCs w:val="16"/>
              </w:rPr>
            </w:pPr>
            <w:r>
              <w:rPr>
                <w:rFonts w:cs="宋体"/>
                <w:bCs/>
                <w:sz w:val="16"/>
                <w:szCs w:val="16"/>
              </w:rPr>
              <w:t>　</w:t>
            </w:r>
          </w:p>
        </w:tc>
        <w:tc>
          <w:tcPr>
            <w:tcW w:w="709" w:type="dxa"/>
            <w:tcBorders>
              <w:top w:val="nil"/>
              <w:left w:val="nil"/>
              <w:bottom w:val="single" w:color="auto" w:sz="4" w:space="0"/>
              <w:right w:val="single" w:color="auto" w:sz="4" w:space="0"/>
            </w:tcBorders>
            <w:shd w:val="clear" w:color="auto" w:fill="auto"/>
            <w:noWrap/>
            <w:vAlign w:val="center"/>
          </w:tcPr>
          <w:p>
            <w:pPr>
              <w:ind w:firstLine="160" w:firstLineChars="100"/>
              <w:jc w:val="right"/>
              <w:rPr>
                <w:rFonts w:hint="default"/>
                <w:bCs/>
                <w:sz w:val="16"/>
                <w:szCs w:val="16"/>
              </w:rPr>
            </w:pPr>
            <w:r>
              <w:rPr>
                <w:rFonts w:cs="宋体"/>
                <w:bCs/>
                <w:sz w:val="16"/>
                <w:szCs w:val="16"/>
              </w:rPr>
              <w:t>　</w:t>
            </w:r>
          </w:p>
        </w:tc>
        <w:tc>
          <w:tcPr>
            <w:tcW w:w="799" w:type="dxa"/>
            <w:tcBorders>
              <w:top w:val="nil"/>
              <w:left w:val="nil"/>
              <w:bottom w:val="single" w:color="auto" w:sz="4" w:space="0"/>
              <w:right w:val="single" w:color="auto" w:sz="4" w:space="0"/>
            </w:tcBorders>
            <w:shd w:val="clear" w:color="auto" w:fill="auto"/>
            <w:noWrap/>
            <w:vAlign w:val="center"/>
          </w:tcPr>
          <w:p>
            <w:pPr>
              <w:ind w:firstLine="160" w:firstLineChars="100"/>
              <w:jc w:val="right"/>
              <w:rPr>
                <w:rFonts w:hint="default"/>
                <w:bCs/>
                <w:sz w:val="16"/>
                <w:szCs w:val="16"/>
              </w:rPr>
            </w:pPr>
            <w:r>
              <w:rPr>
                <w:rFonts w:cs="宋体"/>
                <w:bCs/>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ind w:firstLine="160" w:firstLineChars="100"/>
              <w:rPr>
                <w:rFonts w:hint="default"/>
                <w:bCs/>
                <w:sz w:val="16"/>
                <w:szCs w:val="16"/>
              </w:rPr>
            </w:pPr>
            <w:r>
              <w:rPr>
                <w:rFonts w:cs="宋体"/>
                <w:bCs/>
                <w:sz w:val="16"/>
                <w:szCs w:val="16"/>
              </w:rPr>
              <w:t>　</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hint="default"/>
                <w:bCs/>
                <w:sz w:val="16"/>
                <w:szCs w:val="16"/>
              </w:rPr>
            </w:pPr>
            <w:r>
              <w:rPr>
                <w:rFonts w:cs="宋体"/>
                <w:bCs/>
                <w:sz w:val="16"/>
                <w:szCs w:val="16"/>
              </w:rPr>
              <w:t>　</w:t>
            </w:r>
          </w:p>
        </w:tc>
      </w:tr>
    </w:tbl>
    <w:p>
      <w:pPr>
        <w:spacing w:line="560" w:lineRule="exact"/>
        <w:rPr>
          <w:rFonts w:hint="default" w:ascii="Times New Roman" w:hAnsi="Times New Roman" w:eastAsia="方正仿宋_GBK"/>
          <w:sz w:val="32"/>
          <w:szCs w:val="32"/>
        </w:rPr>
      </w:pPr>
    </w:p>
    <w:p>
      <w:pPr>
        <w:spacing w:line="560" w:lineRule="exact"/>
        <w:rPr>
          <w:rFonts w:hint="default" w:ascii="Times New Roman" w:hAnsi="Times New Roman" w:eastAsia="方正仿宋_GBK"/>
          <w:sz w:val="32"/>
          <w:szCs w:val="32"/>
        </w:rPr>
      </w:pPr>
    </w:p>
    <w:tbl>
      <w:tblPr>
        <w:tblStyle w:val="6"/>
        <w:tblW w:w="11037" w:type="dxa"/>
        <w:jc w:val="center"/>
        <w:tblInd w:w="0" w:type="dxa"/>
        <w:tblLayout w:type="fixed"/>
        <w:tblCellMar>
          <w:top w:w="0" w:type="dxa"/>
          <w:left w:w="108" w:type="dxa"/>
          <w:bottom w:w="0" w:type="dxa"/>
          <w:right w:w="108" w:type="dxa"/>
        </w:tblCellMar>
      </w:tblPr>
      <w:tblGrid>
        <w:gridCol w:w="1277"/>
        <w:gridCol w:w="567"/>
        <w:gridCol w:w="850"/>
        <w:gridCol w:w="992"/>
        <w:gridCol w:w="1044"/>
        <w:gridCol w:w="870"/>
        <w:gridCol w:w="1043"/>
        <w:gridCol w:w="709"/>
        <w:gridCol w:w="799"/>
        <w:gridCol w:w="992"/>
        <w:gridCol w:w="902"/>
        <w:gridCol w:w="992"/>
      </w:tblGrid>
      <w:tr>
        <w:tblPrEx>
          <w:tblLayout w:type="fixed"/>
          <w:tblCellMar>
            <w:top w:w="0" w:type="dxa"/>
            <w:left w:w="108" w:type="dxa"/>
            <w:bottom w:w="0" w:type="dxa"/>
            <w:right w:w="108" w:type="dxa"/>
          </w:tblCellMar>
        </w:tblPrEx>
        <w:trPr>
          <w:trHeight w:val="584" w:hRule="atLeast"/>
          <w:jc w:val="center"/>
        </w:trPr>
        <w:tc>
          <w:tcPr>
            <w:tcW w:w="11037"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微软雅黑" w:hAnsi="微软雅黑" w:eastAsia="微软雅黑"/>
                <w:bCs/>
                <w:sz w:val="36"/>
                <w:szCs w:val="36"/>
              </w:rPr>
            </w:pPr>
            <w:r>
              <w:rPr>
                <w:rFonts w:ascii="微软雅黑" w:hAnsi="微软雅黑" w:eastAsia="微软雅黑" w:cs="微软雅黑"/>
                <w:bCs/>
                <w:sz w:val="32"/>
                <w:szCs w:val="32"/>
              </w:rPr>
              <w:t>2022年度项目绩效自评表</w:t>
            </w:r>
          </w:p>
        </w:tc>
      </w:tr>
      <w:tr>
        <w:tblPrEx>
          <w:tblLayout w:type="fixed"/>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spacing w:line="240" w:lineRule="atLeast"/>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项目名称：</w:t>
            </w:r>
          </w:p>
        </w:tc>
        <w:tc>
          <w:tcPr>
            <w:tcW w:w="1417" w:type="dxa"/>
            <w:gridSpan w:val="2"/>
            <w:tcBorders>
              <w:top w:val="nil"/>
              <w:left w:val="nil"/>
              <w:bottom w:val="single" w:color="auto" w:sz="4" w:space="0"/>
              <w:right w:val="single" w:color="auto" w:sz="4" w:space="0"/>
            </w:tcBorders>
            <w:shd w:val="clear" w:color="auto" w:fill="auto"/>
            <w:noWrap/>
            <w:vAlign w:val="center"/>
          </w:tcPr>
          <w:p>
            <w:pPr>
              <w:spacing w:line="240" w:lineRule="atLeast"/>
              <w:ind w:firstLine="160" w:firstLineChars="100"/>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丰都县仁沙镇</w:t>
            </w:r>
            <w:r>
              <w:rPr>
                <w:rFonts w:hint="default" w:ascii="Times New Roman" w:hAnsi="Times New Roman" w:eastAsia="方正仿宋_GBK"/>
                <w:bCs/>
                <w:sz w:val="16"/>
                <w:szCs w:val="16"/>
              </w:rPr>
              <w:t>2021</w:t>
            </w:r>
            <w:r>
              <w:rPr>
                <w:rFonts w:ascii="方正仿宋_GBK" w:hAnsi="方正仿宋_GBK" w:eastAsia="方正仿宋_GBK" w:cs="方正仿宋_GBK"/>
                <w:bCs/>
                <w:sz w:val="16"/>
                <w:szCs w:val="16"/>
              </w:rPr>
              <w:t>年道路安全生命防护栏工程　</w:t>
            </w:r>
          </w:p>
        </w:tc>
        <w:tc>
          <w:tcPr>
            <w:tcW w:w="992" w:type="dxa"/>
            <w:tcBorders>
              <w:top w:val="nil"/>
              <w:left w:val="nil"/>
              <w:bottom w:val="single" w:color="auto" w:sz="4" w:space="0"/>
              <w:right w:val="single" w:color="auto" w:sz="4" w:space="0"/>
            </w:tcBorders>
            <w:shd w:val="clear" w:color="auto" w:fill="auto"/>
            <w:noWrap/>
            <w:vAlign w:val="center"/>
          </w:tcPr>
          <w:p>
            <w:pPr>
              <w:spacing w:line="240" w:lineRule="atLeast"/>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项目编码：</w:t>
            </w:r>
          </w:p>
        </w:tc>
        <w:tc>
          <w:tcPr>
            <w:tcW w:w="1914" w:type="dxa"/>
            <w:gridSpan w:val="2"/>
            <w:tcBorders>
              <w:top w:val="nil"/>
              <w:left w:val="nil"/>
              <w:bottom w:val="single" w:color="auto" w:sz="4" w:space="0"/>
              <w:right w:val="single" w:color="auto" w:sz="4" w:space="0"/>
            </w:tcBorders>
            <w:shd w:val="clear" w:color="auto" w:fill="auto"/>
            <w:noWrap/>
            <w:vAlign w:val="center"/>
          </w:tcPr>
          <w:p>
            <w:pPr>
              <w:spacing w:line="240" w:lineRule="atLeast"/>
              <w:ind w:firstLine="160" w:firstLineChars="100"/>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50023022T000002202841</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tLeast"/>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自评总分：</w:t>
            </w:r>
          </w:p>
        </w:tc>
        <w:tc>
          <w:tcPr>
            <w:tcW w:w="1508" w:type="dxa"/>
            <w:gridSpan w:val="2"/>
            <w:tcBorders>
              <w:top w:val="nil"/>
              <w:left w:val="nil"/>
              <w:bottom w:val="single" w:color="auto" w:sz="4" w:space="0"/>
              <w:right w:val="single" w:color="auto" w:sz="4" w:space="0"/>
            </w:tcBorders>
            <w:shd w:val="clear" w:color="auto" w:fill="auto"/>
            <w:noWrap/>
            <w:vAlign w:val="center"/>
          </w:tcPr>
          <w:p>
            <w:pPr>
              <w:spacing w:line="240" w:lineRule="atLeast"/>
              <w:ind w:firstLine="160" w:firstLineChars="100"/>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100.00</w:t>
            </w:r>
          </w:p>
        </w:tc>
        <w:tc>
          <w:tcPr>
            <w:tcW w:w="992" w:type="dxa"/>
            <w:tcBorders>
              <w:top w:val="nil"/>
              <w:left w:val="nil"/>
              <w:bottom w:val="single" w:color="auto" w:sz="4" w:space="0"/>
              <w:right w:val="single" w:color="auto" w:sz="4" w:space="0"/>
            </w:tcBorders>
            <w:shd w:val="clear" w:color="auto" w:fill="auto"/>
            <w:noWrap/>
            <w:vAlign w:val="center"/>
          </w:tcPr>
          <w:p>
            <w:pPr>
              <w:spacing w:line="240" w:lineRule="atLeast"/>
              <w:jc w:val="center"/>
              <w:rPr>
                <w:rFonts w:hint="default" w:ascii="Times New Roman" w:hAnsi="Times New Roman" w:eastAsia="方正仿宋_GBK"/>
                <w:bCs/>
                <w:sz w:val="16"/>
                <w:szCs w:val="16"/>
              </w:rPr>
            </w:pPr>
          </w:p>
        </w:tc>
        <w:tc>
          <w:tcPr>
            <w:tcW w:w="1894" w:type="dxa"/>
            <w:gridSpan w:val="2"/>
            <w:tcBorders>
              <w:top w:val="nil"/>
              <w:left w:val="nil"/>
              <w:bottom w:val="single" w:color="auto" w:sz="4" w:space="0"/>
              <w:right w:val="single" w:color="auto" w:sz="4" w:space="0"/>
            </w:tcBorders>
            <w:shd w:val="clear" w:color="auto" w:fill="auto"/>
            <w:noWrap/>
            <w:vAlign w:val="center"/>
          </w:tcPr>
          <w:p>
            <w:pPr>
              <w:spacing w:line="240" w:lineRule="atLeast"/>
              <w:ind w:firstLine="160" w:firstLineChars="100"/>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r>
      <w:tr>
        <w:tblPrEx>
          <w:tblLayout w:type="fixed"/>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spacing w:line="240" w:lineRule="atLeast"/>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项目主管部门：</w:t>
            </w:r>
          </w:p>
        </w:tc>
        <w:tc>
          <w:tcPr>
            <w:tcW w:w="1417" w:type="dxa"/>
            <w:gridSpan w:val="2"/>
            <w:tcBorders>
              <w:top w:val="single" w:color="auto" w:sz="4" w:space="0"/>
              <w:left w:val="nil"/>
              <w:bottom w:val="single" w:color="auto" w:sz="4" w:space="0"/>
              <w:right w:val="single" w:color="auto" w:sz="4" w:space="0"/>
            </w:tcBorders>
            <w:shd w:val="clear" w:color="auto" w:fill="auto"/>
            <w:noWrap/>
            <w:vAlign w:val="center"/>
          </w:tcPr>
          <w:p>
            <w:pPr>
              <w:spacing w:line="240" w:lineRule="atLeast"/>
              <w:ind w:firstLine="160" w:firstLineChars="100"/>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906-</w:t>
            </w:r>
            <w:r>
              <w:rPr>
                <w:rFonts w:ascii="方正仿宋_GBK" w:hAnsi="方正仿宋_GBK" w:eastAsia="方正仿宋_GBK" w:cs="方正仿宋_GBK"/>
                <w:bCs/>
                <w:sz w:val="16"/>
                <w:szCs w:val="16"/>
              </w:rPr>
              <w:t>丰都县仁沙镇</w:t>
            </w:r>
          </w:p>
        </w:tc>
        <w:tc>
          <w:tcPr>
            <w:tcW w:w="992" w:type="dxa"/>
            <w:tcBorders>
              <w:top w:val="nil"/>
              <w:left w:val="nil"/>
              <w:bottom w:val="single" w:color="auto" w:sz="4" w:space="0"/>
              <w:right w:val="single" w:color="auto" w:sz="4" w:space="0"/>
            </w:tcBorders>
            <w:shd w:val="clear" w:color="auto" w:fill="auto"/>
            <w:noWrap/>
            <w:vAlign w:val="center"/>
          </w:tcPr>
          <w:p>
            <w:pPr>
              <w:spacing w:line="240" w:lineRule="atLeast"/>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财政归口处室：</w:t>
            </w:r>
          </w:p>
        </w:tc>
        <w:tc>
          <w:tcPr>
            <w:tcW w:w="1914" w:type="dxa"/>
            <w:gridSpan w:val="2"/>
            <w:tcBorders>
              <w:top w:val="single" w:color="auto" w:sz="4" w:space="0"/>
              <w:left w:val="nil"/>
              <w:bottom w:val="single" w:color="auto" w:sz="4" w:space="0"/>
              <w:right w:val="single" w:color="auto" w:sz="4" w:space="0"/>
            </w:tcBorders>
            <w:shd w:val="clear" w:color="auto" w:fill="auto"/>
            <w:noWrap/>
            <w:vAlign w:val="center"/>
          </w:tcPr>
          <w:p>
            <w:pPr>
              <w:spacing w:line="240" w:lineRule="atLeast"/>
              <w:ind w:firstLine="160" w:firstLineChars="100"/>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007-</w:t>
            </w:r>
            <w:r>
              <w:rPr>
                <w:rFonts w:ascii="方正仿宋_GBK" w:hAnsi="方正仿宋_GBK" w:eastAsia="方正仿宋_GBK" w:cs="方正仿宋_GBK"/>
                <w:bCs/>
                <w:sz w:val="16"/>
                <w:szCs w:val="16"/>
              </w:rPr>
              <w:t>基财科</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tLeast"/>
              <w:ind w:right="483"/>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部门</w:t>
            </w:r>
          </w:p>
          <w:p>
            <w:pPr>
              <w:spacing w:line="240" w:lineRule="atLeast"/>
              <w:ind w:right="161"/>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联系人：</w:t>
            </w:r>
          </w:p>
        </w:tc>
        <w:tc>
          <w:tcPr>
            <w:tcW w:w="1508" w:type="dxa"/>
            <w:gridSpan w:val="2"/>
            <w:tcBorders>
              <w:top w:val="single" w:color="auto" w:sz="4" w:space="0"/>
              <w:left w:val="nil"/>
              <w:bottom w:val="single" w:color="auto" w:sz="4" w:space="0"/>
              <w:right w:val="single" w:color="auto" w:sz="4" w:space="0"/>
            </w:tcBorders>
            <w:shd w:val="clear" w:color="auto" w:fill="auto"/>
            <w:noWrap/>
            <w:vAlign w:val="center"/>
          </w:tcPr>
          <w:p>
            <w:pPr>
              <w:spacing w:line="240" w:lineRule="atLeast"/>
              <w:ind w:firstLine="160" w:firstLineChars="100"/>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秦禹</w:t>
            </w:r>
          </w:p>
        </w:tc>
        <w:tc>
          <w:tcPr>
            <w:tcW w:w="992" w:type="dxa"/>
            <w:tcBorders>
              <w:top w:val="nil"/>
              <w:left w:val="nil"/>
              <w:bottom w:val="single" w:color="auto" w:sz="4" w:space="0"/>
              <w:right w:val="single" w:color="auto" w:sz="4" w:space="0"/>
            </w:tcBorders>
            <w:shd w:val="clear" w:color="auto" w:fill="auto"/>
            <w:noWrap/>
            <w:vAlign w:val="center"/>
          </w:tcPr>
          <w:p>
            <w:pPr>
              <w:spacing w:line="240" w:lineRule="atLeast"/>
              <w:ind w:right="181"/>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联系</w:t>
            </w:r>
          </w:p>
          <w:p>
            <w:pPr>
              <w:spacing w:line="240" w:lineRule="atLeast"/>
              <w:ind w:right="181"/>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电话</w:t>
            </w:r>
          </w:p>
        </w:tc>
        <w:tc>
          <w:tcPr>
            <w:tcW w:w="1894" w:type="dxa"/>
            <w:gridSpan w:val="2"/>
            <w:tcBorders>
              <w:top w:val="single" w:color="auto" w:sz="4" w:space="0"/>
              <w:left w:val="nil"/>
              <w:bottom w:val="single" w:color="auto" w:sz="4" w:space="0"/>
              <w:right w:val="single" w:color="auto" w:sz="4" w:space="0"/>
            </w:tcBorders>
            <w:shd w:val="clear" w:color="auto" w:fill="auto"/>
            <w:noWrap/>
            <w:vAlign w:val="center"/>
          </w:tcPr>
          <w:p>
            <w:pPr>
              <w:spacing w:line="240" w:lineRule="atLeast"/>
              <w:ind w:firstLine="160" w:firstLineChars="100"/>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70689038</w:t>
            </w:r>
          </w:p>
        </w:tc>
      </w:tr>
      <w:tr>
        <w:tblPrEx>
          <w:tblLayout w:type="fixed"/>
          <w:tblCellMar>
            <w:top w:w="0" w:type="dxa"/>
            <w:left w:w="108" w:type="dxa"/>
            <w:bottom w:w="0" w:type="dxa"/>
            <w:right w:w="108" w:type="dxa"/>
          </w:tblCellMar>
        </w:tblPrEx>
        <w:trPr>
          <w:trHeight w:val="469" w:hRule="atLeast"/>
          <w:jc w:val="center"/>
        </w:trPr>
        <w:tc>
          <w:tcPr>
            <w:tcW w:w="11037"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微软雅黑" w:hAnsi="微软雅黑" w:eastAsia="微软雅黑"/>
                <w:bCs/>
                <w:sz w:val="28"/>
                <w:szCs w:val="28"/>
              </w:rPr>
            </w:pPr>
            <w:r>
              <w:rPr>
                <w:rFonts w:ascii="微软雅黑" w:hAnsi="微软雅黑" w:eastAsia="微软雅黑" w:cs="微软雅黑"/>
                <w:bCs/>
                <w:sz w:val="18"/>
                <w:szCs w:val="18"/>
              </w:rPr>
              <w:t>资金情况</w:t>
            </w:r>
          </w:p>
        </w:tc>
      </w:tr>
      <w:tr>
        <w:tblPrEx>
          <w:tblLayout w:type="fixed"/>
          <w:tblCellMar>
            <w:top w:w="0" w:type="dxa"/>
            <w:left w:w="108" w:type="dxa"/>
            <w:bottom w:w="0" w:type="dxa"/>
            <w:right w:w="108" w:type="dxa"/>
          </w:tblCellMar>
        </w:tblPrEx>
        <w:trPr>
          <w:trHeight w:val="445" w:hRule="atLeast"/>
          <w:jc w:val="center"/>
        </w:trPr>
        <w:tc>
          <w:tcPr>
            <w:tcW w:w="184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c>
          <w:tcPr>
            <w:tcW w:w="1842" w:type="dxa"/>
            <w:gridSpan w:val="2"/>
            <w:tcBorders>
              <w:top w:val="single" w:color="auto" w:sz="4" w:space="0"/>
              <w:left w:val="nil"/>
              <w:bottom w:val="single" w:color="auto" w:sz="4" w:space="0"/>
              <w:right w:val="single" w:color="000000" w:sz="4" w:space="0"/>
            </w:tcBorders>
            <w:shd w:val="clear" w:color="auto" w:fill="auto"/>
            <w:noWrap/>
            <w:vAlign w:val="center"/>
          </w:tcPr>
          <w:p>
            <w:pPr>
              <w:ind w:right="724"/>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年初预算数</w:t>
            </w:r>
          </w:p>
        </w:tc>
        <w:tc>
          <w:tcPr>
            <w:tcW w:w="1914"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全年（调整）</w:t>
            </w:r>
          </w:p>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预算数</w:t>
            </w:r>
          </w:p>
        </w:tc>
        <w:tc>
          <w:tcPr>
            <w:tcW w:w="1752" w:type="dxa"/>
            <w:gridSpan w:val="2"/>
            <w:tcBorders>
              <w:top w:val="single" w:color="auto" w:sz="4" w:space="0"/>
              <w:left w:val="nil"/>
              <w:bottom w:val="single" w:color="auto" w:sz="4" w:space="0"/>
              <w:right w:val="single" w:color="000000" w:sz="4" w:space="0"/>
            </w:tcBorders>
            <w:shd w:val="clear" w:color="auto" w:fill="auto"/>
            <w:noWrap/>
            <w:vAlign w:val="center"/>
          </w:tcPr>
          <w:p>
            <w:pPr>
              <w:ind w:right="161"/>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全年执行数</w:t>
            </w:r>
          </w:p>
        </w:tc>
        <w:tc>
          <w:tcPr>
            <w:tcW w:w="1791" w:type="dxa"/>
            <w:gridSpan w:val="2"/>
            <w:tcBorders>
              <w:top w:val="single" w:color="auto" w:sz="4" w:space="0"/>
              <w:left w:val="nil"/>
              <w:bottom w:val="single" w:color="auto" w:sz="4" w:space="0"/>
              <w:right w:val="single" w:color="000000" w:sz="4" w:space="0"/>
            </w:tcBorders>
            <w:shd w:val="clear" w:color="auto" w:fill="auto"/>
            <w:noWrap/>
            <w:vAlign w:val="center"/>
          </w:tcPr>
          <w:p>
            <w:pPr>
              <w:ind w:right="322"/>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执行率</w:t>
            </w:r>
          </w:p>
        </w:tc>
        <w:tc>
          <w:tcPr>
            <w:tcW w:w="90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执行率</w:t>
            </w:r>
          </w:p>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权重</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执行率</w:t>
            </w:r>
          </w:p>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得分</w:t>
            </w:r>
          </w:p>
        </w:tc>
      </w:tr>
      <w:tr>
        <w:tblPrEx>
          <w:tblLayout w:type="fixed"/>
          <w:tblCellMar>
            <w:top w:w="0" w:type="dxa"/>
            <w:left w:w="108" w:type="dxa"/>
            <w:bottom w:w="0" w:type="dxa"/>
            <w:right w:w="108" w:type="dxa"/>
          </w:tblCellMar>
        </w:tblPrEx>
        <w:trPr>
          <w:trHeight w:val="499" w:hRule="atLeast"/>
          <w:jc w:val="center"/>
        </w:trPr>
        <w:tc>
          <w:tcPr>
            <w:tcW w:w="184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160" w:firstLineChars="100"/>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年度总金额</w:t>
            </w:r>
          </w:p>
        </w:tc>
        <w:tc>
          <w:tcPr>
            <w:tcW w:w="1842" w:type="dxa"/>
            <w:gridSpan w:val="2"/>
            <w:tcBorders>
              <w:top w:val="single" w:color="auto" w:sz="4" w:space="0"/>
              <w:left w:val="nil"/>
              <w:bottom w:val="single" w:color="auto" w:sz="4" w:space="0"/>
              <w:right w:val="single" w:color="auto" w:sz="4" w:space="0"/>
            </w:tcBorders>
            <w:shd w:val="clear" w:color="auto" w:fill="auto"/>
            <w:noWrap/>
            <w:vAlign w:val="center"/>
          </w:tcPr>
          <w:p>
            <w:pPr>
              <w:ind w:firstLine="160" w:firstLineChars="100"/>
              <w:jc w:val="right"/>
              <w:rPr>
                <w:rFonts w:hint="default" w:ascii="Times New Roman" w:hAnsi="Times New Roman" w:eastAsia="方正仿宋_GBK"/>
                <w:bCs/>
                <w:sz w:val="16"/>
                <w:szCs w:val="16"/>
              </w:rPr>
            </w:pPr>
            <w:r>
              <w:rPr>
                <w:rFonts w:hint="default" w:ascii="Times New Roman" w:hAnsi="Times New Roman" w:eastAsia="方正仿宋_GBK"/>
                <w:bCs/>
                <w:sz w:val="16"/>
                <w:szCs w:val="16"/>
              </w:rPr>
              <w:t>0</w:t>
            </w:r>
            <w:r>
              <w:rPr>
                <w:rFonts w:ascii="方正仿宋_GBK" w:hAnsi="方正仿宋_GBK" w:eastAsia="方正仿宋_GBK" w:cs="方正仿宋_GBK"/>
                <w:bCs/>
                <w:sz w:val="16"/>
                <w:szCs w:val="16"/>
              </w:rPr>
              <w:t>　</w:t>
            </w:r>
          </w:p>
        </w:tc>
        <w:tc>
          <w:tcPr>
            <w:tcW w:w="1914" w:type="dxa"/>
            <w:gridSpan w:val="2"/>
            <w:tcBorders>
              <w:top w:val="single" w:color="auto" w:sz="4" w:space="0"/>
              <w:left w:val="nil"/>
              <w:bottom w:val="single" w:color="auto" w:sz="4" w:space="0"/>
              <w:right w:val="single" w:color="auto" w:sz="4" w:space="0"/>
            </w:tcBorders>
            <w:shd w:val="clear" w:color="auto" w:fill="auto"/>
            <w:noWrap/>
            <w:vAlign w:val="center"/>
          </w:tcPr>
          <w:p>
            <w:pPr>
              <w:ind w:firstLine="160" w:firstLineChars="100"/>
              <w:jc w:val="right"/>
              <w:rPr>
                <w:rFonts w:hint="default" w:ascii="Times New Roman" w:hAnsi="Times New Roman" w:eastAsia="方正仿宋_GBK"/>
                <w:bCs/>
                <w:sz w:val="16"/>
                <w:szCs w:val="16"/>
              </w:rPr>
            </w:pPr>
            <w:r>
              <w:rPr>
                <w:rFonts w:hint="default" w:ascii="Times New Roman" w:hAnsi="Times New Roman" w:eastAsia="方正仿宋_GBK"/>
                <w:bCs/>
                <w:sz w:val="16"/>
                <w:szCs w:val="16"/>
              </w:rPr>
              <w:t>690500</w:t>
            </w:r>
            <w:r>
              <w:rPr>
                <w:rFonts w:ascii="方正仿宋_GBK" w:hAnsi="方正仿宋_GBK" w:eastAsia="方正仿宋_GBK" w:cs="方正仿宋_GBK"/>
                <w:bCs/>
                <w:sz w:val="16"/>
                <w:szCs w:val="16"/>
              </w:rPr>
              <w:t>　</w:t>
            </w:r>
          </w:p>
        </w:tc>
        <w:tc>
          <w:tcPr>
            <w:tcW w:w="1752" w:type="dxa"/>
            <w:gridSpan w:val="2"/>
            <w:tcBorders>
              <w:top w:val="single" w:color="auto" w:sz="4" w:space="0"/>
              <w:left w:val="nil"/>
              <w:bottom w:val="single" w:color="auto" w:sz="4" w:space="0"/>
              <w:right w:val="single" w:color="auto" w:sz="4" w:space="0"/>
            </w:tcBorders>
            <w:shd w:val="clear" w:color="auto" w:fill="auto"/>
            <w:noWrap/>
            <w:vAlign w:val="center"/>
          </w:tcPr>
          <w:p>
            <w:pPr>
              <w:ind w:firstLine="160" w:firstLineChars="100"/>
              <w:jc w:val="right"/>
              <w:rPr>
                <w:rFonts w:hint="default" w:ascii="Times New Roman" w:hAnsi="Times New Roman" w:eastAsia="方正仿宋_GBK"/>
                <w:bCs/>
                <w:sz w:val="16"/>
                <w:szCs w:val="16"/>
              </w:rPr>
            </w:pPr>
            <w:r>
              <w:rPr>
                <w:rFonts w:hint="default" w:ascii="Times New Roman" w:hAnsi="Times New Roman" w:eastAsia="方正仿宋_GBK"/>
                <w:bCs/>
                <w:sz w:val="16"/>
                <w:szCs w:val="16"/>
              </w:rPr>
              <w:t>690500</w:t>
            </w:r>
            <w:r>
              <w:rPr>
                <w:rFonts w:ascii="方正仿宋_GBK" w:hAnsi="方正仿宋_GBK" w:eastAsia="方正仿宋_GBK" w:cs="方正仿宋_GBK"/>
                <w:bCs/>
                <w:sz w:val="16"/>
                <w:szCs w:val="16"/>
              </w:rPr>
              <w:t>　</w:t>
            </w:r>
          </w:p>
        </w:tc>
        <w:tc>
          <w:tcPr>
            <w:tcW w:w="1791" w:type="dxa"/>
            <w:gridSpan w:val="2"/>
            <w:tcBorders>
              <w:top w:val="single" w:color="auto" w:sz="4" w:space="0"/>
              <w:left w:val="nil"/>
              <w:bottom w:val="single" w:color="auto" w:sz="4" w:space="0"/>
              <w:right w:val="single" w:color="auto" w:sz="4" w:space="0"/>
            </w:tcBorders>
            <w:shd w:val="clear" w:color="auto" w:fill="auto"/>
            <w:noWrap/>
            <w:vAlign w:val="center"/>
          </w:tcPr>
          <w:p>
            <w:pPr>
              <w:ind w:firstLine="160" w:firstLineChars="100"/>
              <w:jc w:val="right"/>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c>
          <w:tcPr>
            <w:tcW w:w="902" w:type="dxa"/>
            <w:tcBorders>
              <w:top w:val="nil"/>
              <w:left w:val="nil"/>
              <w:bottom w:val="single" w:color="auto" w:sz="4" w:space="0"/>
              <w:right w:val="single" w:color="auto" w:sz="4" w:space="0"/>
            </w:tcBorders>
            <w:shd w:val="clear" w:color="auto" w:fill="auto"/>
            <w:noWrap/>
            <w:vAlign w:val="center"/>
          </w:tcPr>
          <w:p>
            <w:pPr>
              <w:ind w:firstLine="160" w:firstLineChars="100"/>
              <w:jc w:val="right"/>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ind w:firstLine="160" w:firstLineChars="100"/>
              <w:jc w:val="right"/>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r>
      <w:tr>
        <w:tblPrEx>
          <w:tblLayout w:type="fixed"/>
          <w:tblCellMar>
            <w:top w:w="0" w:type="dxa"/>
            <w:left w:w="108" w:type="dxa"/>
            <w:bottom w:w="0" w:type="dxa"/>
            <w:right w:w="108" w:type="dxa"/>
          </w:tblCellMar>
        </w:tblPrEx>
        <w:trPr>
          <w:trHeight w:val="415" w:hRule="atLeast"/>
          <w:jc w:val="center"/>
        </w:trPr>
        <w:tc>
          <w:tcPr>
            <w:tcW w:w="184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160" w:firstLineChars="100"/>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其中：财政拨款</w:t>
            </w:r>
          </w:p>
        </w:tc>
        <w:tc>
          <w:tcPr>
            <w:tcW w:w="1842" w:type="dxa"/>
            <w:gridSpan w:val="2"/>
            <w:tcBorders>
              <w:top w:val="single" w:color="auto" w:sz="4" w:space="0"/>
              <w:left w:val="nil"/>
              <w:bottom w:val="single" w:color="auto" w:sz="4" w:space="0"/>
              <w:right w:val="single" w:color="auto" w:sz="4" w:space="0"/>
            </w:tcBorders>
            <w:shd w:val="clear" w:color="auto" w:fill="auto"/>
            <w:noWrap/>
            <w:vAlign w:val="center"/>
          </w:tcPr>
          <w:p>
            <w:pPr>
              <w:ind w:firstLine="160" w:firstLineChars="100"/>
              <w:jc w:val="right"/>
              <w:rPr>
                <w:rFonts w:hint="default" w:ascii="Times New Roman" w:hAnsi="Times New Roman" w:eastAsia="方正仿宋_GBK"/>
                <w:bCs/>
                <w:sz w:val="16"/>
                <w:szCs w:val="16"/>
              </w:rPr>
            </w:pPr>
            <w:r>
              <w:rPr>
                <w:rFonts w:hint="default" w:ascii="Times New Roman" w:hAnsi="Times New Roman" w:eastAsia="方正仿宋_GBK"/>
                <w:bCs/>
                <w:sz w:val="16"/>
                <w:szCs w:val="16"/>
              </w:rPr>
              <w:t>0</w:t>
            </w:r>
            <w:r>
              <w:rPr>
                <w:rFonts w:ascii="方正仿宋_GBK" w:hAnsi="方正仿宋_GBK" w:eastAsia="方正仿宋_GBK" w:cs="方正仿宋_GBK"/>
                <w:bCs/>
                <w:sz w:val="16"/>
                <w:szCs w:val="16"/>
              </w:rPr>
              <w:t>　</w:t>
            </w:r>
          </w:p>
        </w:tc>
        <w:tc>
          <w:tcPr>
            <w:tcW w:w="1914" w:type="dxa"/>
            <w:gridSpan w:val="2"/>
            <w:tcBorders>
              <w:top w:val="single" w:color="auto" w:sz="4" w:space="0"/>
              <w:left w:val="nil"/>
              <w:bottom w:val="single" w:color="auto" w:sz="4" w:space="0"/>
              <w:right w:val="single" w:color="auto" w:sz="4" w:space="0"/>
            </w:tcBorders>
            <w:shd w:val="clear" w:color="auto" w:fill="auto"/>
            <w:noWrap/>
            <w:vAlign w:val="center"/>
          </w:tcPr>
          <w:p>
            <w:pPr>
              <w:ind w:firstLine="160" w:firstLineChars="100"/>
              <w:jc w:val="right"/>
              <w:rPr>
                <w:rFonts w:hint="default" w:ascii="Times New Roman" w:hAnsi="Times New Roman" w:eastAsia="方正仿宋_GBK"/>
                <w:bCs/>
                <w:sz w:val="16"/>
                <w:szCs w:val="16"/>
              </w:rPr>
            </w:pPr>
            <w:r>
              <w:rPr>
                <w:rFonts w:hint="default" w:ascii="Times New Roman" w:hAnsi="Times New Roman" w:eastAsia="方正仿宋_GBK"/>
                <w:bCs/>
                <w:sz w:val="16"/>
                <w:szCs w:val="16"/>
              </w:rPr>
              <w:t>690500</w:t>
            </w:r>
            <w:r>
              <w:rPr>
                <w:rFonts w:ascii="方正仿宋_GBK" w:hAnsi="方正仿宋_GBK" w:eastAsia="方正仿宋_GBK" w:cs="方正仿宋_GBK"/>
                <w:bCs/>
                <w:sz w:val="16"/>
                <w:szCs w:val="16"/>
              </w:rPr>
              <w:t>　</w:t>
            </w:r>
          </w:p>
        </w:tc>
        <w:tc>
          <w:tcPr>
            <w:tcW w:w="1752" w:type="dxa"/>
            <w:gridSpan w:val="2"/>
            <w:tcBorders>
              <w:top w:val="single" w:color="auto" w:sz="4" w:space="0"/>
              <w:left w:val="nil"/>
              <w:bottom w:val="single" w:color="auto" w:sz="4" w:space="0"/>
              <w:right w:val="single" w:color="auto" w:sz="4" w:space="0"/>
            </w:tcBorders>
            <w:shd w:val="clear" w:color="auto" w:fill="auto"/>
            <w:noWrap/>
            <w:vAlign w:val="center"/>
          </w:tcPr>
          <w:p>
            <w:pPr>
              <w:ind w:firstLine="160" w:firstLineChars="100"/>
              <w:jc w:val="right"/>
              <w:rPr>
                <w:rFonts w:hint="default" w:ascii="Times New Roman" w:hAnsi="Times New Roman" w:eastAsia="方正仿宋_GBK"/>
                <w:bCs/>
                <w:sz w:val="16"/>
                <w:szCs w:val="16"/>
              </w:rPr>
            </w:pPr>
            <w:r>
              <w:rPr>
                <w:rFonts w:hint="default" w:ascii="Times New Roman" w:hAnsi="Times New Roman" w:eastAsia="方正仿宋_GBK"/>
                <w:bCs/>
                <w:sz w:val="16"/>
                <w:szCs w:val="16"/>
              </w:rPr>
              <w:t>690500</w:t>
            </w:r>
            <w:r>
              <w:rPr>
                <w:rFonts w:ascii="方正仿宋_GBK" w:hAnsi="方正仿宋_GBK" w:eastAsia="方正仿宋_GBK" w:cs="方正仿宋_GBK"/>
                <w:bCs/>
                <w:sz w:val="16"/>
                <w:szCs w:val="16"/>
              </w:rPr>
              <w:t>　</w:t>
            </w:r>
          </w:p>
        </w:tc>
        <w:tc>
          <w:tcPr>
            <w:tcW w:w="1791" w:type="dxa"/>
            <w:gridSpan w:val="2"/>
            <w:tcBorders>
              <w:top w:val="single" w:color="auto" w:sz="4" w:space="0"/>
              <w:left w:val="nil"/>
              <w:bottom w:val="single" w:color="auto" w:sz="4" w:space="0"/>
              <w:right w:val="single" w:color="auto" w:sz="4" w:space="0"/>
            </w:tcBorders>
            <w:shd w:val="clear" w:color="auto" w:fill="auto"/>
            <w:noWrap/>
            <w:vAlign w:val="center"/>
          </w:tcPr>
          <w:p>
            <w:pPr>
              <w:ind w:firstLine="160" w:firstLineChars="100"/>
              <w:jc w:val="right"/>
              <w:rPr>
                <w:rFonts w:hint="default" w:ascii="Times New Roman" w:hAnsi="Times New Roman" w:eastAsia="方正仿宋_GBK"/>
                <w:bCs/>
                <w:sz w:val="16"/>
                <w:szCs w:val="16"/>
              </w:rPr>
            </w:pPr>
            <w:r>
              <w:rPr>
                <w:rFonts w:hint="default" w:ascii="Times New Roman" w:hAnsi="Times New Roman" w:eastAsia="方正仿宋_GBK"/>
                <w:bCs/>
                <w:sz w:val="16"/>
                <w:szCs w:val="16"/>
              </w:rPr>
              <w:t>100</w:t>
            </w:r>
            <w:r>
              <w:rPr>
                <w:rFonts w:ascii="方正仿宋_GBK" w:hAnsi="方正仿宋_GBK" w:eastAsia="方正仿宋_GBK" w:cs="方正仿宋_GBK"/>
                <w:bCs/>
                <w:sz w:val="16"/>
                <w:szCs w:val="16"/>
              </w:rPr>
              <w:t>　</w:t>
            </w:r>
          </w:p>
        </w:tc>
        <w:tc>
          <w:tcPr>
            <w:tcW w:w="902" w:type="dxa"/>
            <w:tcBorders>
              <w:top w:val="nil"/>
              <w:left w:val="nil"/>
              <w:bottom w:val="single" w:color="auto" w:sz="4" w:space="0"/>
              <w:right w:val="single" w:color="auto" w:sz="4" w:space="0"/>
            </w:tcBorders>
            <w:shd w:val="clear" w:color="auto" w:fill="auto"/>
            <w:noWrap/>
            <w:vAlign w:val="center"/>
          </w:tcPr>
          <w:p>
            <w:pPr>
              <w:ind w:firstLine="160" w:firstLineChars="100"/>
              <w:jc w:val="right"/>
              <w:rPr>
                <w:rFonts w:hint="default" w:ascii="Times New Roman" w:hAnsi="Times New Roman" w:eastAsia="方正仿宋_GBK"/>
                <w:bCs/>
                <w:sz w:val="16"/>
                <w:szCs w:val="16"/>
              </w:rPr>
            </w:pPr>
            <w:r>
              <w:rPr>
                <w:rFonts w:hint="default" w:ascii="Times New Roman" w:hAnsi="Times New Roman" w:eastAsia="方正仿宋_GBK"/>
                <w:bCs/>
                <w:sz w:val="16"/>
                <w:szCs w:val="16"/>
              </w:rPr>
              <w:t>10.00</w:t>
            </w:r>
            <w:r>
              <w:rPr>
                <w:rFonts w:ascii="方正仿宋_GBK" w:hAnsi="方正仿宋_GBK" w:eastAsia="方正仿宋_GBK" w:cs="方正仿宋_GBK"/>
                <w:bCs/>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ind w:firstLine="160" w:firstLineChars="100"/>
              <w:jc w:val="right"/>
              <w:rPr>
                <w:rFonts w:hint="default" w:ascii="Times New Roman" w:hAnsi="Times New Roman" w:eastAsia="方正仿宋_GBK"/>
                <w:bCs/>
                <w:sz w:val="16"/>
                <w:szCs w:val="16"/>
              </w:rPr>
            </w:pPr>
            <w:r>
              <w:rPr>
                <w:rFonts w:hint="default" w:ascii="Times New Roman" w:hAnsi="Times New Roman" w:eastAsia="方正仿宋_GBK"/>
                <w:bCs/>
                <w:sz w:val="16"/>
                <w:szCs w:val="16"/>
              </w:rPr>
              <w:t>10</w:t>
            </w:r>
            <w:r>
              <w:rPr>
                <w:rFonts w:ascii="方正仿宋_GBK" w:hAnsi="方正仿宋_GBK" w:eastAsia="方正仿宋_GBK" w:cs="方正仿宋_GBK"/>
                <w:bCs/>
                <w:sz w:val="16"/>
                <w:szCs w:val="16"/>
              </w:rPr>
              <w:t>　</w:t>
            </w:r>
          </w:p>
        </w:tc>
      </w:tr>
      <w:tr>
        <w:tblPrEx>
          <w:tblLayout w:type="fixed"/>
          <w:tblCellMar>
            <w:top w:w="0" w:type="dxa"/>
            <w:left w:w="108" w:type="dxa"/>
            <w:bottom w:w="0" w:type="dxa"/>
            <w:right w:w="108" w:type="dxa"/>
          </w:tblCellMar>
        </w:tblPrEx>
        <w:trPr>
          <w:trHeight w:val="600" w:hRule="atLeast"/>
          <w:jc w:val="center"/>
        </w:trPr>
        <w:tc>
          <w:tcPr>
            <w:tcW w:w="11037"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微软雅黑" w:hAnsi="微软雅黑" w:eastAsia="微软雅黑"/>
                <w:bCs/>
                <w:sz w:val="28"/>
                <w:szCs w:val="28"/>
              </w:rPr>
            </w:pPr>
            <w:r>
              <w:rPr>
                <w:rFonts w:ascii="微软雅黑" w:hAnsi="微软雅黑" w:eastAsia="微软雅黑" w:cs="微软雅黑"/>
                <w:bCs/>
              </w:rPr>
              <w:t>绩效目标</w:t>
            </w:r>
          </w:p>
        </w:tc>
      </w:tr>
      <w:tr>
        <w:tblPrEx>
          <w:tblLayout w:type="fixed"/>
          <w:tblCellMar>
            <w:top w:w="0" w:type="dxa"/>
            <w:left w:w="108" w:type="dxa"/>
            <w:bottom w:w="0" w:type="dxa"/>
            <w:right w:w="108" w:type="dxa"/>
          </w:tblCellMar>
        </w:tblPrEx>
        <w:trPr>
          <w:trHeight w:val="499" w:hRule="atLeast"/>
          <w:jc w:val="center"/>
        </w:trPr>
        <w:tc>
          <w:tcPr>
            <w:tcW w:w="368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年初绩效目标</w:t>
            </w:r>
          </w:p>
        </w:tc>
        <w:tc>
          <w:tcPr>
            <w:tcW w:w="3666"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全年（调整）绩效目标</w:t>
            </w:r>
          </w:p>
        </w:tc>
        <w:tc>
          <w:tcPr>
            <w:tcW w:w="3685"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全年目标实际完成情况</w:t>
            </w:r>
          </w:p>
        </w:tc>
      </w:tr>
      <w:tr>
        <w:tblPrEx>
          <w:tblLayout w:type="fixed"/>
          <w:tblCellMar>
            <w:top w:w="0" w:type="dxa"/>
            <w:left w:w="108" w:type="dxa"/>
            <w:bottom w:w="0" w:type="dxa"/>
            <w:right w:w="108" w:type="dxa"/>
          </w:tblCellMar>
        </w:tblPrEx>
        <w:trPr>
          <w:trHeight w:val="1602" w:hRule="atLeast"/>
          <w:jc w:val="center"/>
        </w:trPr>
        <w:tc>
          <w:tcPr>
            <w:tcW w:w="3686" w:type="dxa"/>
            <w:gridSpan w:val="4"/>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c>
          <w:tcPr>
            <w:tcW w:w="3666" w:type="dxa"/>
            <w:gridSpan w:val="4"/>
            <w:tcBorders>
              <w:top w:val="single" w:color="auto" w:sz="4" w:space="0"/>
              <w:left w:val="nil"/>
              <w:bottom w:val="single" w:color="auto" w:sz="4" w:space="0"/>
              <w:right w:val="single" w:color="auto" w:sz="4" w:space="0"/>
            </w:tcBorders>
            <w:shd w:val="clear" w:color="auto" w:fill="auto"/>
          </w:tcPr>
          <w:p>
            <w:pP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新安装护栏</w:t>
            </w:r>
            <w:r>
              <w:rPr>
                <w:rFonts w:hint="default" w:ascii="Times New Roman" w:hAnsi="Times New Roman" w:eastAsia="方正仿宋_GBK"/>
                <w:bCs/>
                <w:sz w:val="16"/>
                <w:szCs w:val="16"/>
              </w:rPr>
              <w:t>9.854</w:t>
            </w:r>
            <w:r>
              <w:rPr>
                <w:rFonts w:ascii="方正仿宋_GBK" w:hAnsi="方正仿宋_GBK" w:eastAsia="方正仿宋_GBK" w:cs="方正仿宋_GBK"/>
                <w:bCs/>
                <w:sz w:val="16"/>
                <w:szCs w:val="16"/>
              </w:rPr>
              <w:t>公里，总投入</w:t>
            </w:r>
            <w:r>
              <w:rPr>
                <w:rFonts w:hint="default" w:ascii="Times New Roman" w:hAnsi="Times New Roman" w:eastAsia="方正仿宋_GBK"/>
                <w:bCs/>
                <w:sz w:val="16"/>
                <w:szCs w:val="16"/>
              </w:rPr>
              <w:t>3088875</w:t>
            </w:r>
            <w:r>
              <w:rPr>
                <w:rFonts w:ascii="方正仿宋_GBK" w:hAnsi="方正仿宋_GBK" w:eastAsia="方正仿宋_GBK" w:cs="方正仿宋_GBK"/>
                <w:bCs/>
                <w:sz w:val="16"/>
                <w:szCs w:val="16"/>
              </w:rPr>
              <w:t>元。</w:t>
            </w:r>
          </w:p>
        </w:tc>
        <w:tc>
          <w:tcPr>
            <w:tcW w:w="3685" w:type="dxa"/>
            <w:gridSpan w:val="4"/>
            <w:tcBorders>
              <w:top w:val="single" w:color="auto" w:sz="4" w:space="0"/>
              <w:left w:val="nil"/>
              <w:bottom w:val="single" w:color="auto" w:sz="4" w:space="0"/>
              <w:right w:val="single" w:color="auto" w:sz="4" w:space="0"/>
            </w:tcBorders>
            <w:shd w:val="clear" w:color="auto" w:fill="auto"/>
          </w:tcPr>
          <w:p>
            <w:pP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新安装护栏</w:t>
            </w:r>
            <w:r>
              <w:rPr>
                <w:rFonts w:hint="default" w:ascii="Times New Roman" w:hAnsi="Times New Roman" w:eastAsia="方正仿宋_GBK"/>
                <w:bCs/>
                <w:sz w:val="16"/>
                <w:szCs w:val="16"/>
              </w:rPr>
              <w:t>9.854</w:t>
            </w:r>
            <w:r>
              <w:rPr>
                <w:rFonts w:ascii="方正仿宋_GBK" w:hAnsi="方正仿宋_GBK" w:eastAsia="方正仿宋_GBK" w:cs="方正仿宋_GBK"/>
                <w:bCs/>
                <w:sz w:val="16"/>
                <w:szCs w:val="16"/>
              </w:rPr>
              <w:t>公里，总投入</w:t>
            </w:r>
            <w:r>
              <w:rPr>
                <w:rFonts w:hint="default" w:ascii="Times New Roman" w:hAnsi="Times New Roman" w:eastAsia="方正仿宋_GBK"/>
                <w:bCs/>
                <w:sz w:val="16"/>
                <w:szCs w:val="16"/>
              </w:rPr>
              <w:t>3088875</w:t>
            </w:r>
            <w:r>
              <w:rPr>
                <w:rFonts w:ascii="方正仿宋_GBK" w:hAnsi="方正仿宋_GBK" w:eastAsia="方正仿宋_GBK" w:cs="方正仿宋_GBK"/>
                <w:bCs/>
                <w:sz w:val="16"/>
                <w:szCs w:val="16"/>
              </w:rPr>
              <w:t>元。</w:t>
            </w:r>
          </w:p>
        </w:tc>
      </w:tr>
      <w:tr>
        <w:tblPrEx>
          <w:tblLayout w:type="fixed"/>
          <w:tblCellMar>
            <w:top w:w="0" w:type="dxa"/>
            <w:left w:w="108" w:type="dxa"/>
            <w:bottom w:w="0" w:type="dxa"/>
            <w:right w:w="108" w:type="dxa"/>
          </w:tblCellMar>
        </w:tblPrEx>
        <w:trPr>
          <w:trHeight w:val="600" w:hRule="atLeast"/>
          <w:jc w:val="center"/>
        </w:trPr>
        <w:tc>
          <w:tcPr>
            <w:tcW w:w="11037"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微软雅黑" w:hAnsi="微软雅黑" w:eastAsia="微软雅黑"/>
                <w:bCs/>
                <w:sz w:val="28"/>
                <w:szCs w:val="28"/>
              </w:rPr>
            </w:pPr>
            <w:r>
              <w:rPr>
                <w:rFonts w:ascii="微软雅黑" w:hAnsi="微软雅黑" w:eastAsia="微软雅黑" w:cs="微软雅黑"/>
                <w:bCs/>
              </w:rPr>
              <w:t>绩效指标</w:t>
            </w:r>
          </w:p>
        </w:tc>
      </w:tr>
      <w:tr>
        <w:tblPrEx>
          <w:tblLayout w:type="fixed"/>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指标</w:t>
            </w:r>
          </w:p>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名称</w:t>
            </w:r>
          </w:p>
        </w:tc>
        <w:tc>
          <w:tcPr>
            <w:tcW w:w="567"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计量单位</w:t>
            </w:r>
          </w:p>
        </w:tc>
        <w:tc>
          <w:tcPr>
            <w:tcW w:w="850"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指标</w:t>
            </w:r>
          </w:p>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性质</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指标值</w:t>
            </w:r>
          </w:p>
        </w:tc>
        <w:tc>
          <w:tcPr>
            <w:tcW w:w="1044"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全年完成值</w:t>
            </w:r>
          </w:p>
        </w:tc>
        <w:tc>
          <w:tcPr>
            <w:tcW w:w="870"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偏离度（</w:t>
            </w: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w:t>
            </w:r>
          </w:p>
        </w:tc>
        <w:tc>
          <w:tcPr>
            <w:tcW w:w="104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得分系数（</w:t>
            </w: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指标</w:t>
            </w:r>
          </w:p>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权重</w:t>
            </w:r>
          </w:p>
        </w:tc>
        <w:tc>
          <w:tcPr>
            <w:tcW w:w="79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指标</w:t>
            </w:r>
          </w:p>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得分</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是否核心指标</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说明</w:t>
            </w:r>
          </w:p>
        </w:tc>
      </w:tr>
      <w:tr>
        <w:tblPrEx>
          <w:tblLayout w:type="fixed"/>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安装里程</w:t>
            </w:r>
          </w:p>
        </w:tc>
        <w:tc>
          <w:tcPr>
            <w:tcW w:w="567"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公里　</w:t>
            </w:r>
          </w:p>
        </w:tc>
        <w:tc>
          <w:tcPr>
            <w:tcW w:w="850"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9.854</w:t>
            </w:r>
          </w:p>
        </w:tc>
        <w:tc>
          <w:tcPr>
            <w:tcW w:w="1044"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hint="default" w:ascii="Times New Roman" w:hAnsi="Times New Roman" w:eastAsia="方正仿宋_GBK"/>
                <w:bCs/>
                <w:sz w:val="16"/>
                <w:szCs w:val="16"/>
              </w:rPr>
              <w:t>9.854</w:t>
            </w:r>
            <w:r>
              <w:rPr>
                <w:rFonts w:ascii="方正仿宋_GBK" w:hAnsi="方正仿宋_GBK" w:eastAsia="方正仿宋_GBK" w:cs="方正仿宋_GBK"/>
                <w:bCs/>
                <w:sz w:val="16"/>
                <w:szCs w:val="16"/>
              </w:rPr>
              <w:t>　</w:t>
            </w:r>
          </w:p>
        </w:tc>
        <w:tc>
          <w:tcPr>
            <w:tcW w:w="870"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hint="default" w:ascii="Times New Roman" w:hAnsi="Times New Roman" w:eastAsia="方正仿宋_GBK"/>
                <w:bCs/>
                <w:sz w:val="16"/>
                <w:szCs w:val="16"/>
              </w:rPr>
              <w:t>0</w:t>
            </w:r>
            <w:r>
              <w:rPr>
                <w:rFonts w:ascii="方正仿宋_GBK" w:hAnsi="方正仿宋_GBK" w:eastAsia="方正仿宋_GBK" w:cs="方正仿宋_GBK"/>
                <w:bCs/>
                <w:sz w:val="16"/>
                <w:szCs w:val="16"/>
              </w:rPr>
              <w:t>　</w:t>
            </w:r>
          </w:p>
        </w:tc>
        <w:tc>
          <w:tcPr>
            <w:tcW w:w="104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100</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hint="default" w:ascii="Times New Roman" w:hAnsi="Times New Roman" w:eastAsia="方正仿宋_GBK"/>
                <w:bCs/>
                <w:sz w:val="16"/>
                <w:szCs w:val="16"/>
              </w:rPr>
              <w:t>20</w:t>
            </w:r>
            <w:r>
              <w:rPr>
                <w:rFonts w:ascii="方正仿宋_GBK" w:hAnsi="方正仿宋_GBK" w:eastAsia="方正仿宋_GBK" w:cs="方正仿宋_GBK"/>
                <w:bCs/>
                <w:sz w:val="16"/>
                <w:szCs w:val="16"/>
              </w:rPr>
              <w:t>　</w:t>
            </w:r>
          </w:p>
        </w:tc>
        <w:tc>
          <w:tcPr>
            <w:tcW w:w="79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hint="default" w:ascii="Times New Roman" w:hAnsi="Times New Roman" w:eastAsia="方正仿宋_GBK"/>
                <w:bCs/>
                <w:sz w:val="16"/>
                <w:szCs w:val="16"/>
              </w:rPr>
              <w:t>20</w:t>
            </w:r>
            <w:r>
              <w:rPr>
                <w:rFonts w:ascii="方正仿宋_GBK" w:hAnsi="方正仿宋_GBK" w:eastAsia="方正仿宋_GBK" w:cs="方正仿宋_GBK"/>
                <w:bCs/>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r>
      <w:tr>
        <w:tblPrEx>
          <w:tblLayout w:type="fixed"/>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工程质量</w:t>
            </w:r>
          </w:p>
        </w:tc>
        <w:tc>
          <w:tcPr>
            <w:tcW w:w="567"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c>
          <w:tcPr>
            <w:tcW w:w="850"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定性</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优　</w:t>
            </w:r>
          </w:p>
        </w:tc>
        <w:tc>
          <w:tcPr>
            <w:tcW w:w="1044"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1</w:t>
            </w:r>
          </w:p>
        </w:tc>
        <w:tc>
          <w:tcPr>
            <w:tcW w:w="870"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0</w:t>
            </w:r>
          </w:p>
        </w:tc>
        <w:tc>
          <w:tcPr>
            <w:tcW w:w="104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100</w:t>
            </w:r>
            <w:r>
              <w:rPr>
                <w:rFonts w:ascii="方正仿宋_GBK" w:hAnsi="方正仿宋_GBK" w:eastAsia="方正仿宋_GBK" w:cs="方正仿宋_GBK"/>
                <w:bCs/>
                <w:sz w:val="16"/>
                <w:szCs w:val="16"/>
              </w:rPr>
              <w:t>　</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20</w:t>
            </w:r>
          </w:p>
        </w:tc>
        <w:tc>
          <w:tcPr>
            <w:tcW w:w="79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20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r>
      <w:tr>
        <w:tblPrEx>
          <w:tblLayout w:type="fixed"/>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开工完工时间</w:t>
            </w:r>
          </w:p>
        </w:tc>
        <w:tc>
          <w:tcPr>
            <w:tcW w:w="567"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c>
          <w:tcPr>
            <w:tcW w:w="850"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定性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优</w:t>
            </w:r>
          </w:p>
        </w:tc>
        <w:tc>
          <w:tcPr>
            <w:tcW w:w="1044"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1</w:t>
            </w:r>
          </w:p>
        </w:tc>
        <w:tc>
          <w:tcPr>
            <w:tcW w:w="870"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hint="default" w:ascii="Times New Roman" w:hAnsi="Times New Roman" w:eastAsia="方正仿宋_GBK"/>
                <w:bCs/>
                <w:sz w:val="16"/>
                <w:szCs w:val="16"/>
              </w:rPr>
              <w:t>0</w:t>
            </w:r>
            <w:r>
              <w:rPr>
                <w:rFonts w:ascii="方正仿宋_GBK" w:hAnsi="方正仿宋_GBK" w:eastAsia="方正仿宋_GBK" w:cs="方正仿宋_GBK"/>
                <w:bCs/>
                <w:sz w:val="16"/>
                <w:szCs w:val="16"/>
              </w:rPr>
              <w:t>　</w:t>
            </w:r>
          </w:p>
        </w:tc>
        <w:tc>
          <w:tcPr>
            <w:tcW w:w="104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100</w:t>
            </w:r>
            <w:r>
              <w:rPr>
                <w:rFonts w:ascii="方正仿宋_GBK" w:hAnsi="方正仿宋_GBK" w:eastAsia="方正仿宋_GBK" w:cs="方正仿宋_GBK"/>
                <w:bCs/>
                <w:sz w:val="16"/>
                <w:szCs w:val="16"/>
              </w:rPr>
              <w:t>　</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10</w:t>
            </w:r>
          </w:p>
        </w:tc>
        <w:tc>
          <w:tcPr>
            <w:tcW w:w="79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10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r>
      <w:tr>
        <w:tblPrEx>
          <w:tblLayout w:type="fixed"/>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选用环保材料　</w:t>
            </w:r>
          </w:p>
        </w:tc>
        <w:tc>
          <w:tcPr>
            <w:tcW w:w="567"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c>
          <w:tcPr>
            <w:tcW w:w="850"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定性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优　</w:t>
            </w:r>
          </w:p>
        </w:tc>
        <w:tc>
          <w:tcPr>
            <w:tcW w:w="1044"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1</w:t>
            </w:r>
          </w:p>
        </w:tc>
        <w:tc>
          <w:tcPr>
            <w:tcW w:w="870"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hint="default" w:ascii="Times New Roman" w:hAnsi="Times New Roman" w:eastAsia="方正仿宋_GBK"/>
                <w:bCs/>
                <w:sz w:val="16"/>
                <w:szCs w:val="16"/>
              </w:rPr>
              <w:t>0</w:t>
            </w:r>
            <w:r>
              <w:rPr>
                <w:rFonts w:ascii="方正仿宋_GBK" w:hAnsi="方正仿宋_GBK" w:eastAsia="方正仿宋_GBK" w:cs="方正仿宋_GBK"/>
                <w:bCs/>
                <w:sz w:val="16"/>
                <w:szCs w:val="16"/>
              </w:rPr>
              <w:t>　</w:t>
            </w:r>
          </w:p>
        </w:tc>
        <w:tc>
          <w:tcPr>
            <w:tcW w:w="104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100</w:t>
            </w:r>
            <w:r>
              <w:rPr>
                <w:rFonts w:ascii="方正仿宋_GBK" w:hAnsi="方正仿宋_GBK" w:eastAsia="方正仿宋_GBK" w:cs="方正仿宋_GBK"/>
                <w:bCs/>
                <w:sz w:val="16"/>
                <w:szCs w:val="16"/>
              </w:rPr>
              <w:t>　</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10</w:t>
            </w:r>
          </w:p>
        </w:tc>
        <w:tc>
          <w:tcPr>
            <w:tcW w:w="79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10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r>
      <w:tr>
        <w:tblPrEx>
          <w:tblLayout w:type="fixed"/>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使用年限</w:t>
            </w:r>
          </w:p>
        </w:tc>
        <w:tc>
          <w:tcPr>
            <w:tcW w:w="567"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年</w:t>
            </w:r>
          </w:p>
        </w:tc>
        <w:tc>
          <w:tcPr>
            <w:tcW w:w="850"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hint="default" w:ascii="Times New Roman" w:hAnsi="Times New Roman" w:eastAsia="方正仿宋_GBK"/>
                <w:bCs/>
                <w:sz w:val="16"/>
                <w:szCs w:val="16"/>
              </w:rPr>
              <w:t>8</w:t>
            </w:r>
            <w:r>
              <w:rPr>
                <w:rFonts w:ascii="方正仿宋_GBK" w:hAnsi="方正仿宋_GBK" w:eastAsia="方正仿宋_GBK" w:cs="方正仿宋_GBK"/>
                <w:bCs/>
                <w:sz w:val="16"/>
                <w:szCs w:val="16"/>
              </w:rPr>
              <w:t>　</w:t>
            </w:r>
          </w:p>
        </w:tc>
        <w:tc>
          <w:tcPr>
            <w:tcW w:w="1044"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8</w:t>
            </w:r>
          </w:p>
        </w:tc>
        <w:tc>
          <w:tcPr>
            <w:tcW w:w="870"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hint="default" w:ascii="Times New Roman" w:hAnsi="Times New Roman" w:eastAsia="方正仿宋_GBK"/>
                <w:bCs/>
                <w:sz w:val="16"/>
                <w:szCs w:val="16"/>
              </w:rPr>
              <w:t>0</w:t>
            </w:r>
            <w:r>
              <w:rPr>
                <w:rFonts w:ascii="方正仿宋_GBK" w:hAnsi="方正仿宋_GBK" w:eastAsia="方正仿宋_GBK" w:cs="方正仿宋_GBK"/>
                <w:bCs/>
                <w:sz w:val="16"/>
                <w:szCs w:val="16"/>
              </w:rPr>
              <w:t>　</w:t>
            </w:r>
          </w:p>
        </w:tc>
        <w:tc>
          <w:tcPr>
            <w:tcW w:w="104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100</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10</w:t>
            </w:r>
          </w:p>
        </w:tc>
        <w:tc>
          <w:tcPr>
            <w:tcW w:w="79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10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r>
      <w:tr>
        <w:tblPrEx>
          <w:tblLayout w:type="fixed"/>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群众满意度</w:t>
            </w:r>
          </w:p>
        </w:tc>
        <w:tc>
          <w:tcPr>
            <w:tcW w:w="567"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　</w:t>
            </w:r>
          </w:p>
        </w:tc>
        <w:tc>
          <w:tcPr>
            <w:tcW w:w="850"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hint="default" w:ascii="Times New Roman" w:hAnsi="Times New Roman" w:eastAsia="方正仿宋_GBK"/>
                <w:bCs/>
                <w:sz w:val="16"/>
                <w:szCs w:val="16"/>
              </w:rPr>
              <w:t>90</w:t>
            </w:r>
            <w:r>
              <w:rPr>
                <w:rFonts w:ascii="方正仿宋_GBK" w:hAnsi="方正仿宋_GBK" w:eastAsia="方正仿宋_GBK" w:cs="方正仿宋_GBK"/>
                <w:bCs/>
                <w:sz w:val="16"/>
                <w:szCs w:val="16"/>
              </w:rPr>
              <w:t>　</w:t>
            </w:r>
          </w:p>
        </w:tc>
        <w:tc>
          <w:tcPr>
            <w:tcW w:w="1044"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90</w:t>
            </w:r>
          </w:p>
        </w:tc>
        <w:tc>
          <w:tcPr>
            <w:tcW w:w="870"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hint="default" w:ascii="Times New Roman" w:hAnsi="Times New Roman" w:eastAsia="方正仿宋_GBK"/>
                <w:bCs/>
                <w:sz w:val="16"/>
                <w:szCs w:val="16"/>
              </w:rPr>
              <w:t>0</w:t>
            </w:r>
            <w:r>
              <w:rPr>
                <w:rFonts w:ascii="方正仿宋_GBK" w:hAnsi="方正仿宋_GBK" w:eastAsia="方正仿宋_GBK" w:cs="方正仿宋_GBK"/>
                <w:bCs/>
                <w:sz w:val="16"/>
                <w:szCs w:val="16"/>
              </w:rPr>
              <w:t>　</w:t>
            </w:r>
          </w:p>
        </w:tc>
        <w:tc>
          <w:tcPr>
            <w:tcW w:w="104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100</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10</w:t>
            </w:r>
          </w:p>
        </w:tc>
        <w:tc>
          <w:tcPr>
            <w:tcW w:w="79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10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r>
      <w:tr>
        <w:tblPrEx>
          <w:tblLayout w:type="fixed"/>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每公里</w:t>
            </w:r>
            <w:r>
              <w:rPr>
                <w:rFonts w:hint="default" w:ascii="Times New Roman" w:hAnsi="Times New Roman" w:eastAsia="方正仿宋_GBK"/>
                <w:bCs/>
                <w:sz w:val="16"/>
                <w:szCs w:val="16"/>
              </w:rPr>
              <w:t>30</w:t>
            </w:r>
            <w:r>
              <w:rPr>
                <w:rFonts w:ascii="方正仿宋_GBK" w:hAnsi="方正仿宋_GBK" w:eastAsia="方正仿宋_GBK" w:cs="方正仿宋_GBK"/>
                <w:bCs/>
                <w:sz w:val="16"/>
                <w:szCs w:val="16"/>
              </w:rPr>
              <w:t>万元</w:t>
            </w:r>
          </w:p>
        </w:tc>
        <w:tc>
          <w:tcPr>
            <w:tcW w:w="567"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万元</w:t>
            </w: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公里　</w:t>
            </w:r>
          </w:p>
        </w:tc>
        <w:tc>
          <w:tcPr>
            <w:tcW w:w="850"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hint="default" w:ascii="Times New Roman" w:hAnsi="Times New Roman" w:eastAsia="方正仿宋_GBK"/>
                <w:bCs/>
                <w:sz w:val="16"/>
                <w:szCs w:val="16"/>
              </w:rPr>
              <w:t>≥</w:t>
            </w:r>
            <w:r>
              <w:rPr>
                <w:rFonts w:ascii="方正仿宋_GBK" w:hAnsi="方正仿宋_GBK" w:eastAsia="方正仿宋_GBK" w:cs="方正仿宋_GBK"/>
                <w:bCs/>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30</w:t>
            </w:r>
          </w:p>
        </w:tc>
        <w:tc>
          <w:tcPr>
            <w:tcW w:w="1044"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30</w:t>
            </w:r>
          </w:p>
        </w:tc>
        <w:tc>
          <w:tcPr>
            <w:tcW w:w="870"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hint="default" w:ascii="Times New Roman" w:hAnsi="Times New Roman" w:eastAsia="方正仿宋_GBK"/>
                <w:bCs/>
                <w:sz w:val="16"/>
                <w:szCs w:val="16"/>
              </w:rPr>
              <w:t>0</w:t>
            </w:r>
            <w:r>
              <w:rPr>
                <w:rFonts w:ascii="方正仿宋_GBK" w:hAnsi="方正仿宋_GBK" w:eastAsia="方正仿宋_GBK" w:cs="方正仿宋_GBK"/>
                <w:bCs/>
                <w:sz w:val="16"/>
                <w:szCs w:val="16"/>
              </w:rPr>
              <w:t>　</w:t>
            </w:r>
          </w:p>
        </w:tc>
        <w:tc>
          <w:tcPr>
            <w:tcW w:w="104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100</w:t>
            </w:r>
            <w:r>
              <w:rPr>
                <w:rFonts w:ascii="方正仿宋_GBK" w:hAnsi="方正仿宋_GBK" w:eastAsia="方正仿宋_GBK" w:cs="方正仿宋_GBK"/>
                <w:bCs/>
                <w:sz w:val="16"/>
                <w:szCs w:val="16"/>
              </w:rPr>
              <w:t>　</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10</w:t>
            </w:r>
          </w:p>
        </w:tc>
        <w:tc>
          <w:tcPr>
            <w:tcW w:w="79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r>
              <w:rPr>
                <w:rFonts w:hint="default" w:ascii="Times New Roman" w:hAnsi="Times New Roman" w:eastAsia="方正仿宋_GBK"/>
                <w:bCs/>
                <w:sz w:val="16"/>
                <w:szCs w:val="16"/>
              </w:rPr>
              <w:t>10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hint="default" w:ascii="Times New Roman" w:hAnsi="Times New Roman" w:eastAsia="方正仿宋_GBK"/>
                <w:bCs/>
                <w:sz w:val="16"/>
                <w:szCs w:val="16"/>
              </w:rPr>
            </w:pPr>
            <w:r>
              <w:rPr>
                <w:rFonts w:ascii="方正仿宋_GBK" w:hAnsi="方正仿宋_GBK" w:eastAsia="方正仿宋_GBK" w:cs="方正仿宋_GBK"/>
                <w:bCs/>
                <w:sz w:val="16"/>
                <w:szCs w:val="16"/>
              </w:rPr>
              <w:t>　</w:t>
            </w:r>
          </w:p>
        </w:tc>
      </w:tr>
      <w:tr>
        <w:tblPrEx>
          <w:tblLayout w:type="fixed"/>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ind w:firstLine="160" w:firstLineChars="100"/>
              <w:rPr>
                <w:rFonts w:hint="default"/>
                <w:bCs/>
                <w:sz w:val="16"/>
                <w:szCs w:val="16"/>
              </w:rPr>
            </w:pPr>
            <w:r>
              <w:rPr>
                <w:rFonts w:cs="宋体"/>
                <w:bCs/>
                <w:sz w:val="16"/>
                <w:szCs w:val="16"/>
              </w:rPr>
              <w:t>　</w:t>
            </w:r>
          </w:p>
        </w:tc>
        <w:tc>
          <w:tcPr>
            <w:tcW w:w="567" w:type="dxa"/>
            <w:tcBorders>
              <w:top w:val="nil"/>
              <w:left w:val="nil"/>
              <w:bottom w:val="single" w:color="auto" w:sz="4" w:space="0"/>
              <w:right w:val="single" w:color="auto" w:sz="4" w:space="0"/>
            </w:tcBorders>
            <w:shd w:val="clear" w:color="auto" w:fill="auto"/>
            <w:noWrap/>
            <w:vAlign w:val="center"/>
          </w:tcPr>
          <w:p>
            <w:pPr>
              <w:ind w:firstLine="160" w:firstLineChars="100"/>
              <w:rPr>
                <w:rFonts w:hint="default"/>
                <w:bCs/>
                <w:sz w:val="16"/>
                <w:szCs w:val="16"/>
              </w:rPr>
            </w:pPr>
            <w:r>
              <w:rPr>
                <w:rFonts w:cs="宋体"/>
                <w:bCs/>
                <w:sz w:val="16"/>
                <w:szCs w:val="16"/>
              </w:rPr>
              <w:t>　</w:t>
            </w:r>
          </w:p>
        </w:tc>
        <w:tc>
          <w:tcPr>
            <w:tcW w:w="850" w:type="dxa"/>
            <w:tcBorders>
              <w:top w:val="nil"/>
              <w:left w:val="nil"/>
              <w:bottom w:val="single" w:color="auto" w:sz="4" w:space="0"/>
              <w:right w:val="single" w:color="auto" w:sz="4" w:space="0"/>
            </w:tcBorders>
            <w:shd w:val="clear" w:color="auto" w:fill="auto"/>
            <w:noWrap/>
            <w:vAlign w:val="center"/>
          </w:tcPr>
          <w:p>
            <w:pPr>
              <w:ind w:firstLine="160" w:firstLineChars="100"/>
              <w:rPr>
                <w:rFonts w:hint="default"/>
                <w:bCs/>
                <w:sz w:val="16"/>
                <w:szCs w:val="16"/>
              </w:rPr>
            </w:pPr>
            <w:r>
              <w:rPr>
                <w:rFonts w:cs="宋体"/>
                <w:bCs/>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ind w:firstLine="160" w:firstLineChars="100"/>
              <w:jc w:val="right"/>
              <w:rPr>
                <w:rFonts w:hint="default"/>
                <w:bCs/>
                <w:sz w:val="16"/>
                <w:szCs w:val="16"/>
              </w:rPr>
            </w:pPr>
            <w:r>
              <w:rPr>
                <w:rFonts w:cs="宋体"/>
                <w:bCs/>
                <w:sz w:val="16"/>
                <w:szCs w:val="16"/>
              </w:rPr>
              <w:t>　</w:t>
            </w:r>
          </w:p>
        </w:tc>
        <w:tc>
          <w:tcPr>
            <w:tcW w:w="1044" w:type="dxa"/>
            <w:tcBorders>
              <w:top w:val="nil"/>
              <w:left w:val="nil"/>
              <w:bottom w:val="single" w:color="auto" w:sz="4" w:space="0"/>
              <w:right w:val="single" w:color="auto" w:sz="4" w:space="0"/>
            </w:tcBorders>
            <w:shd w:val="clear" w:color="auto" w:fill="auto"/>
            <w:noWrap/>
            <w:vAlign w:val="center"/>
          </w:tcPr>
          <w:p>
            <w:pPr>
              <w:ind w:firstLine="160" w:firstLineChars="100"/>
              <w:jc w:val="right"/>
              <w:rPr>
                <w:rFonts w:hint="default"/>
                <w:bCs/>
                <w:sz w:val="16"/>
                <w:szCs w:val="16"/>
              </w:rPr>
            </w:pPr>
            <w:r>
              <w:rPr>
                <w:rFonts w:cs="宋体"/>
                <w:bCs/>
                <w:sz w:val="16"/>
                <w:szCs w:val="16"/>
              </w:rPr>
              <w:t>　</w:t>
            </w:r>
          </w:p>
        </w:tc>
        <w:tc>
          <w:tcPr>
            <w:tcW w:w="870" w:type="dxa"/>
            <w:tcBorders>
              <w:top w:val="nil"/>
              <w:left w:val="nil"/>
              <w:bottom w:val="single" w:color="auto" w:sz="4" w:space="0"/>
              <w:right w:val="single" w:color="auto" w:sz="4" w:space="0"/>
            </w:tcBorders>
            <w:shd w:val="clear" w:color="auto" w:fill="auto"/>
            <w:noWrap/>
            <w:vAlign w:val="center"/>
          </w:tcPr>
          <w:p>
            <w:pPr>
              <w:ind w:firstLine="160" w:firstLineChars="100"/>
              <w:jc w:val="right"/>
              <w:rPr>
                <w:rFonts w:hint="default"/>
                <w:bCs/>
                <w:sz w:val="16"/>
                <w:szCs w:val="16"/>
              </w:rPr>
            </w:pPr>
            <w:r>
              <w:rPr>
                <w:rFonts w:cs="宋体"/>
                <w:bCs/>
                <w:sz w:val="16"/>
                <w:szCs w:val="16"/>
              </w:rPr>
              <w:t>　</w:t>
            </w:r>
          </w:p>
        </w:tc>
        <w:tc>
          <w:tcPr>
            <w:tcW w:w="1043" w:type="dxa"/>
            <w:tcBorders>
              <w:top w:val="nil"/>
              <w:left w:val="nil"/>
              <w:bottom w:val="single" w:color="auto" w:sz="4" w:space="0"/>
              <w:right w:val="single" w:color="auto" w:sz="4" w:space="0"/>
            </w:tcBorders>
            <w:shd w:val="clear" w:color="auto" w:fill="auto"/>
            <w:noWrap/>
            <w:vAlign w:val="center"/>
          </w:tcPr>
          <w:p>
            <w:pPr>
              <w:ind w:firstLine="160" w:firstLineChars="100"/>
              <w:jc w:val="right"/>
              <w:rPr>
                <w:rFonts w:hint="default"/>
                <w:bCs/>
                <w:sz w:val="16"/>
                <w:szCs w:val="16"/>
              </w:rPr>
            </w:pPr>
            <w:r>
              <w:rPr>
                <w:rFonts w:cs="宋体"/>
                <w:bCs/>
                <w:sz w:val="16"/>
                <w:szCs w:val="16"/>
              </w:rPr>
              <w:t>　</w:t>
            </w:r>
          </w:p>
        </w:tc>
        <w:tc>
          <w:tcPr>
            <w:tcW w:w="709" w:type="dxa"/>
            <w:tcBorders>
              <w:top w:val="nil"/>
              <w:left w:val="nil"/>
              <w:bottom w:val="single" w:color="auto" w:sz="4" w:space="0"/>
              <w:right w:val="single" w:color="auto" w:sz="4" w:space="0"/>
            </w:tcBorders>
            <w:shd w:val="clear" w:color="auto" w:fill="auto"/>
            <w:noWrap/>
            <w:vAlign w:val="center"/>
          </w:tcPr>
          <w:p>
            <w:pPr>
              <w:ind w:firstLine="160" w:firstLineChars="100"/>
              <w:jc w:val="right"/>
              <w:rPr>
                <w:rFonts w:hint="default"/>
                <w:bCs/>
                <w:sz w:val="16"/>
                <w:szCs w:val="16"/>
              </w:rPr>
            </w:pPr>
            <w:r>
              <w:rPr>
                <w:rFonts w:cs="宋体"/>
                <w:bCs/>
                <w:sz w:val="16"/>
                <w:szCs w:val="16"/>
              </w:rPr>
              <w:t>　</w:t>
            </w:r>
          </w:p>
        </w:tc>
        <w:tc>
          <w:tcPr>
            <w:tcW w:w="799" w:type="dxa"/>
            <w:tcBorders>
              <w:top w:val="nil"/>
              <w:left w:val="nil"/>
              <w:bottom w:val="single" w:color="auto" w:sz="4" w:space="0"/>
              <w:right w:val="single" w:color="auto" w:sz="4" w:space="0"/>
            </w:tcBorders>
            <w:shd w:val="clear" w:color="auto" w:fill="auto"/>
            <w:noWrap/>
            <w:vAlign w:val="center"/>
          </w:tcPr>
          <w:p>
            <w:pPr>
              <w:ind w:firstLine="160" w:firstLineChars="100"/>
              <w:jc w:val="right"/>
              <w:rPr>
                <w:rFonts w:hint="default"/>
                <w:bCs/>
                <w:sz w:val="16"/>
                <w:szCs w:val="16"/>
              </w:rPr>
            </w:pPr>
            <w:r>
              <w:rPr>
                <w:rFonts w:cs="宋体"/>
                <w:bCs/>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ind w:firstLine="160" w:firstLineChars="100"/>
              <w:rPr>
                <w:rFonts w:hint="default"/>
                <w:bCs/>
                <w:sz w:val="16"/>
                <w:szCs w:val="16"/>
              </w:rPr>
            </w:pPr>
            <w:r>
              <w:rPr>
                <w:rFonts w:cs="宋体"/>
                <w:bCs/>
                <w:sz w:val="16"/>
                <w:szCs w:val="16"/>
              </w:rPr>
              <w:t>　</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hint="default"/>
                <w:bCs/>
                <w:sz w:val="16"/>
                <w:szCs w:val="16"/>
              </w:rPr>
            </w:pPr>
            <w:r>
              <w:rPr>
                <w:rFonts w:cs="宋体"/>
                <w:bCs/>
                <w:sz w:val="16"/>
                <w:szCs w:val="16"/>
              </w:rPr>
              <w:t>　</w:t>
            </w:r>
          </w:p>
        </w:tc>
      </w:tr>
      <w:tr>
        <w:tblPrEx>
          <w:tblLayout w:type="fixed"/>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ind w:firstLine="160" w:firstLineChars="100"/>
              <w:rPr>
                <w:rFonts w:hint="default"/>
                <w:bCs/>
                <w:sz w:val="16"/>
                <w:szCs w:val="16"/>
              </w:rPr>
            </w:pPr>
            <w:r>
              <w:rPr>
                <w:rFonts w:cs="宋体"/>
                <w:bCs/>
                <w:sz w:val="16"/>
                <w:szCs w:val="16"/>
              </w:rPr>
              <w:t>　</w:t>
            </w:r>
          </w:p>
        </w:tc>
        <w:tc>
          <w:tcPr>
            <w:tcW w:w="567" w:type="dxa"/>
            <w:tcBorders>
              <w:top w:val="nil"/>
              <w:left w:val="nil"/>
              <w:bottom w:val="single" w:color="auto" w:sz="4" w:space="0"/>
              <w:right w:val="single" w:color="auto" w:sz="4" w:space="0"/>
            </w:tcBorders>
            <w:shd w:val="clear" w:color="auto" w:fill="auto"/>
            <w:noWrap/>
            <w:vAlign w:val="center"/>
          </w:tcPr>
          <w:p>
            <w:pPr>
              <w:ind w:firstLine="160" w:firstLineChars="100"/>
              <w:rPr>
                <w:rFonts w:hint="default"/>
                <w:bCs/>
                <w:sz w:val="16"/>
                <w:szCs w:val="16"/>
              </w:rPr>
            </w:pPr>
            <w:r>
              <w:rPr>
                <w:rFonts w:cs="宋体"/>
                <w:bCs/>
                <w:sz w:val="16"/>
                <w:szCs w:val="16"/>
              </w:rPr>
              <w:t>　</w:t>
            </w:r>
          </w:p>
        </w:tc>
        <w:tc>
          <w:tcPr>
            <w:tcW w:w="850" w:type="dxa"/>
            <w:tcBorders>
              <w:top w:val="nil"/>
              <w:left w:val="nil"/>
              <w:bottom w:val="single" w:color="auto" w:sz="4" w:space="0"/>
              <w:right w:val="single" w:color="auto" w:sz="4" w:space="0"/>
            </w:tcBorders>
            <w:shd w:val="clear" w:color="auto" w:fill="auto"/>
            <w:noWrap/>
            <w:vAlign w:val="center"/>
          </w:tcPr>
          <w:p>
            <w:pPr>
              <w:ind w:firstLine="160" w:firstLineChars="100"/>
              <w:rPr>
                <w:rFonts w:hint="default"/>
                <w:bCs/>
                <w:sz w:val="16"/>
                <w:szCs w:val="16"/>
              </w:rPr>
            </w:pPr>
            <w:r>
              <w:rPr>
                <w:rFonts w:cs="宋体"/>
                <w:bCs/>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ind w:firstLine="160" w:firstLineChars="100"/>
              <w:jc w:val="right"/>
              <w:rPr>
                <w:rFonts w:hint="default"/>
                <w:bCs/>
                <w:sz w:val="16"/>
                <w:szCs w:val="16"/>
              </w:rPr>
            </w:pPr>
            <w:r>
              <w:rPr>
                <w:rFonts w:cs="宋体"/>
                <w:bCs/>
                <w:sz w:val="16"/>
                <w:szCs w:val="16"/>
              </w:rPr>
              <w:t>　</w:t>
            </w:r>
          </w:p>
        </w:tc>
        <w:tc>
          <w:tcPr>
            <w:tcW w:w="1044" w:type="dxa"/>
            <w:tcBorders>
              <w:top w:val="nil"/>
              <w:left w:val="nil"/>
              <w:bottom w:val="single" w:color="auto" w:sz="4" w:space="0"/>
              <w:right w:val="single" w:color="auto" w:sz="4" w:space="0"/>
            </w:tcBorders>
            <w:shd w:val="clear" w:color="auto" w:fill="auto"/>
            <w:noWrap/>
            <w:vAlign w:val="center"/>
          </w:tcPr>
          <w:p>
            <w:pPr>
              <w:ind w:firstLine="160" w:firstLineChars="100"/>
              <w:jc w:val="right"/>
              <w:rPr>
                <w:rFonts w:hint="default"/>
                <w:bCs/>
                <w:sz w:val="16"/>
                <w:szCs w:val="16"/>
              </w:rPr>
            </w:pPr>
            <w:r>
              <w:rPr>
                <w:rFonts w:cs="宋体"/>
                <w:bCs/>
                <w:sz w:val="16"/>
                <w:szCs w:val="16"/>
              </w:rPr>
              <w:t>　</w:t>
            </w:r>
          </w:p>
        </w:tc>
        <w:tc>
          <w:tcPr>
            <w:tcW w:w="870" w:type="dxa"/>
            <w:tcBorders>
              <w:top w:val="nil"/>
              <w:left w:val="nil"/>
              <w:bottom w:val="single" w:color="auto" w:sz="4" w:space="0"/>
              <w:right w:val="single" w:color="auto" w:sz="4" w:space="0"/>
            </w:tcBorders>
            <w:shd w:val="clear" w:color="auto" w:fill="auto"/>
            <w:noWrap/>
            <w:vAlign w:val="center"/>
          </w:tcPr>
          <w:p>
            <w:pPr>
              <w:ind w:firstLine="160" w:firstLineChars="100"/>
              <w:jc w:val="right"/>
              <w:rPr>
                <w:rFonts w:hint="default"/>
                <w:bCs/>
                <w:sz w:val="16"/>
                <w:szCs w:val="16"/>
              </w:rPr>
            </w:pPr>
            <w:r>
              <w:rPr>
                <w:rFonts w:cs="宋体"/>
                <w:bCs/>
                <w:sz w:val="16"/>
                <w:szCs w:val="16"/>
              </w:rPr>
              <w:t>　</w:t>
            </w:r>
          </w:p>
        </w:tc>
        <w:tc>
          <w:tcPr>
            <w:tcW w:w="1043" w:type="dxa"/>
            <w:tcBorders>
              <w:top w:val="nil"/>
              <w:left w:val="nil"/>
              <w:bottom w:val="single" w:color="auto" w:sz="4" w:space="0"/>
              <w:right w:val="single" w:color="auto" w:sz="4" w:space="0"/>
            </w:tcBorders>
            <w:shd w:val="clear" w:color="auto" w:fill="auto"/>
            <w:noWrap/>
            <w:vAlign w:val="center"/>
          </w:tcPr>
          <w:p>
            <w:pPr>
              <w:ind w:firstLine="160" w:firstLineChars="100"/>
              <w:jc w:val="right"/>
              <w:rPr>
                <w:rFonts w:hint="default"/>
                <w:bCs/>
                <w:sz w:val="16"/>
                <w:szCs w:val="16"/>
              </w:rPr>
            </w:pPr>
            <w:r>
              <w:rPr>
                <w:rFonts w:cs="宋体"/>
                <w:bCs/>
                <w:sz w:val="16"/>
                <w:szCs w:val="16"/>
              </w:rPr>
              <w:t>　</w:t>
            </w:r>
          </w:p>
        </w:tc>
        <w:tc>
          <w:tcPr>
            <w:tcW w:w="709" w:type="dxa"/>
            <w:tcBorders>
              <w:top w:val="nil"/>
              <w:left w:val="nil"/>
              <w:bottom w:val="single" w:color="auto" w:sz="4" w:space="0"/>
              <w:right w:val="single" w:color="auto" w:sz="4" w:space="0"/>
            </w:tcBorders>
            <w:shd w:val="clear" w:color="auto" w:fill="auto"/>
            <w:noWrap/>
            <w:vAlign w:val="center"/>
          </w:tcPr>
          <w:p>
            <w:pPr>
              <w:ind w:firstLine="160" w:firstLineChars="100"/>
              <w:jc w:val="right"/>
              <w:rPr>
                <w:rFonts w:hint="default"/>
                <w:bCs/>
                <w:sz w:val="16"/>
                <w:szCs w:val="16"/>
              </w:rPr>
            </w:pPr>
            <w:r>
              <w:rPr>
                <w:rFonts w:cs="宋体"/>
                <w:bCs/>
                <w:sz w:val="16"/>
                <w:szCs w:val="16"/>
              </w:rPr>
              <w:t>　</w:t>
            </w:r>
          </w:p>
        </w:tc>
        <w:tc>
          <w:tcPr>
            <w:tcW w:w="799" w:type="dxa"/>
            <w:tcBorders>
              <w:top w:val="nil"/>
              <w:left w:val="nil"/>
              <w:bottom w:val="single" w:color="auto" w:sz="4" w:space="0"/>
              <w:right w:val="single" w:color="auto" w:sz="4" w:space="0"/>
            </w:tcBorders>
            <w:shd w:val="clear" w:color="auto" w:fill="auto"/>
            <w:noWrap/>
            <w:vAlign w:val="center"/>
          </w:tcPr>
          <w:p>
            <w:pPr>
              <w:ind w:firstLine="160" w:firstLineChars="100"/>
              <w:jc w:val="right"/>
              <w:rPr>
                <w:rFonts w:hint="default"/>
                <w:bCs/>
                <w:sz w:val="16"/>
                <w:szCs w:val="16"/>
              </w:rPr>
            </w:pPr>
            <w:r>
              <w:rPr>
                <w:rFonts w:cs="宋体"/>
                <w:bCs/>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ind w:firstLine="160" w:firstLineChars="100"/>
              <w:rPr>
                <w:rFonts w:hint="default"/>
                <w:bCs/>
                <w:sz w:val="16"/>
                <w:szCs w:val="16"/>
              </w:rPr>
            </w:pPr>
            <w:r>
              <w:rPr>
                <w:rFonts w:cs="宋体"/>
                <w:bCs/>
                <w:sz w:val="16"/>
                <w:szCs w:val="16"/>
              </w:rPr>
              <w:t>　</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hint="default"/>
                <w:bCs/>
                <w:sz w:val="16"/>
                <w:szCs w:val="16"/>
              </w:rPr>
            </w:pPr>
            <w:r>
              <w:rPr>
                <w:rFonts w:cs="宋体"/>
                <w:bCs/>
                <w:sz w:val="16"/>
                <w:szCs w:val="16"/>
              </w:rPr>
              <w:t>　</w:t>
            </w:r>
          </w:p>
        </w:tc>
      </w:tr>
      <w:tr>
        <w:tblPrEx>
          <w:tblLayout w:type="fixed"/>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ind w:firstLine="160" w:firstLineChars="100"/>
              <w:rPr>
                <w:rFonts w:hint="default"/>
                <w:bCs/>
                <w:sz w:val="16"/>
                <w:szCs w:val="16"/>
              </w:rPr>
            </w:pPr>
            <w:r>
              <w:rPr>
                <w:rFonts w:cs="宋体"/>
                <w:bCs/>
                <w:sz w:val="16"/>
                <w:szCs w:val="16"/>
              </w:rPr>
              <w:t>　</w:t>
            </w:r>
          </w:p>
        </w:tc>
        <w:tc>
          <w:tcPr>
            <w:tcW w:w="567" w:type="dxa"/>
            <w:tcBorders>
              <w:top w:val="nil"/>
              <w:left w:val="nil"/>
              <w:bottom w:val="single" w:color="auto" w:sz="4" w:space="0"/>
              <w:right w:val="single" w:color="auto" w:sz="4" w:space="0"/>
            </w:tcBorders>
            <w:shd w:val="clear" w:color="auto" w:fill="auto"/>
            <w:noWrap/>
            <w:vAlign w:val="center"/>
          </w:tcPr>
          <w:p>
            <w:pPr>
              <w:ind w:firstLine="160" w:firstLineChars="100"/>
              <w:rPr>
                <w:rFonts w:hint="default"/>
                <w:bCs/>
                <w:sz w:val="16"/>
                <w:szCs w:val="16"/>
              </w:rPr>
            </w:pPr>
            <w:r>
              <w:rPr>
                <w:rFonts w:cs="宋体"/>
                <w:bCs/>
                <w:sz w:val="16"/>
                <w:szCs w:val="16"/>
              </w:rPr>
              <w:t>　</w:t>
            </w:r>
          </w:p>
        </w:tc>
        <w:tc>
          <w:tcPr>
            <w:tcW w:w="850" w:type="dxa"/>
            <w:tcBorders>
              <w:top w:val="nil"/>
              <w:left w:val="nil"/>
              <w:bottom w:val="single" w:color="auto" w:sz="4" w:space="0"/>
              <w:right w:val="single" w:color="auto" w:sz="4" w:space="0"/>
            </w:tcBorders>
            <w:shd w:val="clear" w:color="auto" w:fill="auto"/>
            <w:noWrap/>
            <w:vAlign w:val="center"/>
          </w:tcPr>
          <w:p>
            <w:pPr>
              <w:ind w:firstLine="160" w:firstLineChars="100"/>
              <w:rPr>
                <w:rFonts w:hint="default"/>
                <w:bCs/>
                <w:sz w:val="16"/>
                <w:szCs w:val="16"/>
              </w:rPr>
            </w:pPr>
            <w:r>
              <w:rPr>
                <w:rFonts w:cs="宋体"/>
                <w:bCs/>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ind w:firstLine="160" w:firstLineChars="100"/>
              <w:jc w:val="right"/>
              <w:rPr>
                <w:rFonts w:hint="default"/>
                <w:bCs/>
                <w:sz w:val="16"/>
                <w:szCs w:val="16"/>
              </w:rPr>
            </w:pPr>
            <w:r>
              <w:rPr>
                <w:rFonts w:cs="宋体"/>
                <w:bCs/>
                <w:sz w:val="16"/>
                <w:szCs w:val="16"/>
              </w:rPr>
              <w:t>　</w:t>
            </w:r>
          </w:p>
        </w:tc>
        <w:tc>
          <w:tcPr>
            <w:tcW w:w="1044" w:type="dxa"/>
            <w:tcBorders>
              <w:top w:val="nil"/>
              <w:left w:val="nil"/>
              <w:bottom w:val="single" w:color="auto" w:sz="4" w:space="0"/>
              <w:right w:val="single" w:color="auto" w:sz="4" w:space="0"/>
            </w:tcBorders>
            <w:shd w:val="clear" w:color="auto" w:fill="auto"/>
            <w:noWrap/>
            <w:vAlign w:val="center"/>
          </w:tcPr>
          <w:p>
            <w:pPr>
              <w:ind w:firstLine="160" w:firstLineChars="100"/>
              <w:jc w:val="right"/>
              <w:rPr>
                <w:rFonts w:hint="default"/>
                <w:bCs/>
                <w:sz w:val="16"/>
                <w:szCs w:val="16"/>
              </w:rPr>
            </w:pPr>
            <w:r>
              <w:rPr>
                <w:rFonts w:cs="宋体"/>
                <w:bCs/>
                <w:sz w:val="16"/>
                <w:szCs w:val="16"/>
              </w:rPr>
              <w:t>　</w:t>
            </w:r>
          </w:p>
        </w:tc>
        <w:tc>
          <w:tcPr>
            <w:tcW w:w="870" w:type="dxa"/>
            <w:tcBorders>
              <w:top w:val="nil"/>
              <w:left w:val="nil"/>
              <w:bottom w:val="single" w:color="auto" w:sz="4" w:space="0"/>
              <w:right w:val="single" w:color="auto" w:sz="4" w:space="0"/>
            </w:tcBorders>
            <w:shd w:val="clear" w:color="auto" w:fill="auto"/>
            <w:noWrap/>
            <w:vAlign w:val="center"/>
          </w:tcPr>
          <w:p>
            <w:pPr>
              <w:ind w:firstLine="160" w:firstLineChars="100"/>
              <w:jc w:val="right"/>
              <w:rPr>
                <w:rFonts w:hint="default"/>
                <w:bCs/>
                <w:sz w:val="16"/>
                <w:szCs w:val="16"/>
              </w:rPr>
            </w:pPr>
            <w:r>
              <w:rPr>
                <w:rFonts w:cs="宋体"/>
                <w:bCs/>
                <w:sz w:val="16"/>
                <w:szCs w:val="16"/>
              </w:rPr>
              <w:t>　</w:t>
            </w:r>
          </w:p>
        </w:tc>
        <w:tc>
          <w:tcPr>
            <w:tcW w:w="1043" w:type="dxa"/>
            <w:tcBorders>
              <w:top w:val="nil"/>
              <w:left w:val="nil"/>
              <w:bottom w:val="single" w:color="auto" w:sz="4" w:space="0"/>
              <w:right w:val="single" w:color="auto" w:sz="4" w:space="0"/>
            </w:tcBorders>
            <w:shd w:val="clear" w:color="auto" w:fill="auto"/>
            <w:noWrap/>
            <w:vAlign w:val="center"/>
          </w:tcPr>
          <w:p>
            <w:pPr>
              <w:ind w:firstLine="160" w:firstLineChars="100"/>
              <w:jc w:val="right"/>
              <w:rPr>
                <w:rFonts w:hint="default"/>
                <w:bCs/>
                <w:sz w:val="16"/>
                <w:szCs w:val="16"/>
              </w:rPr>
            </w:pPr>
            <w:r>
              <w:rPr>
                <w:rFonts w:cs="宋体"/>
                <w:bCs/>
                <w:sz w:val="16"/>
                <w:szCs w:val="16"/>
              </w:rPr>
              <w:t>　</w:t>
            </w:r>
          </w:p>
        </w:tc>
        <w:tc>
          <w:tcPr>
            <w:tcW w:w="709" w:type="dxa"/>
            <w:tcBorders>
              <w:top w:val="nil"/>
              <w:left w:val="nil"/>
              <w:bottom w:val="single" w:color="auto" w:sz="4" w:space="0"/>
              <w:right w:val="single" w:color="auto" w:sz="4" w:space="0"/>
            </w:tcBorders>
            <w:shd w:val="clear" w:color="auto" w:fill="auto"/>
            <w:noWrap/>
            <w:vAlign w:val="center"/>
          </w:tcPr>
          <w:p>
            <w:pPr>
              <w:ind w:firstLine="160" w:firstLineChars="100"/>
              <w:jc w:val="right"/>
              <w:rPr>
                <w:rFonts w:hint="default"/>
                <w:bCs/>
                <w:sz w:val="16"/>
                <w:szCs w:val="16"/>
              </w:rPr>
            </w:pPr>
            <w:r>
              <w:rPr>
                <w:rFonts w:cs="宋体"/>
                <w:bCs/>
                <w:sz w:val="16"/>
                <w:szCs w:val="16"/>
              </w:rPr>
              <w:t>　</w:t>
            </w:r>
          </w:p>
        </w:tc>
        <w:tc>
          <w:tcPr>
            <w:tcW w:w="799" w:type="dxa"/>
            <w:tcBorders>
              <w:top w:val="nil"/>
              <w:left w:val="nil"/>
              <w:bottom w:val="single" w:color="auto" w:sz="4" w:space="0"/>
              <w:right w:val="single" w:color="auto" w:sz="4" w:space="0"/>
            </w:tcBorders>
            <w:shd w:val="clear" w:color="auto" w:fill="auto"/>
            <w:noWrap/>
            <w:vAlign w:val="center"/>
          </w:tcPr>
          <w:p>
            <w:pPr>
              <w:ind w:firstLine="160" w:firstLineChars="100"/>
              <w:jc w:val="right"/>
              <w:rPr>
                <w:rFonts w:hint="default"/>
                <w:bCs/>
                <w:sz w:val="16"/>
                <w:szCs w:val="16"/>
              </w:rPr>
            </w:pPr>
            <w:r>
              <w:rPr>
                <w:rFonts w:cs="宋体"/>
                <w:bCs/>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ind w:firstLine="160" w:firstLineChars="100"/>
              <w:rPr>
                <w:rFonts w:hint="default"/>
                <w:bCs/>
                <w:sz w:val="16"/>
                <w:szCs w:val="16"/>
              </w:rPr>
            </w:pPr>
            <w:r>
              <w:rPr>
                <w:rFonts w:cs="宋体"/>
                <w:bCs/>
                <w:sz w:val="16"/>
                <w:szCs w:val="16"/>
              </w:rPr>
              <w:t>　</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hint="default"/>
                <w:bCs/>
                <w:sz w:val="16"/>
                <w:szCs w:val="16"/>
              </w:rPr>
            </w:pPr>
            <w:r>
              <w:rPr>
                <w:rFonts w:cs="宋体"/>
                <w:bCs/>
                <w:sz w:val="16"/>
                <w:szCs w:val="16"/>
              </w:rPr>
              <w:t>　</w:t>
            </w:r>
          </w:p>
        </w:tc>
      </w:tr>
    </w:tbl>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2.绩效自评报告或案例</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我单位未委托第三方开展绩效自评。</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3. 关于绩效自评结果的说明</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我单位绩效自评均已完成年度绩效目标。</w:t>
      </w:r>
    </w:p>
    <w:p>
      <w:pPr>
        <w:spacing w:line="560" w:lineRule="exact"/>
        <w:ind w:firstLine="640" w:firstLineChars="200"/>
        <w:rPr>
          <w:rFonts w:hint="default" w:ascii="方正楷体_GBK" w:hAnsi="方正楷体_GBK" w:eastAsia="方正楷体_GBK" w:cs="方正楷体_GBK"/>
          <w:sz w:val="32"/>
          <w:szCs w:val="32"/>
        </w:rPr>
      </w:pPr>
      <w:r>
        <w:rPr>
          <w:rFonts w:ascii="方正楷体_GBK" w:hAnsi="方正楷体_GBK" w:eastAsia="方正楷体_GBK" w:cs="方正楷体_GBK"/>
          <w:sz w:val="32"/>
          <w:szCs w:val="32"/>
        </w:rPr>
        <w:t>（三）重点绩效评价结果</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我单位未委托第三方开展重点绩效评价。</w:t>
      </w:r>
    </w:p>
    <w:p>
      <w:pPr>
        <w:spacing w:line="560" w:lineRule="exact"/>
        <w:ind w:firstLine="640" w:firstLineChars="200"/>
        <w:rPr>
          <w:rFonts w:hint="default" w:ascii="方正黑体_GBK" w:hAnsi="方正黑体_GBK" w:eastAsia="方正黑体_GBK" w:cs="方正黑体_GBK"/>
          <w:sz w:val="32"/>
          <w:szCs w:val="32"/>
        </w:rPr>
      </w:pPr>
      <w:r>
        <w:rPr>
          <w:rFonts w:ascii="方正黑体_GBK" w:hAnsi="方正黑体_GBK" w:eastAsia="方正黑体_GBK" w:cs="方正黑体_GBK"/>
          <w:sz w:val="32"/>
          <w:szCs w:val="32"/>
        </w:rPr>
        <w:t>六、专业名词解释</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（一）财政拨款收入：指本年度从本级财政部门取得的财政拨款，包括一般公共预算财政拨款和政府性基金预算财政拨款。</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（二）事业收入：指事业单位开展专业业务活动及其辅助活动取得的现金流入；事业单位收到的财政专户实际核拨的教育收费等资金在此反映。</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（三）经营收入：指事业单位在专业业务活动及其辅助活动之外开展非独立核算经营活动取得的现金流入。</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（五）使用非财政拨款结余：指单位在当年的“财政拨款收入”、“事业收入”、“经营收入”、“其他收入”等不足以安排当年支出的情况下，使用以前年度积累的非财政拨款结余弥补本年度收支缺口的资金。</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（六）年初结转和结余：指单位上年结转本年使用的基本支出结转、项目支出结转和结余、经营结余。</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（七）结余分配：指单位按照国家有关规定，缴纳所得税、提取专用基金、转入非财政拨款结余等当年结余的分配情况。</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（八）年末结转和结余：指单位结转下年的基本支出结转、项目支出结转和结余、经营结余。</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（十）项目支出：指在基本支出之外为完成特定行政任务和事业发展目标所发生的支出。</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（十一）经营支出：指事业单位在专业业务活动及其辅助活动之外开展非独立核算经营活动发生的支出。</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十二）“三公”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（十四）工资福利支出（支出经济分类科目类级）：反映单位开支的在职职工和编制外长期聘用人员的各类劳动报酬，以及为上述人员缴纳的各项社会保险费等。</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（十五）商品和服务支出（支出经济分类科目类级）：反映单位购买商品和服务的支出（不包括用于购置固定资产的支出、战略性和应急储备支出）。</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（十六）对个人和家庭的补助（支出经济分类科目类级）：反映用于对个人和家庭的补助支出。</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spacing w:line="560" w:lineRule="exact"/>
        <w:ind w:firstLine="640" w:firstLineChars="200"/>
        <w:rPr>
          <w:rFonts w:hint="default" w:ascii="方正黑体_GBK" w:hAnsi="方正黑体_GBK" w:eastAsia="方正黑体_GBK" w:cs="方正黑体_GBK"/>
          <w:sz w:val="32"/>
          <w:szCs w:val="32"/>
        </w:rPr>
      </w:pPr>
      <w:r>
        <w:rPr>
          <w:rFonts w:ascii="方正黑体_GBK" w:hAnsi="方正黑体_GBK" w:eastAsia="方正黑体_GBK" w:cs="方正黑体_GBK"/>
          <w:sz w:val="32"/>
          <w:szCs w:val="32"/>
        </w:rPr>
        <w:t>七、决算公开联系方式及信息反馈渠道</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本单位决算公开信息反馈和联系方式：</w:t>
      </w:r>
    </w:p>
    <w:p>
      <w:pPr>
        <w:spacing w:line="56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 xml:space="preserve">冉艳红   023-70689038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3NTdiNzJjOTA1N2ExYWY5OGM1Yzg4NDkyN2QyZTYifQ=="/>
  </w:docVars>
  <w:rsids>
    <w:rsidRoot w:val="0000122B"/>
    <w:rsid w:val="0000122B"/>
    <w:rsid w:val="00176399"/>
    <w:rsid w:val="00E97043"/>
    <w:rsid w:val="02D83B9C"/>
    <w:rsid w:val="05CF4FEE"/>
    <w:rsid w:val="1E4B7EA0"/>
    <w:rsid w:val="1F5B2378"/>
    <w:rsid w:val="25B228D3"/>
    <w:rsid w:val="2C452CE2"/>
    <w:rsid w:val="2DCF04CD"/>
    <w:rsid w:val="2E030DD9"/>
    <w:rsid w:val="39324511"/>
    <w:rsid w:val="49175C14"/>
    <w:rsid w:val="5C275DF1"/>
    <w:rsid w:val="674613DC"/>
    <w:rsid w:val="76516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unhideWhenUsed/>
    <w:uiPriority w:val="99"/>
    <w:rPr>
      <w:rFonts w:hint="eastAsia" w:ascii="宋体" w:hAnsi="宋体" w:eastAsia="宋体" w:cs="Times New Roman"/>
      <w:sz w:val="24"/>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uiPriority w:val="0"/>
    <w:pPr>
      <w:ind w:firstLine="420" w:firstLineChars="200"/>
    </w:pPr>
  </w:style>
  <w:style w:type="paragraph" w:styleId="3">
    <w:name w:val="footer"/>
    <w:basedOn w:val="1"/>
    <w:link w:val="11"/>
    <w:qFormat/>
    <w:uiPriority w:val="0"/>
    <w:pPr>
      <w:tabs>
        <w:tab w:val="center" w:pos="4153"/>
        <w:tab w:val="right" w:pos="8306"/>
      </w:tabs>
      <w:snapToGrid w:val="0"/>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pPr>
  </w:style>
  <w:style w:type="paragraph" w:customStyle="1" w:styleId="8">
    <w:name w:val="普通(网站) Char"/>
    <w:basedOn w:val="1"/>
    <w:qFormat/>
    <w:uiPriority w:val="0"/>
    <w:pPr>
      <w:spacing w:beforeAutospacing="1" w:afterAutospacing="1"/>
    </w:pPr>
  </w:style>
  <w:style w:type="character" w:customStyle="1" w:styleId="9">
    <w:name w:val="15"/>
    <w:basedOn w:val="7"/>
    <w:qFormat/>
    <w:uiPriority w:val="0"/>
    <w:rPr>
      <w:rFonts w:hint="default" w:ascii="Times New Roman" w:hAnsi="Times New Roman" w:cs="Times New Roman"/>
      <w:b/>
    </w:rPr>
  </w:style>
  <w:style w:type="character" w:customStyle="1" w:styleId="10">
    <w:name w:val="页眉 字符"/>
    <w:basedOn w:val="7"/>
    <w:link w:val="4"/>
    <w:qFormat/>
    <w:uiPriority w:val="0"/>
    <w:rPr>
      <w:rFonts w:ascii="宋体" w:hAnsi="宋体" w:eastAsia="宋体" w:cs="Times New Roman"/>
      <w:sz w:val="18"/>
      <w:szCs w:val="18"/>
    </w:rPr>
  </w:style>
  <w:style w:type="character" w:customStyle="1" w:styleId="11">
    <w:name w:val="页脚 字符"/>
    <w:basedOn w:val="7"/>
    <w:link w:val="3"/>
    <w:qFormat/>
    <w:uiPriority w:val="0"/>
    <w:rPr>
      <w:rFonts w:ascii="宋体" w:hAnsi="宋体"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1377</Words>
  <Characters>7852</Characters>
  <Lines>65</Lines>
  <Paragraphs>18</Paragraphs>
  <TotalTime>12</TotalTime>
  <ScaleCrop>false</ScaleCrop>
  <LinksUpToDate>false</LinksUpToDate>
  <CharactersWithSpaces>9211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2023-09-13T02:47:00Z</dcterms:created>
  <dc:creator>Administrator.PC-20230811EHOT</dc:creator>
  <cp:lastModifiedBy>Administrator</cp:lastModifiedBy>
  <dcterms:modified xsi:type="dcterms:W3CDTF">2023-12-20T07:14:14Z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BFFDA1BEE12C4420B3BEF998F9B6B112_12</vt:lpwstr>
  </property>
</Properties>
</file>