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bidi w:val="0"/>
        <w:spacing w:beforeAutospacing="0" w:after="180" w:afterAutospacing="0" w:line="600" w:lineRule="exact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pacing w:val="-15"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pacing w:val="-15"/>
          <w:sz w:val="44"/>
          <w:szCs w:val="44"/>
          <w:shd w:val="clear" w:color="auto" w:fill="FFFFFF"/>
        </w:rPr>
        <w:t>关于</w:t>
      </w:r>
      <w:r>
        <w:rPr>
          <w:rStyle w:val="7"/>
          <w:rFonts w:hint="eastAsia" w:ascii="方正小标宋_GBK" w:hAnsi="Times New Roman" w:eastAsia="方正小标宋_GBK"/>
          <w:b w:val="0"/>
          <w:color w:val="333333"/>
          <w:spacing w:val="-15"/>
          <w:sz w:val="44"/>
          <w:szCs w:val="44"/>
          <w:shd w:val="clear" w:color="auto" w:fill="FFFFFF"/>
        </w:rPr>
        <w:t>2023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pacing w:val="-15"/>
          <w:sz w:val="44"/>
          <w:szCs w:val="44"/>
          <w:shd w:val="clear" w:color="auto" w:fill="FFFFFF"/>
        </w:rPr>
        <w:t>年财政预算执行情况和</w:t>
      </w:r>
      <w:r>
        <w:rPr>
          <w:rStyle w:val="7"/>
          <w:rFonts w:hint="eastAsia" w:ascii="方正小标宋_GBK" w:hAnsi="Times New Roman" w:eastAsia="方正小标宋_GBK"/>
          <w:b w:val="0"/>
          <w:color w:val="333333"/>
          <w:spacing w:val="-15"/>
          <w:sz w:val="44"/>
          <w:szCs w:val="44"/>
          <w:shd w:val="clear" w:color="auto" w:fill="FFFFFF"/>
        </w:rPr>
        <w:t>2024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pacing w:val="-15"/>
          <w:sz w:val="44"/>
          <w:szCs w:val="44"/>
          <w:shd w:val="clear" w:color="auto" w:fill="FFFFFF"/>
        </w:rPr>
        <w:t>年财政预算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pacing w:val="-15"/>
          <w:sz w:val="44"/>
          <w:szCs w:val="44"/>
          <w:shd w:val="clear" w:color="auto" w:fill="FFFFFF"/>
          <w:lang w:val="en-US" w:eastAsia="zh-CN"/>
        </w:rPr>
        <w:t>草案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pacing w:val="-15"/>
          <w:sz w:val="44"/>
          <w:szCs w:val="44"/>
          <w:shd w:val="clear" w:color="auto" w:fill="FFFFFF"/>
        </w:rPr>
        <w:t>的报告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bidi w:val="0"/>
        <w:spacing w:beforeAutospacing="0" w:after="180" w:afterAutospacing="0" w:line="600" w:lineRule="exact"/>
        <w:jc w:val="center"/>
        <w:textAlignment w:val="auto"/>
        <w:rPr>
          <w:rFonts w:hint="eastAsia" w:ascii="方正仿宋_GBK" w:eastAsia="方正仿宋_GBK" w:cstheme="minorBidi"/>
          <w:sz w:val="32"/>
          <w:szCs w:val="32"/>
          <w:lang w:eastAsia="zh-CN"/>
        </w:rPr>
      </w:pPr>
      <w:r>
        <w:rPr>
          <w:rStyle w:val="7"/>
          <w:rFonts w:hint="eastAsia" w:ascii="方正楷体_GBK" w:hAnsi="方正楷体_GBK" w:eastAsia="方正楷体_GBK" w:cs="方正楷体_GBK"/>
          <w:b w:val="0"/>
          <w:color w:val="333333"/>
          <w:spacing w:val="-15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600" w:lineRule="exact"/>
        <w:textAlignment w:val="auto"/>
        <w:rPr>
          <w:rFonts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各位代表：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方正小标宋_GBK" w:hAnsi="方正小标宋_GBK" w:eastAsia="方正小标宋_GBK" w:cs="方正小标宋_GBK"/>
          <w:color w:val="333333"/>
          <w:spacing w:val="-15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2023年是全面贯彻党的二十大精神的开局之年，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是全面建设社会主义现代化新重庆的起步之年，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青龙乡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党委政府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委、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政府的领导下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以习近平新时代中国特色社会主义思想为指导，全面贯彻党的二十大精神和党中央决策部署，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  <w:t>扎实做好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各项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  <w:t>工作，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在确保财政运行总体平稳的基础上，较好地完成了202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财政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预算任务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  <w:t>实现了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党的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二十大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  <w:t>良好开局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。现将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丰都县青龙乡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年财政预算执行情况和202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年财政预算草案的报告提请大会审议，请各位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参会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代表提出意见。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ascii="方正黑体_GBK" w:eastAsia="方正黑体_GBK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/>
          <w:color w:val="000000"/>
          <w:kern w:val="0"/>
          <w:sz w:val="32"/>
          <w:szCs w:val="32"/>
        </w:rPr>
        <w:t>一、2023年财政预算执行情况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ascii="方正楷体_GBK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（一）一般公共预算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ascii="方正仿宋_GBK" w:hAnsi="Times New Roman" w:eastAsia="方正仿宋_GBK" w:cs="Times New Roman"/>
          <w:b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1.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收入情况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2023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青龙乡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一般公共预算收入总计为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2598.1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万元，为年度预算数的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100%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，同比增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110.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万元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/>
          <w:kern w:val="0"/>
          <w:sz w:val="32"/>
          <w:szCs w:val="32"/>
        </w:rPr>
        <w:t>2.</w:t>
      </w:r>
      <w:r>
        <w:rPr>
          <w:rFonts w:hint="eastAsia" w:ascii="方正仿宋_GBK" w:eastAsia="方正仿宋_GBK"/>
          <w:kern w:val="0"/>
          <w:sz w:val="32"/>
          <w:szCs w:val="32"/>
        </w:rPr>
        <w:t>支出情况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2023</w:t>
      </w:r>
      <w:r>
        <w:rPr>
          <w:rFonts w:hint="eastAsia" w:ascii="方正仿宋_GBK" w:eastAsia="方正仿宋_GBK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青龙乡</w:t>
      </w:r>
      <w:r>
        <w:rPr>
          <w:rFonts w:hint="eastAsia" w:ascii="方正仿宋_GBK" w:eastAsia="方正仿宋_GBK"/>
          <w:kern w:val="0"/>
          <w:sz w:val="32"/>
          <w:szCs w:val="32"/>
        </w:rPr>
        <w:t>一般公共预算支出总计为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2598.1</w:t>
      </w:r>
      <w:r>
        <w:rPr>
          <w:rFonts w:hint="eastAsia" w:ascii="方正仿宋_GBK" w:eastAsia="方正仿宋_GBK"/>
          <w:kern w:val="0"/>
          <w:sz w:val="32"/>
          <w:szCs w:val="32"/>
        </w:rPr>
        <w:t>万元,为年度预算数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100%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，同比增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110.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万元</w:t>
      </w:r>
      <w:r>
        <w:rPr>
          <w:rFonts w:hint="eastAsia" w:ascii="方正仿宋_GBK" w:eastAsia="方正仿宋_GBK"/>
          <w:kern w:val="0"/>
          <w:sz w:val="32"/>
          <w:szCs w:val="32"/>
        </w:rPr>
        <w:t>。支出分项情况如下：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（1）一般公共服务支出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415.73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万元，主要用于保障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党政机关、人大、机关事业单位履职运转等事务。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国防支出3.31万元，主要用于武装规范化建设、兵员征集等事务。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）文化体育与传媒支出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40.48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群众文化、茶文化节活动、乡文化服务中心免费开放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等事务。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）社会保障和就业支出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269.4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万元，主要用于特困低保救助、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基层政权建设和社区治理、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退役军人事务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养老支出等事务。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）卫生健康支出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31.33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机关事业单位医疗、其他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城乡居民医疗保险等事务。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城乡社区支出71.07万元，主要用于场镇清扫保洁、乡镇场镇升级改造、人居环境综合整治等事务。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）农林水支出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1246.98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万元，主要用于乡村振兴战略、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病虫害控制、农村基础设施建设、农业生态资源保护、林业草原防灾减灾、水利工程运行及维护、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耕地地力保护等事务。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）交通运输支出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229.6万元，主要用于黑花生产业路、青龙乡瓦屋山至十直龙头农村公路、滑翔伞基地旅游路、公路养护补助、交通综合执法等事务。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自然资源海洋气象支出47万元，主要用于松材线虫防治、国土绿化等事务。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）住房保障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35.4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住房改革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等事务。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）灾害防治及应急管理支出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28.8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道路滑坡临时措施、排危处理、道路塌方治理、村道塌陷断裂路段整治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等事务。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textAlignment w:val="auto"/>
        <w:rPr>
          <w:rFonts w:hint="default" w:eastAsia="方正仿宋_GBK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（12）债务还本支出179万元，主要用于黄岭村通畅工程、青龙乡村道改建工程等事务。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ascii="方正楷体_GBK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（二）政府性基金预算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ascii="方正仿宋_GBK" w:hAnsi="Times New Roman" w:eastAsia="方正仿宋_GBK" w:cs="Times New Roman"/>
          <w:b/>
          <w:kern w:val="0"/>
          <w:sz w:val="32"/>
          <w:szCs w:val="32"/>
          <w:highlight w:val="none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1.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收入情况。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2023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青龙乡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政府性基金预算收入总计为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27.13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万元，为年度预算数的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%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，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同比增加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万元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/>
          <w:kern w:val="0"/>
          <w:sz w:val="32"/>
          <w:szCs w:val="32"/>
        </w:rPr>
        <w:t>2.</w:t>
      </w:r>
      <w:r>
        <w:rPr>
          <w:rFonts w:hint="eastAsia" w:ascii="方正仿宋_GBK" w:eastAsia="方正仿宋_GBK"/>
          <w:kern w:val="0"/>
          <w:sz w:val="32"/>
          <w:szCs w:val="32"/>
        </w:rPr>
        <w:t>支出情况。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2023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青龙乡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政府性基金预算支出总计为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27.13</w:t>
      </w:r>
      <w:r>
        <w:rPr>
          <w:rFonts w:hint="eastAsia" w:ascii="方正仿宋_GBK" w:eastAsia="方正仿宋_GBK"/>
          <w:kern w:val="0"/>
          <w:sz w:val="32"/>
          <w:szCs w:val="32"/>
        </w:rPr>
        <w:t>万元,为年度预算数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100%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，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同比增加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万元</w:t>
      </w:r>
      <w:r>
        <w:rPr>
          <w:rFonts w:hint="eastAsia" w:ascii="方正仿宋_GBK" w:eastAsia="方正仿宋_GBK"/>
          <w:kern w:val="0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城乡社区支出17.13万元，其他支出10万元。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三）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2023年重点财政工作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楷体_GBK" w:cs="方正楷体_GBK"/>
          <w:color w:val="auto"/>
          <w:kern w:val="2"/>
          <w:sz w:val="32"/>
          <w:szCs w:val="32"/>
          <w:lang w:val="en-US" w:eastAsia="zh-CN"/>
        </w:rPr>
        <w:t>强化财税监管</w:t>
      </w:r>
      <w:r>
        <w:rPr>
          <w:rFonts w:hint="eastAsia" w:ascii="Times New Roman" w:hAnsi="Times New Roman" w:eastAsia="方正楷体_GBK" w:cs="方正楷体_GBK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楷体_GBK" w:cs="方正楷体_GBK"/>
          <w:color w:val="auto"/>
          <w:kern w:val="2"/>
          <w:sz w:val="32"/>
          <w:szCs w:val="32"/>
          <w:lang w:val="en-US" w:eastAsia="zh-CN"/>
        </w:rPr>
        <w:t>组织财政收入。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坚持把组织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财政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收入放在财政工作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首位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位置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，增强全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财政保障能力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一是全力争取资金，积极了解上级项目资金政策，不断加大向上争取资金工作力度，围绕巩固拓展脱贫攻坚、生态环保、人居环境、乡村振兴等重点工作，向县文旅集团、农发集团、水务集团、实业集团、城建集团、名山集团争取捐赠款共计38.7万元。二是加强税收征管，强化对零散税收的管理，加强检查监管力度，做到应收尽收、足额入库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 w:val="0"/>
        <w:spacing w:beforeAutospacing="0" w:afterAutospacing="0" w:line="600" w:lineRule="exact"/>
        <w:ind w:firstLine="643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/>
        </w:rPr>
        <w:t>2.</w:t>
      </w: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</w:rPr>
        <w:t>优化支出结构</w:t>
      </w: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eastAsia="zh-CN"/>
        </w:rPr>
        <w:t>，坚持有保有压。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不折不扣落实“党政机关带头过紧日子，是为了让老百姓过好日子”的精神，压减不必要、非紧急支出，提高民生保障力度。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eastAsia="zh-CN"/>
        </w:rPr>
        <w:t>一是兜牢兜实“三保”底线，摸清“三保”基本数据，切实做好惠民资金的调度安排，做到及时足额发放；二是全力推进民生项目，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与各办站所积极配合，及时沟通项目资金情况，做好项目入库、提资金计划、验收项目、资金拨付等工作，对达到支付条件且资金到位的项目，第一时间支付，有效推进拨付进度。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厉行节约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，压缩一般性支出，在日常办公用品上实行按需登记领取，在用水用电方面充分倡导节约用水，办公室人走断电，严控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三公经费支出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eastAsia="zh-CN"/>
        </w:rPr>
        <w:t>降低行政运行成本，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形成了节约行政的氛围。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eastAsia="zh-CN"/>
        </w:rPr>
        <w:t>是标准化、精细化实施预算管理，严格按照预算管理一体化系统的使用要求，</w:t>
      </w:r>
      <w:r>
        <w:rPr>
          <w:rFonts w:hint="eastAsia" w:ascii="仿宋" w:hAnsi="仿宋" w:eastAsia="仿宋" w:cs="仿宋"/>
          <w:sz w:val="32"/>
          <w:szCs w:val="32"/>
        </w:rPr>
        <w:t>全力压减非预算支出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 w:val="0"/>
        <w:spacing w:beforeAutospacing="0" w:afterAutospacing="0" w:line="600" w:lineRule="exact"/>
        <w:ind w:firstLine="643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/>
        </w:rPr>
        <w:t>3.</w:t>
      </w: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eastAsia="zh-CN"/>
        </w:rPr>
        <w:t>强化资产管理，</w:t>
      </w: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/>
        </w:rPr>
        <w:t>用好用活资源。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开展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国有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资产资源清理工作，对辖区内的房屋、土地、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大型设备、交通基础设施、水利基础设施、市政基础设施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等固定资产进行全面清理，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摸清底数，建好台账。二是加强固定资产管理，全面摸清各站办所资产情况，推进固定资产盘活利用。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 w:val="0"/>
        <w:spacing w:beforeAutospacing="0" w:afterAutospacing="0"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/>
        </w:rPr>
        <w:t>4.强化债务管理，守牢风险底线。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坚决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  <w:t>执行《国务院关于加强地方政府性债务管理的意见》等有关加强政府性债务管理的规定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  <w:t>严格控制新增或有债务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风险的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  <w:t>项目审批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  <w:t>不搞违规举债的项目建设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eastAsia="zh-CN"/>
        </w:rPr>
        <w:t>，强化债务风险管理，严控新增政府隐性债务。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2023年我乡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 w:color="000000"/>
          <w:lang w:val="en-US" w:eastAsia="zh-CN" w:bidi="ar-SA"/>
        </w:rPr>
        <w:t>偿还本金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 w:color="000000"/>
          <w:lang w:val="en-US" w:eastAsia="zh-CN" w:bidi="ar-SA"/>
        </w:rPr>
        <w:t>268.45万元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 w:color="000000"/>
          <w:lang w:val="en-US" w:eastAsia="zh-CN" w:bidi="ar-SA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全面完成了政府隐性债务清零工作。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 w:val="0"/>
        <w:spacing w:beforeAutospacing="0" w:afterAutospacing="0" w:line="600" w:lineRule="exact"/>
        <w:ind w:firstLine="643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/>
        </w:rPr>
        <w:t>5.规范村级财务，助推乡村振兴。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加强对农村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eastAsia="zh-CN"/>
        </w:rPr>
        <w:t>“三资”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的监督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eastAsia="zh-CN"/>
        </w:rPr>
        <w:t>管理。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一是规范村级财务报销制度，为保证村级财务管理的规范化和透明化，修改制定了村级财务报销管理制度。二是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eastAsia="zh-CN"/>
        </w:rPr>
        <w:t>抓实政务公开，对村级财务公开情况进行督查检查，全面掌握村级“三资”管理、财务核算、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民生项目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eastAsia="zh-CN"/>
        </w:rPr>
        <w:t>等方面的情况，确保各项资金严格落实到位。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ascii="方正黑体_GBK" w:eastAsia="方正黑体_GBK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方正黑体_GBK" w:eastAsia="方正黑体_GBK"/>
          <w:color w:val="000000"/>
          <w:kern w:val="0"/>
          <w:sz w:val="32"/>
          <w:szCs w:val="32"/>
        </w:rPr>
        <w:t>、202</w:t>
      </w:r>
      <w:r>
        <w:rPr>
          <w:rFonts w:ascii="方正黑体_GBK" w:eastAsia="方正黑体_GBK"/>
          <w:color w:val="000000"/>
          <w:kern w:val="0"/>
          <w:sz w:val="32"/>
          <w:szCs w:val="32"/>
        </w:rPr>
        <w:t>4</w:t>
      </w:r>
      <w:r>
        <w:rPr>
          <w:rFonts w:hint="eastAsia" w:ascii="方正黑体_GBK" w:eastAsia="方正黑体_GBK"/>
          <w:color w:val="000000"/>
          <w:kern w:val="0"/>
          <w:sz w:val="32"/>
          <w:szCs w:val="32"/>
        </w:rPr>
        <w:t>年财政预算（草案）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年预算编制的总体思路是：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2024年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/>
        </w:rPr>
        <w:t>支出预算包括基本支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出预算和项目支出预算两部分。支出预算的编制要统筹兼顾、确保重点，按照“人员经费按标准，公用经费按定额，项目经费着重看绩效目标、视财力安排”的原则，依据全县统一的口径进行编制。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ascii="方正楷体_GBK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（一）一般公共预算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024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年一般公共预算收入预期总计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1258.56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万元。根据收入安排相应的支出总计预算为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1258.56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万元。支出的分类情况是：一般公共服务支出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420.83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公共安全支出2.06万元，文化旅游体育与传媒支出28.67万元，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社会保障和就业支出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258.46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万元，卫生健康支出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43.53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节能环保支出11万元，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城乡社区支出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63.8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万元，农林水支出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362.5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交通运输支出10.16万元，住房保障支出44.55万元，预备费13万元。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ascii="方正楷体_GBK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（二）政府性基金预算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青龙乡人民政府</w:t>
      </w:r>
      <w:r>
        <w:rPr>
          <w:rFonts w:hint="eastAsia" w:ascii="仿宋_GB2312" w:hAnsi="仿宋_GB2312" w:eastAsia="仿宋_GB2312" w:cs="仿宋_GB2312"/>
          <w:sz w:val="32"/>
        </w:rPr>
        <w:t>2024</w:t>
      </w:r>
      <w:r>
        <w:rPr>
          <w:rFonts w:ascii="仿宋_GB2312" w:hAnsi="仿宋_GB2312" w:eastAsia="仿宋_GB2312" w:cs="仿宋_GB2312"/>
          <w:sz w:val="32"/>
        </w:rPr>
        <w:t>年</w:t>
      </w:r>
      <w:r>
        <w:rPr>
          <w:rFonts w:hint="eastAsia" w:ascii="仿宋_GB2312" w:hAnsi="仿宋_GB2312" w:eastAsia="仿宋_GB2312" w:cs="仿宋_GB2312"/>
          <w:sz w:val="32"/>
        </w:rPr>
        <w:t>无</w:t>
      </w:r>
      <w:r>
        <w:rPr>
          <w:rFonts w:ascii="仿宋_GB2312" w:hAnsi="仿宋_GB2312" w:eastAsia="仿宋_GB2312" w:cs="仿宋_GB2312"/>
          <w:sz w:val="32"/>
        </w:rPr>
        <w:t>使用政府性基金预算拨款安排的支出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以上收支预算（草案）如因上级政策调整，预算也随之调整，并向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人大主席团报告后组织实施。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、2024年财政工作主要任务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2024为继续推动青龙乡经济高质量发展，乡财政将在乡党委、政府的领导下，围绕我乡工作重点，妥善处理好过“紧日子”与“兜底线、惠民生、促发展”的关系，合理编制财政预算，系统谋划财政工作，积极推动全乡经济社会和谐稳定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  <w:t>严格财政预决算，确保全年收支平衡。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在财力趋于紧张的情况下，我们将努力做好财政预决算工作，年初做好资金预算的编制上报，年中严格按照预算指标合理安排和使用资金，年终做好财政决算工作，务必确保全年财政收支平衡。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val="en-US" w:eastAsia="zh-CN"/>
        </w:rPr>
        <w:t>（二）聚力提质增效，扎实抓好绩效评价。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 w:color="000000"/>
          <w:lang w:val="en-US" w:eastAsia="zh-CN" w:bidi="ar-SA"/>
        </w:rPr>
        <w:t>健全完善覆盖所有财政收支范围的监督管理机制，构建权责清晰、流程规范、监督有力的控制制度，积极稳妥推进预决算信息公开工作，逐步建立健全预算绩效管理制度体系，开展专项资金绩效评价工作。扎实推进财政基础管理工作，努力提高财政资金使用效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  <w:t>）管好项目资金，助推项目有序进行。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加强专项资金的标准管理和使用，坚持客观、公正、公平、公开的原则，严格资金拨付程序，明确资金用途和使用范围，确保资金使用的合理性、合法性和合规性，有效促进全乡各项工程顺利推进。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各位代表，2024年的财政工作任务责任重大。我们将在党的二十大精神指引下，在乡党委政府的正确领导下，自觉接受人大代表的监督和指导。振奋精神、强化措施、真抓实干、开拓创新，确保2024年财政收支预算任务的全面完成，为促进全乡经济和社会事业的科学发展做出新的贡献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方正小标宋_GBK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方正小标宋_GBK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方正小标宋_GBK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方正小标宋_GBK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方正小标宋_GBK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方正小标宋_GBK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方正小标宋_GBK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方正小标宋_GBK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方正小标宋_GBK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方正小标宋_GBK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方正小标宋_GBK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方正小标宋_GBK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方正小标宋_GBK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hint="eastAsia"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相关事项说明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黑体_GBK"/>
          <w:color w:val="000000"/>
          <w:kern w:val="0"/>
          <w:sz w:val="32"/>
          <w:szCs w:val="32"/>
        </w:rPr>
        <w:t>一</w:t>
      </w:r>
      <w:r>
        <w:rPr>
          <w:rFonts w:eastAsia="方正黑体_GBK"/>
          <w:color w:val="000000"/>
          <w:kern w:val="0"/>
          <w:sz w:val="32"/>
          <w:szCs w:val="32"/>
        </w:rPr>
        <w:t>、2023年预备费使用情况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方正仿宋_GBK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年初预算预备费15万元已动支15万元，预备费主要用于自然灾害损害道路修复5万元，森林防火安全应急5万元、防汛抗旱救灾5万元。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黑体_GBK"/>
          <w:color w:val="000000"/>
          <w:kern w:val="0"/>
          <w:sz w:val="32"/>
          <w:szCs w:val="32"/>
        </w:rPr>
        <w:t>二</w:t>
      </w:r>
      <w:r>
        <w:rPr>
          <w:rFonts w:eastAsia="方正黑体_GBK"/>
          <w:color w:val="000000"/>
          <w:kern w:val="0"/>
          <w:sz w:val="32"/>
          <w:szCs w:val="32"/>
        </w:rPr>
        <w:t>、</w:t>
      </w:r>
      <w:r>
        <w:rPr>
          <w:rFonts w:hint="eastAsia" w:eastAsia="方正黑体_GBK"/>
          <w:color w:val="000000"/>
          <w:kern w:val="0"/>
          <w:sz w:val="32"/>
          <w:szCs w:val="32"/>
          <w:lang w:eastAsia="zh-CN"/>
        </w:rPr>
        <w:t>“三公”经费相关情况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2024年“三公”经费预算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14.9</w:t>
      </w:r>
      <w:r>
        <w:rPr>
          <w:rFonts w:ascii="仿宋_GB2312" w:hAnsi="仿宋_GB2312" w:eastAsia="仿宋_GB2312" w:cs="仿宋_GB2312"/>
          <w:sz w:val="32"/>
        </w:rPr>
        <w:t xml:space="preserve">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万元，比2023年减少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5.55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万元。其中：因公出国（境）费用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万元，比2023年减少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万元，主要原因是</w:t>
      </w:r>
      <w:r>
        <w:rPr>
          <w:rFonts w:hint="eastAsia" w:ascii="仿宋_GB2312" w:hAnsi="仿宋_GB2312" w:eastAsia="仿宋_GB2312" w:cs="仿宋_GB2312"/>
          <w:sz w:val="32"/>
        </w:rPr>
        <w:t>不涉及出国出境业务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；公务接待费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1.8</w:t>
      </w:r>
      <w:r>
        <w:rPr>
          <w:rFonts w:hint="eastAsia" w:ascii="仿宋_GB2312" w:hAnsi="仿宋_GB2312" w:eastAsia="仿宋_GB2312" w:cs="仿宋_GB2312"/>
          <w:sz w:val="32"/>
        </w:rPr>
        <w:t xml:space="preserve">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万元，比2023年减少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4.65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万元，主要原因是</w:t>
      </w:r>
      <w:r>
        <w:rPr>
          <w:rFonts w:hint="eastAsia" w:ascii="仿宋_GB2312" w:hAnsi="仿宋_GB2312" w:eastAsia="仿宋_GB2312" w:cs="仿宋_GB2312"/>
          <w:sz w:val="32"/>
        </w:rPr>
        <w:t>强化公务接待支出管理，严格遵守公务接待开支范围和开支标准，严格控制陪餐人数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；公务用车运行维护费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13.1</w:t>
      </w:r>
      <w:r>
        <w:rPr>
          <w:rFonts w:hint="eastAsia" w:ascii="仿宋_GB2312" w:hAnsi="仿宋_GB2312" w:eastAsia="仿宋_GB2312" w:cs="仿宋_GB2312"/>
          <w:sz w:val="32"/>
        </w:rPr>
        <w:t xml:space="preserve">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万元，比2023年减少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0.9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万元，主要原因是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严格控制公务车的使用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新能源汽车运行费减少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；公务用车购置费 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万元，比2023年减少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万元；主要原因是</w:t>
      </w:r>
      <w:r>
        <w:rPr>
          <w:rFonts w:hint="eastAsia" w:ascii="仿宋_GB2312" w:hAnsi="仿宋_GB2312" w:eastAsia="仿宋_GB2312" w:cs="仿宋_GB2312"/>
          <w:sz w:val="32"/>
        </w:rPr>
        <w:t>今年无购车预算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名词解释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center"/>
        <w:textAlignment w:val="auto"/>
        <w:rPr>
          <w:rFonts w:hint="eastAsia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一般公共预算：</w:t>
      </w:r>
      <w:r>
        <w:rPr>
          <w:rFonts w:eastAsia="方正仿宋_GBK"/>
          <w:kern w:val="0"/>
          <w:sz w:val="32"/>
          <w:szCs w:val="32"/>
        </w:rPr>
        <w:t>是对以税收为主体的财政收入，安排用于保障和改善民生、推动经济社会发展、维护国家安全、维持国家机构正常运转等方面的收支预算。包括税收收入和非税收入，其中，非税收入主要包括行政事业性收费收入、罚没收入、国有资源（资产）有偿使用收入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政府性基金预算：</w:t>
      </w:r>
      <w:r>
        <w:rPr>
          <w:rFonts w:eastAsia="方正仿宋_GBK"/>
          <w:kern w:val="0"/>
          <w:sz w:val="32"/>
          <w:szCs w:val="32"/>
        </w:rPr>
        <w:t>是对依照法律、行政法规的规定在一定期限内向特定对象征收、收取或者以其他方式筹集的资金，专项用于特定公共事业发展的收支预算。主要包括土地收入、城市建设配套费。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国有资本经营预算：</w:t>
      </w:r>
      <w:r>
        <w:rPr>
          <w:rFonts w:eastAsia="方正仿宋_GBK"/>
          <w:kern w:val="0"/>
          <w:sz w:val="32"/>
          <w:szCs w:val="32"/>
        </w:rPr>
        <w:t>是对国有资本收益作出支出安排的收支预算。主要为国企上缴利润收入、产权转让收入。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社保基金预算：</w:t>
      </w:r>
      <w:r>
        <w:rPr>
          <w:rFonts w:eastAsia="方正仿宋_GBK"/>
          <w:kern w:val="0"/>
          <w:sz w:val="32"/>
          <w:szCs w:val="32"/>
        </w:rPr>
        <w:t>是对社会保险缴款、一般公共预算安排和其他方式筹集的资金，专项用于社会保险的收支预算。目前是全市统筹，由市统一编制、我县不单独编报。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债券资金：</w:t>
      </w:r>
      <w:r>
        <w:rPr>
          <w:rFonts w:eastAsia="方正仿宋_GBK"/>
          <w:kern w:val="0"/>
          <w:sz w:val="32"/>
          <w:szCs w:val="32"/>
        </w:rPr>
        <w:t>即地方政府债券资金，是指重庆市政府以政府的信用为基础并承诺偿还本息，自主向社会发行地方政府债券筹集的财政资金。按债券发行类别分为置换债券资金和新增债券资金，按预算管理分为一般债券（纳入一般公共预算管理）和专项债券（纳入政府性基金预算管理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eastAsia="方正黑体_GBK"/>
          <w:kern w:val="0"/>
          <w:sz w:val="32"/>
          <w:szCs w:val="32"/>
        </w:rPr>
        <w:t>三公经费</w:t>
      </w:r>
      <w:r>
        <w:rPr>
          <w:rFonts w:eastAsia="方正仿宋_GBK"/>
          <w:kern w:val="0"/>
          <w:sz w:val="32"/>
          <w:szCs w:val="32"/>
        </w:rPr>
        <w:t>：指政府部门公务出国（境）经费、公务车购置及运行费、公务接待费。</w:t>
      </w:r>
    </w:p>
    <w:sectPr>
      <w:pgSz w:w="11906" w:h="16838"/>
      <w:pgMar w:top="2154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756201"/>
    <w:multiLevelType w:val="singleLevel"/>
    <w:tmpl w:val="DC75620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3C5D59"/>
    <w:rsid w:val="0022181C"/>
    <w:rsid w:val="003C5D59"/>
    <w:rsid w:val="00423C6D"/>
    <w:rsid w:val="005C716D"/>
    <w:rsid w:val="006E05BE"/>
    <w:rsid w:val="00776BF3"/>
    <w:rsid w:val="00941616"/>
    <w:rsid w:val="00B269F2"/>
    <w:rsid w:val="00B90839"/>
    <w:rsid w:val="00D662AB"/>
    <w:rsid w:val="00F9294A"/>
    <w:rsid w:val="01255120"/>
    <w:rsid w:val="01AC3A93"/>
    <w:rsid w:val="02186A33"/>
    <w:rsid w:val="022573A2"/>
    <w:rsid w:val="02ED1C6E"/>
    <w:rsid w:val="02F079B0"/>
    <w:rsid w:val="03463A74"/>
    <w:rsid w:val="035D45A7"/>
    <w:rsid w:val="0374238F"/>
    <w:rsid w:val="037E4FBC"/>
    <w:rsid w:val="039B52FB"/>
    <w:rsid w:val="03E47515"/>
    <w:rsid w:val="040F270F"/>
    <w:rsid w:val="04351B1E"/>
    <w:rsid w:val="043B4851"/>
    <w:rsid w:val="044A022A"/>
    <w:rsid w:val="05791EDF"/>
    <w:rsid w:val="060A2B37"/>
    <w:rsid w:val="062005AC"/>
    <w:rsid w:val="067440CF"/>
    <w:rsid w:val="06783F44"/>
    <w:rsid w:val="07041C7C"/>
    <w:rsid w:val="0721638A"/>
    <w:rsid w:val="07247C28"/>
    <w:rsid w:val="072537C8"/>
    <w:rsid w:val="07414C7E"/>
    <w:rsid w:val="07C1191B"/>
    <w:rsid w:val="07C67C59"/>
    <w:rsid w:val="07D72EEC"/>
    <w:rsid w:val="08585DDB"/>
    <w:rsid w:val="08F33D56"/>
    <w:rsid w:val="091D7025"/>
    <w:rsid w:val="09BE25B6"/>
    <w:rsid w:val="0A20759C"/>
    <w:rsid w:val="0A222B45"/>
    <w:rsid w:val="0A4F1460"/>
    <w:rsid w:val="0A9B6453"/>
    <w:rsid w:val="0AA23C86"/>
    <w:rsid w:val="0B7D02A4"/>
    <w:rsid w:val="0D116EA1"/>
    <w:rsid w:val="0E0B38F0"/>
    <w:rsid w:val="0E124C7E"/>
    <w:rsid w:val="0E64296A"/>
    <w:rsid w:val="0F205179"/>
    <w:rsid w:val="0F20786F"/>
    <w:rsid w:val="0F4E618A"/>
    <w:rsid w:val="0F7B4AA5"/>
    <w:rsid w:val="0FC427A5"/>
    <w:rsid w:val="10390BE8"/>
    <w:rsid w:val="104A4BA3"/>
    <w:rsid w:val="1081433D"/>
    <w:rsid w:val="10D40911"/>
    <w:rsid w:val="1122167C"/>
    <w:rsid w:val="1131366D"/>
    <w:rsid w:val="11847C41"/>
    <w:rsid w:val="11EB4164"/>
    <w:rsid w:val="12103BCB"/>
    <w:rsid w:val="1226210D"/>
    <w:rsid w:val="12323B41"/>
    <w:rsid w:val="123A0C48"/>
    <w:rsid w:val="12B11185"/>
    <w:rsid w:val="12B44556"/>
    <w:rsid w:val="12F11306"/>
    <w:rsid w:val="130059ED"/>
    <w:rsid w:val="13573133"/>
    <w:rsid w:val="13897791"/>
    <w:rsid w:val="13CE66E5"/>
    <w:rsid w:val="14103A0E"/>
    <w:rsid w:val="14436EE7"/>
    <w:rsid w:val="147D6BCA"/>
    <w:rsid w:val="148166BA"/>
    <w:rsid w:val="14C91E0F"/>
    <w:rsid w:val="15771515"/>
    <w:rsid w:val="15DA0777"/>
    <w:rsid w:val="15EB4733"/>
    <w:rsid w:val="16623C6C"/>
    <w:rsid w:val="17606A5A"/>
    <w:rsid w:val="17DB07D7"/>
    <w:rsid w:val="186366E1"/>
    <w:rsid w:val="18C94AD3"/>
    <w:rsid w:val="194A0D3C"/>
    <w:rsid w:val="19882298"/>
    <w:rsid w:val="198A4263"/>
    <w:rsid w:val="19FD4A34"/>
    <w:rsid w:val="1A246465"/>
    <w:rsid w:val="1A583F1C"/>
    <w:rsid w:val="1A687663"/>
    <w:rsid w:val="1A8B286B"/>
    <w:rsid w:val="1AD05CA5"/>
    <w:rsid w:val="1AF44089"/>
    <w:rsid w:val="1BC17CE4"/>
    <w:rsid w:val="1BDE0896"/>
    <w:rsid w:val="1BE35EAC"/>
    <w:rsid w:val="1BF400B9"/>
    <w:rsid w:val="1C033E58"/>
    <w:rsid w:val="1D3A5FA0"/>
    <w:rsid w:val="1DA106E6"/>
    <w:rsid w:val="1E087E4C"/>
    <w:rsid w:val="1E0A7720"/>
    <w:rsid w:val="1E432C32"/>
    <w:rsid w:val="1E9D0594"/>
    <w:rsid w:val="1EDD3086"/>
    <w:rsid w:val="1EDF295B"/>
    <w:rsid w:val="1F5336B0"/>
    <w:rsid w:val="1F882FF2"/>
    <w:rsid w:val="1F890B18"/>
    <w:rsid w:val="1FE67D19"/>
    <w:rsid w:val="20340A84"/>
    <w:rsid w:val="20566C4C"/>
    <w:rsid w:val="20686980"/>
    <w:rsid w:val="206F5F60"/>
    <w:rsid w:val="20893315"/>
    <w:rsid w:val="20AC2D10"/>
    <w:rsid w:val="210B3EDB"/>
    <w:rsid w:val="21780E44"/>
    <w:rsid w:val="21D43C59"/>
    <w:rsid w:val="21F735E1"/>
    <w:rsid w:val="21F77FBB"/>
    <w:rsid w:val="22714212"/>
    <w:rsid w:val="232748D0"/>
    <w:rsid w:val="234C3D8B"/>
    <w:rsid w:val="237A70F6"/>
    <w:rsid w:val="23C15745"/>
    <w:rsid w:val="23C40371"/>
    <w:rsid w:val="24B86128"/>
    <w:rsid w:val="24C543A1"/>
    <w:rsid w:val="250C1594"/>
    <w:rsid w:val="251175E6"/>
    <w:rsid w:val="254570CD"/>
    <w:rsid w:val="25535E50"/>
    <w:rsid w:val="26775B6F"/>
    <w:rsid w:val="268D4216"/>
    <w:rsid w:val="26A72B8E"/>
    <w:rsid w:val="26BE379D"/>
    <w:rsid w:val="26DE799C"/>
    <w:rsid w:val="26E72CF4"/>
    <w:rsid w:val="270F3FF9"/>
    <w:rsid w:val="283C2BCC"/>
    <w:rsid w:val="28C122CB"/>
    <w:rsid w:val="28CA642A"/>
    <w:rsid w:val="294E0E09"/>
    <w:rsid w:val="29C015DB"/>
    <w:rsid w:val="2A077209"/>
    <w:rsid w:val="2A1F27A5"/>
    <w:rsid w:val="2A2C4206"/>
    <w:rsid w:val="2A385615"/>
    <w:rsid w:val="2C1C51EE"/>
    <w:rsid w:val="2D4F6EFD"/>
    <w:rsid w:val="2DA03BFD"/>
    <w:rsid w:val="2DE41D3C"/>
    <w:rsid w:val="2E1A575D"/>
    <w:rsid w:val="2F424DBE"/>
    <w:rsid w:val="2F5E5B1E"/>
    <w:rsid w:val="2FF344B8"/>
    <w:rsid w:val="30285C16"/>
    <w:rsid w:val="303643A5"/>
    <w:rsid w:val="30913CD1"/>
    <w:rsid w:val="31085D41"/>
    <w:rsid w:val="31413001"/>
    <w:rsid w:val="318B0720"/>
    <w:rsid w:val="319927DD"/>
    <w:rsid w:val="31A57A34"/>
    <w:rsid w:val="31AB491E"/>
    <w:rsid w:val="31AC0DC2"/>
    <w:rsid w:val="31D04895"/>
    <w:rsid w:val="32C1089D"/>
    <w:rsid w:val="335F0D3D"/>
    <w:rsid w:val="33727DEA"/>
    <w:rsid w:val="338A5133"/>
    <w:rsid w:val="338F16A6"/>
    <w:rsid w:val="33A124FA"/>
    <w:rsid w:val="33FE7EB1"/>
    <w:rsid w:val="343706EB"/>
    <w:rsid w:val="344F387C"/>
    <w:rsid w:val="346C2738"/>
    <w:rsid w:val="34A51AF9"/>
    <w:rsid w:val="34E42621"/>
    <w:rsid w:val="35223149"/>
    <w:rsid w:val="35335357"/>
    <w:rsid w:val="35BA7D48"/>
    <w:rsid w:val="362F1FC2"/>
    <w:rsid w:val="36B60A4B"/>
    <w:rsid w:val="36CF10AF"/>
    <w:rsid w:val="36D466C5"/>
    <w:rsid w:val="37682591"/>
    <w:rsid w:val="389E4BEF"/>
    <w:rsid w:val="38E47094"/>
    <w:rsid w:val="39094D4C"/>
    <w:rsid w:val="39282A8B"/>
    <w:rsid w:val="395A1104"/>
    <w:rsid w:val="39706B79"/>
    <w:rsid w:val="39761CB6"/>
    <w:rsid w:val="39AB5E03"/>
    <w:rsid w:val="39D971F1"/>
    <w:rsid w:val="3A097EA1"/>
    <w:rsid w:val="3AC0143A"/>
    <w:rsid w:val="3B0C4680"/>
    <w:rsid w:val="3B712735"/>
    <w:rsid w:val="3B8D5F63"/>
    <w:rsid w:val="3B9F3746"/>
    <w:rsid w:val="3BD01B51"/>
    <w:rsid w:val="3BD333EF"/>
    <w:rsid w:val="3C2459F9"/>
    <w:rsid w:val="3C5067EE"/>
    <w:rsid w:val="3D224E5C"/>
    <w:rsid w:val="3E10092B"/>
    <w:rsid w:val="3E3C34CE"/>
    <w:rsid w:val="3E6B3E4A"/>
    <w:rsid w:val="3EB43FF8"/>
    <w:rsid w:val="3FAA7896"/>
    <w:rsid w:val="400C5122"/>
    <w:rsid w:val="40632F94"/>
    <w:rsid w:val="407277C5"/>
    <w:rsid w:val="40F55BB6"/>
    <w:rsid w:val="416F2D92"/>
    <w:rsid w:val="418A72CE"/>
    <w:rsid w:val="41E55C2A"/>
    <w:rsid w:val="41F145CF"/>
    <w:rsid w:val="42576B28"/>
    <w:rsid w:val="427F1BDB"/>
    <w:rsid w:val="42A72EE0"/>
    <w:rsid w:val="43EC504E"/>
    <w:rsid w:val="4407632C"/>
    <w:rsid w:val="444C1F91"/>
    <w:rsid w:val="444E121C"/>
    <w:rsid w:val="446077EA"/>
    <w:rsid w:val="45264590"/>
    <w:rsid w:val="452C5A6A"/>
    <w:rsid w:val="45462E84"/>
    <w:rsid w:val="457C2402"/>
    <w:rsid w:val="45D1274E"/>
    <w:rsid w:val="45FD1795"/>
    <w:rsid w:val="460F3276"/>
    <w:rsid w:val="46933EA7"/>
    <w:rsid w:val="46CB1893"/>
    <w:rsid w:val="4707219F"/>
    <w:rsid w:val="476F0470"/>
    <w:rsid w:val="47A125F4"/>
    <w:rsid w:val="47BC11F5"/>
    <w:rsid w:val="47F87E6C"/>
    <w:rsid w:val="482C50CD"/>
    <w:rsid w:val="488C5052"/>
    <w:rsid w:val="488F68F0"/>
    <w:rsid w:val="489B1DDD"/>
    <w:rsid w:val="48DA7B6B"/>
    <w:rsid w:val="496F5A04"/>
    <w:rsid w:val="49995C78"/>
    <w:rsid w:val="4A062BE2"/>
    <w:rsid w:val="4A2C089A"/>
    <w:rsid w:val="4A3B7028"/>
    <w:rsid w:val="4AB83EDC"/>
    <w:rsid w:val="4AF62C56"/>
    <w:rsid w:val="4B3D6AD7"/>
    <w:rsid w:val="4B5C51AF"/>
    <w:rsid w:val="4BA541B6"/>
    <w:rsid w:val="4C3752D5"/>
    <w:rsid w:val="4D1E0946"/>
    <w:rsid w:val="4D6C7200"/>
    <w:rsid w:val="4D6E6AAF"/>
    <w:rsid w:val="4D706CF0"/>
    <w:rsid w:val="4E037B64"/>
    <w:rsid w:val="4E23705F"/>
    <w:rsid w:val="4E28581D"/>
    <w:rsid w:val="4EA03605"/>
    <w:rsid w:val="4EA529C9"/>
    <w:rsid w:val="4ECC7F56"/>
    <w:rsid w:val="4F363F69"/>
    <w:rsid w:val="4F457D08"/>
    <w:rsid w:val="4F8545A9"/>
    <w:rsid w:val="4F8B1BBF"/>
    <w:rsid w:val="4FA03191"/>
    <w:rsid w:val="50067498"/>
    <w:rsid w:val="50306C0B"/>
    <w:rsid w:val="51221F65"/>
    <w:rsid w:val="51234079"/>
    <w:rsid w:val="512F2A1E"/>
    <w:rsid w:val="516D0BC5"/>
    <w:rsid w:val="51FB4E96"/>
    <w:rsid w:val="520143BB"/>
    <w:rsid w:val="520E4D2A"/>
    <w:rsid w:val="52416EAD"/>
    <w:rsid w:val="524424F9"/>
    <w:rsid w:val="52B72CCB"/>
    <w:rsid w:val="52D675F5"/>
    <w:rsid w:val="52E37F64"/>
    <w:rsid w:val="530D4690"/>
    <w:rsid w:val="532F7DA1"/>
    <w:rsid w:val="53D17DBD"/>
    <w:rsid w:val="540957A8"/>
    <w:rsid w:val="54161C73"/>
    <w:rsid w:val="551B091C"/>
    <w:rsid w:val="55962D75"/>
    <w:rsid w:val="55B94FAC"/>
    <w:rsid w:val="55BA2F3C"/>
    <w:rsid w:val="56051FA0"/>
    <w:rsid w:val="56156687"/>
    <w:rsid w:val="5627460C"/>
    <w:rsid w:val="563D798B"/>
    <w:rsid w:val="567535C9"/>
    <w:rsid w:val="57234DD3"/>
    <w:rsid w:val="575C2093"/>
    <w:rsid w:val="57B8376D"/>
    <w:rsid w:val="57C05293"/>
    <w:rsid w:val="57D32355"/>
    <w:rsid w:val="57F9079B"/>
    <w:rsid w:val="57FE314A"/>
    <w:rsid w:val="5842572D"/>
    <w:rsid w:val="584A6390"/>
    <w:rsid w:val="587005A3"/>
    <w:rsid w:val="58DF2F7C"/>
    <w:rsid w:val="594A2AEB"/>
    <w:rsid w:val="59575208"/>
    <w:rsid w:val="59D6612D"/>
    <w:rsid w:val="59F44805"/>
    <w:rsid w:val="5A56101C"/>
    <w:rsid w:val="5A8D7133"/>
    <w:rsid w:val="5AA32444"/>
    <w:rsid w:val="5AAF323A"/>
    <w:rsid w:val="5B303F63"/>
    <w:rsid w:val="5B4A6DD2"/>
    <w:rsid w:val="5B547D0C"/>
    <w:rsid w:val="5B7618C6"/>
    <w:rsid w:val="5BA04553"/>
    <w:rsid w:val="5BE56AFB"/>
    <w:rsid w:val="5C4B1054"/>
    <w:rsid w:val="5C7165E1"/>
    <w:rsid w:val="5CBF734C"/>
    <w:rsid w:val="5D7540F4"/>
    <w:rsid w:val="5DAA7FFC"/>
    <w:rsid w:val="5DB94195"/>
    <w:rsid w:val="5E9409AB"/>
    <w:rsid w:val="5F630463"/>
    <w:rsid w:val="5F8D54E0"/>
    <w:rsid w:val="5FD0361E"/>
    <w:rsid w:val="607E307A"/>
    <w:rsid w:val="60B05272"/>
    <w:rsid w:val="60E64A75"/>
    <w:rsid w:val="6166248C"/>
    <w:rsid w:val="616C7377"/>
    <w:rsid w:val="61972646"/>
    <w:rsid w:val="61FA4612"/>
    <w:rsid w:val="620C3034"/>
    <w:rsid w:val="62571DD5"/>
    <w:rsid w:val="62DD22DA"/>
    <w:rsid w:val="632B573B"/>
    <w:rsid w:val="634E142A"/>
    <w:rsid w:val="63C11BFC"/>
    <w:rsid w:val="63E91153"/>
    <w:rsid w:val="642B3519"/>
    <w:rsid w:val="64ED07CF"/>
    <w:rsid w:val="65260C48"/>
    <w:rsid w:val="65476131"/>
    <w:rsid w:val="65BF03BD"/>
    <w:rsid w:val="65BF660F"/>
    <w:rsid w:val="65C07C91"/>
    <w:rsid w:val="65C92FEA"/>
    <w:rsid w:val="65F75DA9"/>
    <w:rsid w:val="66B94E0C"/>
    <w:rsid w:val="66DE4873"/>
    <w:rsid w:val="66FC6544"/>
    <w:rsid w:val="67006EDF"/>
    <w:rsid w:val="67544B35"/>
    <w:rsid w:val="67CC0B6F"/>
    <w:rsid w:val="682664D1"/>
    <w:rsid w:val="68D128E1"/>
    <w:rsid w:val="68E5638C"/>
    <w:rsid w:val="6942558D"/>
    <w:rsid w:val="69692B1A"/>
    <w:rsid w:val="696E0130"/>
    <w:rsid w:val="698060B5"/>
    <w:rsid w:val="69A73642"/>
    <w:rsid w:val="6A22716C"/>
    <w:rsid w:val="6A3A6264"/>
    <w:rsid w:val="6A5F5CCB"/>
    <w:rsid w:val="6AB029CA"/>
    <w:rsid w:val="6ABE0C43"/>
    <w:rsid w:val="6AEC1C54"/>
    <w:rsid w:val="6B2A452A"/>
    <w:rsid w:val="6B2F1B41"/>
    <w:rsid w:val="6B4F3F91"/>
    <w:rsid w:val="6B654723"/>
    <w:rsid w:val="6B882FFF"/>
    <w:rsid w:val="6B9D6AAA"/>
    <w:rsid w:val="6DA305C4"/>
    <w:rsid w:val="6DC01176"/>
    <w:rsid w:val="6DD864C0"/>
    <w:rsid w:val="6E001573"/>
    <w:rsid w:val="6E2039C3"/>
    <w:rsid w:val="6E6E0BD2"/>
    <w:rsid w:val="6EF26137"/>
    <w:rsid w:val="6F196D90"/>
    <w:rsid w:val="6F9C351D"/>
    <w:rsid w:val="6FDB5DF3"/>
    <w:rsid w:val="706E310B"/>
    <w:rsid w:val="70BD199D"/>
    <w:rsid w:val="70E15002"/>
    <w:rsid w:val="716360A0"/>
    <w:rsid w:val="718D5813"/>
    <w:rsid w:val="71DB032D"/>
    <w:rsid w:val="720553A9"/>
    <w:rsid w:val="7251260D"/>
    <w:rsid w:val="729A43E4"/>
    <w:rsid w:val="731E2BC7"/>
    <w:rsid w:val="735F45F0"/>
    <w:rsid w:val="739C5445"/>
    <w:rsid w:val="73A0182E"/>
    <w:rsid w:val="7428537F"/>
    <w:rsid w:val="74373814"/>
    <w:rsid w:val="74582108"/>
    <w:rsid w:val="74806F69"/>
    <w:rsid w:val="750C6A4F"/>
    <w:rsid w:val="75436915"/>
    <w:rsid w:val="755D54FC"/>
    <w:rsid w:val="7590142E"/>
    <w:rsid w:val="75BC58B4"/>
    <w:rsid w:val="75E6724E"/>
    <w:rsid w:val="76B80C3C"/>
    <w:rsid w:val="76F31C74"/>
    <w:rsid w:val="77212C85"/>
    <w:rsid w:val="773F310C"/>
    <w:rsid w:val="7791148D"/>
    <w:rsid w:val="77CD61B8"/>
    <w:rsid w:val="77F80AA1"/>
    <w:rsid w:val="78146346"/>
    <w:rsid w:val="78370287"/>
    <w:rsid w:val="78BF0828"/>
    <w:rsid w:val="78E2165F"/>
    <w:rsid w:val="790463BB"/>
    <w:rsid w:val="79144124"/>
    <w:rsid w:val="79A436FA"/>
    <w:rsid w:val="79AF116A"/>
    <w:rsid w:val="7A186B31"/>
    <w:rsid w:val="7A9D1A43"/>
    <w:rsid w:val="7AAC6D0A"/>
    <w:rsid w:val="7AD718AD"/>
    <w:rsid w:val="7ADE0E8D"/>
    <w:rsid w:val="7B160627"/>
    <w:rsid w:val="7BD61B65"/>
    <w:rsid w:val="7C1A4147"/>
    <w:rsid w:val="7C7948B0"/>
    <w:rsid w:val="7CD520A5"/>
    <w:rsid w:val="7D580A83"/>
    <w:rsid w:val="7D943A85"/>
    <w:rsid w:val="7F385010"/>
    <w:rsid w:val="7FC248DA"/>
    <w:rsid w:val="7FE0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page number"/>
    <w:basedOn w:val="6"/>
    <w:autoRedefine/>
    <w:qFormat/>
    <w:uiPriority w:val="99"/>
    <w:rPr>
      <w:rFonts w:cs="Times New Roman"/>
    </w:rPr>
  </w:style>
  <w:style w:type="paragraph" w:customStyle="1" w:styleId="9">
    <w:name w:val="Default"/>
    <w:basedOn w:val="1"/>
    <w:autoRedefine/>
    <w:qFormat/>
    <w:uiPriority w:val="0"/>
    <w:pPr>
      <w:autoSpaceDE w:val="0"/>
      <w:autoSpaceDN w:val="0"/>
      <w:adjustRightInd w:val="0"/>
      <w:jc w:val="left"/>
    </w:pPr>
    <w:rPr>
      <w:rFonts w:hint="eastAsia" w:ascii="仿宋_GB2312" w:hAnsi="Calibri" w:eastAsia="仿宋_GB2312" w:cs="Times New Roman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2893</Words>
  <Characters>3133</Characters>
  <Lines>6</Lines>
  <Paragraphs>1</Paragraphs>
  <TotalTime>43</TotalTime>
  <ScaleCrop>false</ScaleCrop>
  <LinksUpToDate>false</LinksUpToDate>
  <CharactersWithSpaces>3137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2024-02-19T03:43:00Z</dcterms:created>
  <dc:creator>Administrator</dc:creator>
  <cp:lastModifiedBy>小先生</cp:lastModifiedBy>
  <cp:lastPrinted>2024-03-04T10:49:48Z</cp:lastPrinted>
  <dcterms:modified xsi:type="dcterms:W3CDTF">2024-03-04T11:27:57Z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3DEC6E0AF3244E399F83F1FFBB6A9553_12</vt:lpwstr>
  </property>
</Properties>
</file>