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hd w:val="clear" w:color="auto" w:fill="FFFFFF"/>
        <w:overflowPunct w:val="0"/>
        <w:adjustRightInd w:val="0"/>
        <w:snapToGrid w:val="0"/>
        <w:spacing w:before="0" w:beforeAutospacing="0" w:after="0" w:afterAutospacing="0" w:line="600" w:lineRule="exact"/>
        <w:jc w:val="center"/>
        <w:rPr>
          <w:rFonts w:ascii="Times New Roman" w:hAnsi="Times New Roman" w:eastAsia="方正小标宋_GBK"/>
          <w:b/>
          <w:color w:val="000000" w:themeColor="text1"/>
          <w:sz w:val="44"/>
          <w:szCs w:val="44"/>
        </w:rPr>
      </w:pPr>
      <w:bookmarkStart w:id="0" w:name="_GoBack"/>
      <w:bookmarkEnd w:id="0"/>
      <w:r>
        <w:rPr>
          <w:rStyle w:val="11"/>
          <w:rFonts w:hint="eastAsia" w:ascii="Times New Roman" w:hAnsi="Times New Roman" w:eastAsia="方正小标宋_GBK"/>
          <w:b w:val="0"/>
          <w:color w:val="000000" w:themeColor="text1"/>
          <w:sz w:val="44"/>
          <w:szCs w:val="44"/>
        </w:rPr>
        <w:t>丰都县南天湖镇人民政府</w:t>
      </w:r>
    </w:p>
    <w:p>
      <w:pPr>
        <w:pStyle w:val="8"/>
        <w:widowControl w:val="0"/>
        <w:shd w:val="clear" w:color="auto" w:fill="FFFFFF"/>
        <w:overflowPunct w:val="0"/>
        <w:adjustRightInd w:val="0"/>
        <w:snapToGrid w:val="0"/>
        <w:spacing w:before="0" w:beforeAutospacing="0" w:after="0" w:afterAutospacing="0" w:line="600" w:lineRule="exact"/>
        <w:jc w:val="center"/>
        <w:rPr>
          <w:rStyle w:val="11"/>
          <w:rFonts w:ascii="Times New Roman" w:hAnsi="Times New Roman" w:eastAsia="方正小标宋_GBK"/>
          <w:b w:val="0"/>
          <w:color w:val="000000" w:themeColor="text1"/>
          <w:sz w:val="44"/>
          <w:szCs w:val="44"/>
        </w:rPr>
      </w:pPr>
      <w:r>
        <w:rPr>
          <w:rStyle w:val="11"/>
          <w:rFonts w:hint="eastAsia" w:ascii="Times New Roman" w:hAnsi="Times New Roman" w:eastAsia="方正小标宋_GBK"/>
          <w:b w:val="0"/>
          <w:color w:val="000000" w:themeColor="text1"/>
          <w:sz w:val="44"/>
          <w:szCs w:val="44"/>
        </w:rPr>
        <w:t>2022年度部门决算情况说明</w:t>
      </w:r>
    </w:p>
    <w:p>
      <w:pPr>
        <w:pStyle w:val="8"/>
        <w:widowControl w:val="0"/>
        <w:shd w:val="clear" w:color="auto" w:fill="FFFFFF"/>
        <w:overflowPunct w:val="0"/>
        <w:adjustRightInd w:val="0"/>
        <w:snapToGrid w:val="0"/>
        <w:spacing w:before="0" w:beforeAutospacing="0" w:after="0" w:afterAutospacing="0" w:line="600" w:lineRule="exact"/>
        <w:jc w:val="center"/>
        <w:rPr>
          <w:rFonts w:ascii="Times New Roman" w:hAnsi="Times New Roman" w:eastAsia="方正小标宋_GBK"/>
          <w:b/>
          <w:color w:val="000000" w:themeColor="text1"/>
          <w:sz w:val="44"/>
          <w:szCs w:val="44"/>
        </w:rPr>
      </w:pP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000000" w:themeColor="text1"/>
          <w:sz w:val="32"/>
          <w:szCs w:val="32"/>
        </w:rPr>
      </w:pPr>
      <w:r>
        <w:rPr>
          <w:rStyle w:val="11"/>
          <w:rFonts w:hint="eastAsia" w:ascii="Times New Roman" w:hAnsi="Times New Roman" w:eastAsia="方正黑体_GBK"/>
          <w:b w:val="0"/>
          <w:color w:val="000000" w:themeColor="text1"/>
          <w:sz w:val="32"/>
          <w:szCs w:val="32"/>
        </w:rPr>
        <w:t>一、部门基本情况</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（一）职能职责</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1. 执行本级人民代表大会决议以及上级国家行政机关的决定和命令；</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 执行全镇的社会和经济发展计划、预算，管理辖区内的经济、教育、科技、文化、卫生、体育事业和财政、民政、治安、人民调解、安全生产监督管理、移民开发、计划生育等行政工作；</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3. 保护社会主义的全民所有财产和劳动群众集体所有财产，保护公民私人所有的合法财产，维护社会秩序，保障公民的人身权利、民主权利和其他权利；</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4. 保护各种经济组织的合法权益；</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5. 贯彻执行党和国家的民族宗教政策，保障少数民族的权利和尊重少数民族的风俗习惯，尊重民族宗教信仰；</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6. 保障宪法和法律赋予妇女的男女平等、婚姻自由等各项权利；</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7. 接待办理人民群众来信来访，真实反映群众的意见和要求，保障地区稳定；</w:t>
      </w:r>
    </w:p>
    <w:p>
      <w:pPr>
        <w:pStyle w:val="8"/>
        <w:widowControl w:val="0"/>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黑体"/>
          <w:color w:val="000000" w:themeColor="text1"/>
          <w:sz w:val="32"/>
          <w:szCs w:val="32"/>
        </w:rPr>
      </w:pPr>
      <w:r>
        <w:rPr>
          <w:rFonts w:hint="eastAsia" w:ascii="Times New Roman" w:hAnsi="Times New Roman" w:eastAsia="方正仿宋_GBK" w:cs="方正仿宋_GBK"/>
          <w:color w:val="000000" w:themeColor="text1"/>
          <w:sz w:val="32"/>
          <w:szCs w:val="32"/>
        </w:rPr>
        <w:t>8. 承办上级党委、政府和镇党委交办的其他工作。</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（二）机构设置</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综合办事机构9个，分别是党政办公室、党群工作办公室、经济发展办公室、民政和社会事务办公室、平安建设办公室、规划建设管理环保办公室、财政办公室、应急管理办公室、综合行政执法办公室。下设事业单位5个，分别是农业服务中心、文化服务中心、劳动就业和社会保障服务所、退役军人服务站、综合行政执法大队。</w:t>
      </w:r>
    </w:p>
    <w:p>
      <w:pPr>
        <w:pStyle w:val="8"/>
        <w:widowControl w:val="0"/>
        <w:numPr>
          <w:ilvl w:val="0"/>
          <w:numId w:val="1"/>
        </w:numPr>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单位构成。</w:t>
      </w:r>
    </w:p>
    <w:p>
      <w:pPr>
        <w:pStyle w:val="8"/>
        <w:widowControl w:val="0"/>
        <w:shd w:val="clear" w:color="auto" w:fill="FFFFFF"/>
        <w:overflowPunct w:val="0"/>
        <w:adjustRightInd w:val="0"/>
        <w:snapToGrid w:val="0"/>
        <w:spacing w:before="0" w:beforeAutospacing="0" w:after="0" w:afterAutospacing="0" w:line="600" w:lineRule="exact"/>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 xml:space="preserve">    从预算单位构成看，无纳入本部门2022年度决算编制的二级预算单位。</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000000" w:themeColor="text1"/>
          <w:sz w:val="32"/>
          <w:szCs w:val="32"/>
        </w:rPr>
      </w:pPr>
      <w:r>
        <w:rPr>
          <w:rStyle w:val="11"/>
          <w:rFonts w:hint="eastAsia" w:ascii="Times New Roman" w:hAnsi="Times New Roman" w:eastAsia="方正黑体_GBK"/>
          <w:b w:val="0"/>
          <w:color w:val="000000" w:themeColor="text1"/>
          <w:sz w:val="32"/>
          <w:szCs w:val="32"/>
        </w:rPr>
        <w:t>二、部门决算情况说明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（一）收入支出决算总体情况说明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1. 总体情况。</w:t>
      </w:r>
      <w:r>
        <w:rPr>
          <w:rFonts w:hint="eastAsia" w:ascii="Times New Roman" w:hAnsi="Times New Roman" w:eastAsia="方正仿宋_GBK"/>
          <w:color w:val="000000" w:themeColor="text1"/>
          <w:sz w:val="32"/>
          <w:szCs w:val="32"/>
        </w:rPr>
        <w:t>2022年度收入总计3,020.00万元，支出总计3,020.00万元。收支较上年决算数减少657.47万元,下降17.9%，主要原因是财政资金紧张，项目开支减少，如农林水支出、城乡社区支出、交通运输支出等。</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2. 收入情况。</w:t>
      </w:r>
      <w:r>
        <w:rPr>
          <w:rFonts w:hint="eastAsia" w:ascii="Times New Roman" w:hAnsi="Times New Roman" w:eastAsia="方正仿宋_GBK"/>
          <w:color w:val="000000" w:themeColor="text1"/>
          <w:sz w:val="32"/>
          <w:szCs w:val="32"/>
        </w:rPr>
        <w:t>2022年度收入合计2,684.33万元，较上年决算数减少993.14万元，下降27%，主要原因是财政资金紧张，一般公共财政拨款收入减少，如一般公共服务支出收入、社会保障和就业支出收入、交通运输支出收入等。其中：财政拨款收入2,684.33万元，占100%。此外，使用非财政拨款结余0万元，年初结转和结余335.67万元。</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shd w:val="clear" w:color="auto" w:fill="FFFF00"/>
        </w:rPr>
      </w:pPr>
      <w:r>
        <w:rPr>
          <w:rStyle w:val="11"/>
          <w:rFonts w:hint="eastAsia" w:ascii="Times New Roman" w:hAnsi="Times New Roman" w:eastAsia="方正仿宋_GBK"/>
          <w:b w:val="0"/>
          <w:color w:val="000000" w:themeColor="text1"/>
          <w:sz w:val="32"/>
          <w:szCs w:val="32"/>
        </w:rPr>
        <w:t>3. 支出情况。</w:t>
      </w:r>
      <w:r>
        <w:rPr>
          <w:rFonts w:hint="eastAsia" w:ascii="Times New Roman" w:hAnsi="Times New Roman" w:eastAsia="方正仿宋_GBK"/>
          <w:color w:val="000000" w:themeColor="text1"/>
          <w:sz w:val="32"/>
          <w:szCs w:val="32"/>
        </w:rPr>
        <w:t>2022年度支出合计2,793.25万元，较上年决算减少884.22万元，下降24%，主要原因是财政资金紧张，项目开支减少，如农林水支出、城乡社区支出、交通运输支出等。其中：基本支出1,647.47万元，占59%；项目支出1,145.78万元，占41%。此外，结余分配0万元。</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4. 结转结余情况。</w:t>
      </w:r>
      <w:r>
        <w:rPr>
          <w:rFonts w:hint="eastAsia" w:ascii="Times New Roman" w:hAnsi="Times New Roman" w:eastAsia="方正仿宋_GBK"/>
          <w:color w:val="000000" w:themeColor="text1"/>
          <w:sz w:val="32"/>
          <w:szCs w:val="32"/>
        </w:rPr>
        <w:t>2022年度年末结转和结余226.75万元，较上年决算数增加226.75万元，增长100%，主要原因是对账务进行了调账处理。</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（二）财政拨款收入支出决算总体情况说明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2022年度财政拨款收、支总计3,020.00万元。与2021年相比，财政拨款收、支总计各减少657.47万元，下降17.9%。主要原因是财政资金紧张，收入、支出均较去年减少项目开支减少，如农林水支出、城乡社区支出、交通运输支出等。</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color w:val="000000" w:themeColor="text1"/>
        </w:rPr>
      </w:pPr>
      <w:r>
        <w:rPr>
          <w:rStyle w:val="11"/>
          <w:rFonts w:hint="eastAsia" w:ascii="Times New Roman" w:hAnsi="Times New Roman" w:eastAsia="方正楷体_GBK"/>
          <w:b w:val="0"/>
          <w:color w:val="000000" w:themeColor="text1"/>
          <w:sz w:val="32"/>
          <w:szCs w:val="32"/>
        </w:rPr>
        <w:t>（三）一般公共预算财政拨款收入支出决算情况说明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1. 收入情况。</w:t>
      </w:r>
      <w:r>
        <w:rPr>
          <w:rFonts w:hint="eastAsia" w:ascii="Times New Roman" w:hAnsi="Times New Roman" w:eastAsia="方正仿宋_GBK"/>
          <w:color w:val="000000" w:themeColor="text1"/>
          <w:sz w:val="32"/>
          <w:szCs w:val="32"/>
        </w:rPr>
        <w:t>2022年度一般公共预算财政拨款收入2,601.45万元，较上年决算数减少393.94万元，下降13.2%。主要原因是财政资金紧张，一般公共财政拨款收入减少，如一般公共服务支出收入、社会保障和就业支出收入、交通运输支出收入等。较年初预算数增加1,104.91万元，增长73.8%。主要原因是年中进行了相应的预算调整。此外，年初财政拨款结转和结余335.67万元。</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2. 支出情况。</w:t>
      </w:r>
      <w:r>
        <w:rPr>
          <w:rFonts w:hint="eastAsia" w:ascii="Times New Roman" w:hAnsi="Times New Roman" w:eastAsia="方正仿宋_GBK"/>
          <w:color w:val="000000" w:themeColor="text1"/>
          <w:sz w:val="32"/>
          <w:szCs w:val="32"/>
        </w:rPr>
        <w:t>2022年度一般公共预算财政拨款支出2,710.37万元，较上年决算数减少285.02万元，下降9.5%。主要原因是财政资金紧张，一般公共财政拨款收入减少，如一般公共服务支出收入、社会保障和就业支出收入、交通运输支出收入等，支出相应减少。较年初预算数增加1,213.83万元，增长81.1%。主要原因一是上级转移支付未纳入年初预算；二是年初预算对超支情况未进行充分估计。</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3. 结转结余情况。</w:t>
      </w:r>
      <w:r>
        <w:rPr>
          <w:rFonts w:hint="eastAsia" w:ascii="Times New Roman" w:hAnsi="Times New Roman" w:eastAsia="方正仿宋_GBK"/>
          <w:color w:val="000000" w:themeColor="text1"/>
          <w:sz w:val="32"/>
          <w:szCs w:val="32"/>
        </w:rPr>
        <w:t>2022年度年末一般公共预算财政拨款结转和结余226.75万元，较上年决算数增加226.75万元，增长100%，主要原因是对账务进行了调账处理。</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仿宋_GBK"/>
          <w:b w:val="0"/>
          <w:color w:val="000000" w:themeColor="text1"/>
          <w:sz w:val="32"/>
          <w:szCs w:val="32"/>
        </w:rPr>
        <w:t>4. 比较情况。</w:t>
      </w:r>
      <w:r>
        <w:rPr>
          <w:rFonts w:hint="eastAsia" w:ascii="Times New Roman" w:hAnsi="Times New Roman" w:eastAsia="方正仿宋_GBK"/>
          <w:color w:val="000000" w:themeColor="text1"/>
          <w:sz w:val="32"/>
          <w:szCs w:val="32"/>
        </w:rPr>
        <w:t>本部门2022年度一般公共预算财政拨款支出主要用于以下几个方面：</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（1）一般公共服务支出512.21万元，占18.9%，较年初预算数减少58.87万元，下降10.3%，主要原因是行政运行开支减少。</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（2）文化旅游体育与传媒支出43.23万元，占1.6%，较年初预算数增加7.27万元，增长20.2%，主要原因是加大了对群众文化方面投入。</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（3）社会保障与就业支出382.19万元，占14.1%，较年初预算数增加142.48万元，增长59.4%，主要原因是增加了公益性岗位、残疾人支出。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（4）卫生健康支出78.30万元，占2.9%，较年初预算数增加23.68万元，增长43.4%，主要原因是增加了新冠疫情防控开支。</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（5）节能环保支出11.03万元，占0.4%，较年初预算数增加11.03万元，增长%，主要原因是支出了退耕还林项目款。</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（6）城乡社区支出80.90万元，占3%，较年初预算数增加6.85万元，增长9.3%，主要原因是增加了城乡公共设施支出及城乡卫生支出。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 xml:space="preserve">（7）农林水支出1,265.02万元，占46.7%，较年初预算数增加793.13万元，增长168.1%，主要原因是增加了农业、林业、水利、乡村振兴方面的项目支出。 </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（8）交通运输支出253.70万元，占9.4%，较年初预算数增加253.70万元，增长%，主要原因是增加了公路基础设施项目支出。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（9）住房保障支出49.75万元，占1.8%，较年初预算数增加0.52万元，增长1.1%，主要原因是住房公积金缴纳人数增多。</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（10）灾害防治及应急管理支出34.04万元，占1.3%，较年初预算数增加34.04万元，增长100%，主要原因是开支了不可预见的相关受灾补助等。</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（四）一般公共预算财政拨款基本支出决算情况说明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2022年度一般公共预算财政拨款基本支出1,647.47万元。其中：人员经费1,344.63万元，较上年决算数增加78.66万元，增长6.2%，主要原因是人员增加，开支增加。人员经费用途主要包括各类人员的工资、津贴及奖金、医疗费、公积金等开支。公用经费302.84万元，较上年决算数增加42.92万元，增长16.5%，主要原因是人员变多相应支出变多。公用经费用途主要包括办公费、水电费、邮电费、日常维修费、交通费等。</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（五）政府性基金预算收支决算情况说明。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2022年度政府性基金预算财政拨款年初结转结余0.00万元，年末结转结余0.00万元。本年收入82.88万元，较上年决算数减少599.20万元，下降87.8%，主要原因是财政资金紧张相应的基金预算收入减少。本年支出82.88万元，较上年决算数减少599.20万元，下降87.8%，主要原因是财政资金紧张相应的基金预算收入减少，开支相应减少。</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（六）国有资本经营预算财政拨款支出决算情况说明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shd w:val="clear" w:color="auto" w:fill="FFFF00"/>
        </w:rPr>
      </w:pPr>
      <w:r>
        <w:rPr>
          <w:rFonts w:hint="eastAsia" w:ascii="Times New Roman" w:hAnsi="Times New Roman" w:eastAsia="方正仿宋_GBK"/>
          <w:color w:val="000000" w:themeColor="text1"/>
          <w:sz w:val="32"/>
          <w:szCs w:val="32"/>
        </w:rPr>
        <w:t>本部门2022年度无国有资本经营预算财政拨款支出。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000000" w:themeColor="text1"/>
          <w:sz w:val="32"/>
          <w:szCs w:val="32"/>
        </w:rPr>
      </w:pPr>
      <w:r>
        <w:rPr>
          <w:rStyle w:val="11"/>
          <w:rFonts w:hint="eastAsia" w:ascii="Times New Roman" w:hAnsi="Times New Roman" w:eastAsia="方正黑体_GBK"/>
          <w:b w:val="0"/>
          <w:color w:val="000000" w:themeColor="text1"/>
          <w:sz w:val="32"/>
          <w:szCs w:val="32"/>
        </w:rPr>
        <w:t>三、“三公”经费情况说明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（一）“三公”经费支出总体情况说明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2022年度“三公”经费支出共计23.39万元，较年初预算数减少16.61万元，下降41.5%，主要原因是</w:t>
      </w:r>
      <w:r>
        <w:rPr>
          <w:rFonts w:hint="eastAsia" w:ascii="Times New Roman" w:hAnsi="Times New Roman" w:eastAsia="方正仿宋_GBK"/>
          <w:color w:val="000000" w:themeColor="text1"/>
          <w:sz w:val="32"/>
          <w:szCs w:val="32"/>
          <w:lang w:eastAsia="zh-CN"/>
        </w:rPr>
        <w:t>厉行勤俭节约</w:t>
      </w:r>
      <w:r>
        <w:rPr>
          <w:rFonts w:hint="eastAsia" w:ascii="Times New Roman" w:hAnsi="Times New Roman" w:eastAsia="方正仿宋_GBK"/>
          <w:color w:val="000000" w:themeColor="text1"/>
          <w:sz w:val="32"/>
          <w:szCs w:val="32"/>
        </w:rPr>
        <w:t>，减少相应开支。较上年支出数减少17.79万元，下降43.2%，主要原因是</w:t>
      </w:r>
      <w:r>
        <w:rPr>
          <w:rFonts w:hint="eastAsia" w:ascii="Times New Roman" w:hAnsi="Times New Roman" w:eastAsia="方正仿宋_GBK"/>
          <w:color w:val="000000" w:themeColor="text1"/>
          <w:sz w:val="32"/>
          <w:szCs w:val="32"/>
          <w:lang w:eastAsia="zh-CN"/>
        </w:rPr>
        <w:t>厉行勤俭节约</w:t>
      </w:r>
      <w:r>
        <w:rPr>
          <w:rFonts w:hint="eastAsia" w:ascii="Times New Roman" w:hAnsi="Times New Roman" w:eastAsia="方正仿宋_GBK"/>
          <w:color w:val="000000" w:themeColor="text1"/>
          <w:sz w:val="32"/>
          <w:szCs w:val="32"/>
        </w:rPr>
        <w:t>，减少相应开支。</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（二）“三公”经费分项支出情况</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本部门2022年度未发生因公出国（境）费用，与上年持平。</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本部门2022年度未发生公务车购置费。费用支出较年初预算数减少0万元，下降0</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；较上年支出数减少12.08万元，下降100%，较年初预算和上年决算下降的主要原因是上年新购置一台公务用车。</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公务车运行维护费9.97万元，主要用于下村开展工作、接送上级部门人员、到县城开展公务等产生的汽油费、维修费、保险费等。费用支出较年初预算数减少10.03万元，下降50.2%，主要原因是减少了公务车运行降低了相关成本。较上年支出数减少0.84万元，下降7.8%，主要原因是减少了公务车运行降低了相关成本。</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公务接待费13.42万元，主要用于接待各级部门到镇检查、指导工作等发生的餐费。费用支出较年初预算数减少6.58万元，下降32.9%，主要原因是</w:t>
      </w:r>
      <w:r>
        <w:rPr>
          <w:rFonts w:hint="eastAsia" w:ascii="Times New Roman" w:hAnsi="Times New Roman" w:eastAsia="方正仿宋_GBK"/>
          <w:color w:val="000000" w:themeColor="text1"/>
          <w:sz w:val="32"/>
          <w:szCs w:val="32"/>
          <w:lang w:eastAsia="zh-CN"/>
        </w:rPr>
        <w:t>厉行勤俭节约</w:t>
      </w:r>
      <w:r>
        <w:rPr>
          <w:rFonts w:hint="eastAsia" w:ascii="Times New Roman" w:hAnsi="Times New Roman" w:eastAsia="方正仿宋_GBK"/>
          <w:color w:val="000000" w:themeColor="text1"/>
          <w:sz w:val="32"/>
          <w:szCs w:val="32"/>
        </w:rPr>
        <w:t>，减少相应开支。较上年支出数减少4.87万元，下降26.6%，主要原因是</w:t>
      </w:r>
      <w:r>
        <w:rPr>
          <w:rFonts w:hint="eastAsia" w:ascii="Times New Roman" w:hAnsi="Times New Roman" w:eastAsia="方正仿宋_GBK"/>
          <w:color w:val="000000" w:themeColor="text1"/>
          <w:sz w:val="32"/>
          <w:szCs w:val="32"/>
          <w:lang w:eastAsia="zh-CN"/>
        </w:rPr>
        <w:t>厉行勤俭节约</w:t>
      </w:r>
      <w:r>
        <w:rPr>
          <w:rFonts w:hint="eastAsia" w:ascii="Times New Roman" w:hAnsi="Times New Roman" w:eastAsia="方正仿宋_GBK"/>
          <w:color w:val="000000" w:themeColor="text1"/>
          <w:sz w:val="32"/>
          <w:szCs w:val="32"/>
        </w:rPr>
        <w:t>，减少相应开支。</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（三）“三公”经费实物量情况</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2022年度本部门因公出国（境）共计0个团组，0人；公务用车购置0辆，公务车保有量为3辆；国内公务接待224批次2,237人，其中：国内外事接待0批次，0人；国（境）外公务接待0批次，0人。2022年本部门人均接待费60.00元，车均购置费0.00万元，车均维护费3.32万元。</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黑体_GBK"/>
        </w:rPr>
      </w:pPr>
      <w:r>
        <w:rPr>
          <w:rStyle w:val="11"/>
          <w:rFonts w:hint="eastAsia" w:ascii="Times New Roman" w:hAnsi="Times New Roman" w:eastAsia="方正黑体_GBK"/>
          <w:b w:val="0"/>
          <w:color w:val="000000" w:themeColor="text1"/>
          <w:sz w:val="32"/>
          <w:szCs w:val="32"/>
        </w:rPr>
        <w:t>四、其他需要说明的事项</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（一）财政拨款会议费和培训费情况说明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本年度会议费支出3.70万元，较上年决算数减少1.31万元，下降26.1%，主要原因是</w:t>
      </w:r>
      <w:r>
        <w:rPr>
          <w:rFonts w:hint="eastAsia" w:ascii="Times New Roman" w:hAnsi="Times New Roman" w:eastAsia="方正仿宋_GBK"/>
          <w:color w:val="000000" w:themeColor="text1"/>
          <w:sz w:val="32"/>
          <w:szCs w:val="32"/>
          <w:lang w:eastAsia="zh-CN"/>
        </w:rPr>
        <w:t>厉行勤俭节约</w:t>
      </w:r>
      <w:r>
        <w:rPr>
          <w:rFonts w:hint="eastAsia" w:ascii="Times New Roman" w:hAnsi="Times New Roman" w:eastAsia="方正仿宋_GBK"/>
          <w:color w:val="000000" w:themeColor="text1"/>
          <w:sz w:val="32"/>
          <w:szCs w:val="32"/>
        </w:rPr>
        <w:t>，减少相应开支。本年度培训费支出2.77万元，较上年决算数减少0.19万元，下降6.4%，主要原因是培训频次减少，开支减少。</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（二）机关运行经费支出情况说明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2022年度本部门机关运行经费支出186.57万元，主要用于开支办公费、水电费、邮电费、日常维修费等。机关运行经费较上年决算数增加77.64万元，增长71.3%，主要原因是人员变多相应支出变多。</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（三）国有资产占用情况说明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截至2022年12月31日，本部门共有车辆3辆，其中，副部（省）级及以上领导用车0辆、主要领导干部用车0辆、机要通信用车0辆、应急保障用车3辆、执法执勤用车0辆，特种专业技术用车0辆，离退休干部用车0辆，其他用车0辆。单价100万元（含）以上设备（不含车辆）0台（套）。</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（四）政府采购支出说明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 xml:space="preserve">2022年度我单位未发生政府采购事项，无相关经费支出。 </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000000" w:themeColor="text1"/>
          <w:sz w:val="32"/>
          <w:szCs w:val="32"/>
        </w:rPr>
      </w:pPr>
      <w:r>
        <w:rPr>
          <w:rStyle w:val="11"/>
          <w:rFonts w:hint="eastAsia" w:ascii="Times New Roman" w:hAnsi="Times New Roman" w:eastAsia="方正黑体_GBK"/>
          <w:b w:val="0"/>
          <w:color w:val="000000" w:themeColor="text1"/>
          <w:sz w:val="32"/>
          <w:szCs w:val="32"/>
        </w:rPr>
        <w:t>五、预算绩效管理情况说明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shd w:val="clear" w:color="auto" w:fill="FFFFFF"/>
        </w:rPr>
      </w:pPr>
      <w:r>
        <w:rPr>
          <w:rFonts w:hint="eastAsia" w:ascii="Times New Roman" w:hAnsi="Times New Roman" w:eastAsia="方正仿宋_GBK" w:cs="方正仿宋_GBK"/>
          <w:bCs/>
          <w:color w:val="000000" w:themeColor="text1"/>
          <w:sz w:val="32"/>
          <w:szCs w:val="32"/>
        </w:rPr>
        <w:t>丰都县南天湖镇人民政府贯彻执行党的路线方针政策和国家的法律法规、促进经济社会发展、加强社会管理和公共服务、维护社会和谐稳定，进一步强化场镇管理和村（社）服务工作。</w:t>
      </w:r>
      <w:r>
        <w:rPr>
          <w:rFonts w:hint="eastAsia" w:ascii="Times New Roman" w:hAnsi="Times New Roman" w:eastAsia="方正仿宋_GBK" w:cs="方正仿宋_GBK"/>
          <w:color w:val="000000" w:themeColor="text1"/>
          <w:sz w:val="32"/>
          <w:szCs w:val="32"/>
          <w:shd w:val="clear" w:color="auto" w:fill="FFFFFF"/>
        </w:rPr>
        <w:t>组织力量运用科学、合理的绩效评价指标、评价标准和评价方法，对本镇的2022年度部门预算整体支出进行了绩效评价，本次评价遵循了“科学规范、公正公开、分类管理、绩效相关”的原则。对南天湖镇梨地坪桃园、天抚花果山设施配套项目、2022年南天湖镇县级动物防疫资金等98个项目做了绩效自评</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楷体_GBK"/>
          <w:color w:val="000000" w:themeColor="text1"/>
          <w:sz w:val="32"/>
          <w:szCs w:val="32"/>
        </w:rPr>
      </w:pPr>
      <w:r>
        <w:rPr>
          <w:rStyle w:val="11"/>
          <w:rFonts w:hint="eastAsia" w:ascii="Times New Roman" w:hAnsi="Times New Roman" w:eastAsia="方正楷体_GBK"/>
          <w:b w:val="0"/>
          <w:color w:val="000000" w:themeColor="text1"/>
          <w:sz w:val="32"/>
          <w:szCs w:val="32"/>
        </w:rPr>
        <w:t>（一）预算绩效管理工作开展情况</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根据预算绩效管理要求，我单位对部门整体和98个项目开展了绩效自评，其中，以填报自评表形式开展自评98项，涉及资金2796.86万元。 从评价情况来看，项目立项较为规范，绩效目标明确，预算编制合理，管理科学规范，资金到位较为及时，总体完成情况较好，有力保障了财政资金使用效益；项目基本达到了预期绩效目标。</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楷体_GBK"/>
        </w:rPr>
      </w:pPr>
      <w:r>
        <w:rPr>
          <w:rStyle w:val="11"/>
          <w:rFonts w:hint="eastAsia" w:ascii="Times New Roman" w:hAnsi="Times New Roman" w:eastAsia="方正楷体_GBK"/>
          <w:b w:val="0"/>
          <w:color w:val="000000" w:themeColor="text1"/>
          <w:sz w:val="32"/>
          <w:szCs w:val="32"/>
        </w:rPr>
        <w:t>（二）绩效自评结果</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仿宋_GBK"/>
          <w:b w:val="0"/>
          <w:sz w:val="32"/>
          <w:szCs w:val="32"/>
        </w:rPr>
      </w:pPr>
      <w:r>
        <w:rPr>
          <w:rStyle w:val="11"/>
          <w:rFonts w:hint="eastAsia" w:ascii="Times New Roman" w:hAnsi="Times New Roman" w:eastAsia="方正仿宋_GBK"/>
          <w:b w:val="0"/>
          <w:color w:val="000000" w:themeColor="text1"/>
          <w:sz w:val="32"/>
          <w:szCs w:val="32"/>
        </w:rPr>
        <w:t>1. 绩效目标自评表。</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仿宋_GBK"/>
          <w:b w:val="0"/>
          <w:color w:val="000000" w:themeColor="text1"/>
          <w:sz w:val="32"/>
          <w:szCs w:val="32"/>
        </w:rPr>
      </w:pPr>
      <w:r>
        <w:rPr>
          <w:rStyle w:val="11"/>
          <w:rFonts w:hint="eastAsia" w:ascii="Times New Roman" w:hAnsi="Times New Roman" w:eastAsia="方正仿宋_GBK"/>
          <w:b w:val="0"/>
          <w:color w:val="000000" w:themeColor="text1"/>
          <w:sz w:val="32"/>
          <w:szCs w:val="32"/>
        </w:rPr>
        <w:t>详见附件1、附件2。</w:t>
      </w:r>
    </w:p>
    <w:p>
      <w:pPr>
        <w:widowControl w:val="0"/>
        <w:overflowPunct w:val="0"/>
        <w:adjustRightInd w:val="0"/>
        <w:snapToGrid w:val="0"/>
        <w:spacing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pict>
          <v:shape id="AutoShape 2" o:spid="_x0000_s1026" o:spt="32" type="#_x0000_t32" style="position:absolute;left:0pt;margin-left:-20.6pt;margin-top:-552.05pt;height:0pt;width:36pt;z-index:251659264;mso-width-relative:page;mso-height-relative:page;" filled="f" coordsize="21600,21600" o:gfxdata="UEsDBAoAAAAAAIdO4kAAAAAAAAAAAAAAAAAEAAAAZHJzL1BLAwQUAAAACACHTuJAOdCW69cAAAAO&#10;AQAADwAAAGRycy9kb3ducmV2LnhtbE2PQU/DMAyF70j8h8hIXNCWpAwEpek0TeLAkW0S16wxbaFx&#10;qiZdx3495rJxs/2enr9XLI++EwccYhvIgJ4rEEhVcC3VBnbb19kTiJgsOdsFQgM/GGFZXl8VNndh&#10;onc8bFItOIRibg00KfW5lLFq0Ns4Dz0Sa59h8DbxOtTSDXbicN/JTKlH6W1L/KGxPa4brL43ozeA&#10;cXzQavXs693babr7yE5fU7815vZGqxcQCY/pYoY/fEaHkpn2YSQXRWdgttAZW3nQWi00CPbcK26z&#10;P59kWcj/NcpfUEsDBBQAAAAIAIdO4kCSqyi90wEAALEDAAAOAAAAZHJzL2Uyb0RvYy54bWytU8uO&#10;2zAMvBfoPwi6N06Cpg8jzqJIsL1s2wC7/QBFlm2hkiiQSpz8fSnl0e32sof6IIgiOeQM6eXd0Ttx&#10;MEgWQiNnk6kUJmhobegb+fPp/t0nKSip0CoHwTTyZEjerd6+WY6xNnMYwLUGBYMEqsfYyCGlWFcV&#10;6cF4RROIJrCzA/QqsYl91aIaGd27aj6dfqhGwDYiaEPEr5uzU14Q8TWA0HVWmw3ovTchnVHROJWY&#10;Eg02klyVbrvO6PSj68gk4RrJTFM5uQjfd/msVktV96jiYPWlBfWaFl5w8soGLnqD2qikxB7tP1De&#10;agSCLk00+OpMpCjCLGbTF9o8DiqawoWlpngTnf4frP5+2KKwLW+CFEF5HviXfYJSWcyzPGOkmqPW&#10;YYuZoD6Gx/gA+heJAOtBhd6U4KdT5NxZzqj+SskGRS6yG79ByzGK8YtWxw59hmQVxLGM5HQbiTkm&#10;ofnx/eIjL40U+uqqVH3Ni0jpqwEv8qWRlFDZfkhrCIHnDjgrVdThgVLuStXXhFw0wL11rozfBTE2&#10;8vNivigJBM622ZnDCPvd2qE4qLxA5SsU2fM8DGEf2nMRFy4KZNJn+XbQnrZ4VYYnWbq5bF1eled2&#10;yf7zp6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nQluvXAAAADgEAAA8AAAAAAAAAAQAgAAAA&#10;IgAAAGRycy9kb3ducmV2LnhtbFBLAQIUABQAAAAIAIdO4kCSqyi90wEAALEDAAAOAAAAAAAAAAEA&#10;IAAAACYBAABkcnMvZTJvRG9jLnhtbFBLBQYAAAAABgAGAFkBAABrBQAAAAA=&#10;">
            <v:path arrowok="t"/>
            <v:fill on="f" focussize="0,0"/>
            <v:stroke/>
            <v:imagedata o:title=""/>
            <o:lock v:ext="edit"/>
          </v:shape>
        </w:pict>
      </w:r>
      <w:r>
        <w:rPr>
          <w:rFonts w:hint="eastAsia" w:ascii="Times New Roman" w:hAnsi="Times New Roman" w:eastAsia="方正仿宋_GBK"/>
          <w:color w:val="000000" w:themeColor="text1"/>
          <w:sz w:val="32"/>
          <w:szCs w:val="32"/>
        </w:rPr>
        <w:t>2. 绩效自评报告或案例</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bCs/>
          <w:color w:val="000000" w:themeColor="text1"/>
          <w:sz w:val="32"/>
          <w:szCs w:val="32"/>
        </w:rPr>
        <w:t>我单位未委托第三方开展绩效自评。</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Style w:val="11"/>
          <w:rFonts w:ascii="Times New Roman" w:hAnsi="Times New Roman" w:eastAsia="方正仿宋_GBK"/>
          <w:b w:val="0"/>
          <w:sz w:val="32"/>
          <w:szCs w:val="32"/>
        </w:rPr>
      </w:pPr>
      <w:r>
        <w:rPr>
          <w:rStyle w:val="11"/>
          <w:rFonts w:hint="eastAsia" w:ascii="Times New Roman" w:hAnsi="Times New Roman" w:eastAsia="方正仿宋_GBK"/>
          <w:b w:val="0"/>
          <w:color w:val="000000" w:themeColor="text1"/>
          <w:sz w:val="32"/>
          <w:szCs w:val="32"/>
        </w:rPr>
        <w:t>3. 关于绩效自评结果的说明。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bCs/>
          <w:color w:val="000000" w:themeColor="text1"/>
          <w:sz w:val="32"/>
          <w:szCs w:val="32"/>
        </w:rPr>
        <w:t>问题一、部分资金下达较慢，拨付滞后。</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s="方正仿宋_GBK"/>
          <w:color w:val="000000" w:themeColor="text1"/>
          <w:sz w:val="32"/>
          <w:szCs w:val="32"/>
          <w:shd w:val="clear" w:color="auto" w:fill="FFFFFF"/>
        </w:rPr>
      </w:pPr>
      <w:r>
        <w:rPr>
          <w:rFonts w:hint="eastAsia" w:ascii="Times New Roman" w:hAnsi="Times New Roman" w:eastAsia="方正仿宋_GBK" w:cs="方正仿宋_GBK"/>
          <w:bCs/>
          <w:color w:val="000000" w:themeColor="text1"/>
          <w:sz w:val="32"/>
          <w:szCs w:val="32"/>
        </w:rPr>
        <w:t>问题二、绩效管理的经验不足，项目的部分成果未有效运用指标形式表示；</w:t>
      </w:r>
      <w:r>
        <w:rPr>
          <w:rFonts w:hint="eastAsia" w:ascii="Times New Roman" w:hAnsi="Times New Roman" w:eastAsia="方正仿宋_GBK" w:cs="方正仿宋_GBK"/>
          <w:color w:val="000000" w:themeColor="text1"/>
          <w:sz w:val="32"/>
          <w:szCs w:val="32"/>
          <w:shd w:val="clear" w:color="auto" w:fill="FFFFFF"/>
        </w:rPr>
        <w:t>项目绩效目标设置不够科学，绩效指标细化量化但部分指标缺乏合理性，部分产出指标及效益指标有待优化。</w:t>
      </w:r>
    </w:p>
    <w:p>
      <w:pPr>
        <w:widowControl w:val="0"/>
        <w:overflowPunct w:val="0"/>
        <w:adjustRightInd w:val="0"/>
        <w:snapToGrid w:val="0"/>
        <w:spacing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下一步改进措施</w:t>
      </w:r>
    </w:p>
    <w:p>
      <w:pPr>
        <w:widowControl w:val="0"/>
        <w:overflowPunct w:val="0"/>
        <w:adjustRightInd w:val="0"/>
        <w:snapToGrid w:val="0"/>
        <w:spacing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s="方正仿宋_GBK"/>
          <w:color w:val="000000" w:themeColor="text1"/>
          <w:sz w:val="32"/>
          <w:szCs w:val="32"/>
          <w:shd w:val="clear" w:color="auto" w:fill="FFFFFF"/>
        </w:rPr>
        <w:t>一是进一步加强项目资金管理。严格实行项目管理程序化，实现项目申报、实施、拨付、评价全流程监督与控制，规范专项资金管理，提高专项资金的使用效益。二是加强资金计划衔接，加快资金拨付进度，提高资金到位率。三是加强指标设置管理，将各项指标设计更科学有效。</w:t>
      </w:r>
    </w:p>
    <w:p>
      <w:pPr>
        <w:widowControl w:val="0"/>
        <w:overflowPunct w:val="0"/>
        <w:adjustRightInd w:val="0"/>
        <w:snapToGrid w:val="0"/>
        <w:spacing w:line="600" w:lineRule="exact"/>
        <w:ind w:firstLine="640" w:firstLineChars="200"/>
        <w:jc w:val="both"/>
        <w:rPr>
          <w:rFonts w:ascii="Times New Roman" w:hAnsi="Times New Roman" w:eastAsia="方正楷体_GBK"/>
          <w:color w:val="000000" w:themeColor="text1"/>
          <w:sz w:val="32"/>
          <w:szCs w:val="32"/>
        </w:rPr>
      </w:pPr>
      <w:r>
        <w:rPr>
          <w:rFonts w:hint="eastAsia" w:ascii="Times New Roman" w:hAnsi="Times New Roman" w:eastAsia="方正楷体_GBK"/>
          <w:color w:val="000000" w:themeColor="text1"/>
          <w:sz w:val="32"/>
          <w:szCs w:val="32"/>
        </w:rPr>
        <w:t>（三）重点绩效评价结果</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bCs/>
          <w:color w:val="000000" w:themeColor="text1"/>
          <w:sz w:val="32"/>
          <w:szCs w:val="32"/>
        </w:rPr>
        <w:t>我单位未委托第三方开展重点绩效评价。</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000000" w:themeColor="text1"/>
          <w:sz w:val="32"/>
          <w:szCs w:val="32"/>
        </w:rPr>
      </w:pPr>
      <w:r>
        <w:rPr>
          <w:rStyle w:val="11"/>
          <w:rFonts w:hint="eastAsia" w:ascii="Times New Roman" w:hAnsi="Times New Roman" w:eastAsia="方正黑体_GBK"/>
          <w:b w:val="0"/>
          <w:color w:val="000000" w:themeColor="text1"/>
          <w:sz w:val="32"/>
          <w:szCs w:val="32"/>
        </w:rPr>
        <w:t>六、专业名词解释</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（一）财政拨款收入</w:t>
      </w:r>
      <w:r>
        <w:rPr>
          <w:rFonts w:hint="eastAsia" w:ascii="Times New Roman" w:hAnsi="Times New Roman" w:eastAsia="方正楷体_GBK"/>
          <w:color w:val="000000" w:themeColor="text1"/>
          <w:sz w:val="32"/>
          <w:szCs w:val="32"/>
        </w:rPr>
        <w:t>：</w:t>
      </w:r>
      <w:r>
        <w:rPr>
          <w:rFonts w:hint="eastAsia" w:ascii="Times New Roman" w:hAnsi="Times New Roman" w:eastAsia="方正仿宋_GBK"/>
          <w:color w:val="000000" w:themeColor="text1"/>
          <w:sz w:val="32"/>
          <w:szCs w:val="32"/>
        </w:rPr>
        <w:t>指本年度从本级财政部门取得的财政拨款，包括一般公共预算财政拨款和政府性基金预算财政拨款。</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（二）事业收入</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指事业单位开展专业业务活动及其辅助活动取得的现金流入；事业单位收到的财政专户实际核拨的教育收费等资金在此反映。</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（三）经营收入</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指事业单位在专业业务活动及其辅助活动之外开展非独立核算经营活动取得的现金流入。</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（四）其他收入</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（五）使用非财政拨款结余</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指单位在当年的“财政拨款收入”、“事业收入”、“经营收入”、“其他收入”等不足以安排当年支出的情况下，使用以前年度积累的非财政拨款结余弥补本年度收支缺口的资金。</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（六）年初结转和结余</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指单位上年结转本年使用的基本支出结转、项目支出结转和结余、经营结余。</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（七）结余分配</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指单位按照国家有关规定，缴纳所得税、提取专用基金、转入非财政拨款结余等当年结余的分配情况。</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（八）年末结转和结余</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指单位结转下年的基本支出结转、项目支出结转和结余、经营结余。</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（九）基本支出</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（十）项目支出</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指在基本支出之外为完成特定行政任务和事业发展目标所发生的支出。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（十一）经营支出</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指事业单位在专业业务活动及其辅助活动之外开展非独立核算经营活动发生的支出。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（十二）“三公”经费</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（十三）机关运行经费</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（十四）工资福利支出（支出经济分类科目类级）</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反映单位开支的在职职工和编制外长期聘用人员的各类劳动报酬，以及为上述人员缴纳的各项社会保险费等。</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（十五）商品和服务支出（支出经济分类科目类级）</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反映单位购买商品和服务的支出（不包括用于购置固定资产的支出、战略性和应急储备支出）。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（十六）对个人和家庭的补助（支出经济分类科目类级）</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反映用于对个人和家庭的补助支出。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Style w:val="11"/>
          <w:rFonts w:hint="eastAsia" w:ascii="Times New Roman" w:hAnsi="Times New Roman" w:eastAsia="方正楷体_GBK"/>
          <w:b w:val="0"/>
          <w:color w:val="000000" w:themeColor="text1"/>
          <w:sz w:val="32"/>
          <w:szCs w:val="32"/>
        </w:rPr>
        <w:t>（十七）其他资本性支出（支出经济分类科目类级）</w:t>
      </w:r>
      <w:r>
        <w:rPr>
          <w:rStyle w:val="11"/>
          <w:rFonts w:hint="eastAsia" w:ascii="Times New Roman" w:hAnsi="Times New Roman" w:eastAsia="方正楷体_GBK"/>
        </w:rPr>
        <w:t>：</w:t>
      </w:r>
      <w:r>
        <w:rPr>
          <w:rFonts w:hint="eastAsia" w:ascii="Times New Roman" w:hAnsi="Times New Roman" w:eastAsia="方正仿宋_GBK"/>
          <w:color w:val="000000" w:themeColor="text1"/>
          <w:sz w:val="32"/>
          <w:szCs w:val="32"/>
        </w:rPr>
        <w:t>反映非各级发展与改革部门集中安排的用于购置固定资产、战略性和应急性储备、土地和无形资产，以及构建基础设施、大型修缮和财政支持企业更新改造所发生的支出。</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000000" w:themeColor="text1"/>
          <w:sz w:val="32"/>
          <w:szCs w:val="32"/>
        </w:rPr>
      </w:pPr>
      <w:r>
        <w:rPr>
          <w:rStyle w:val="11"/>
          <w:rFonts w:hint="eastAsia" w:ascii="Times New Roman" w:hAnsi="Times New Roman" w:eastAsia="方正黑体_GBK"/>
          <w:b w:val="0"/>
          <w:color w:val="000000" w:themeColor="text1"/>
          <w:sz w:val="32"/>
          <w:szCs w:val="32"/>
        </w:rPr>
        <w:t>七、决算公开联系方式及信息反馈渠道</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本单位决算公开信息反馈和联系方式：</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崔袁睿；023-70670011</w:t>
      </w:r>
    </w:p>
    <w:p>
      <w:pPr>
        <w:pStyle w:val="8"/>
        <w:widowControl w:val="0"/>
        <w:shd w:val="clear" w:color="auto" w:fill="FFFFFF"/>
        <w:overflowPunct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themeColor="text1"/>
          <w:sz w:val="32"/>
          <w:szCs w:val="32"/>
        </w:rPr>
      </w:pPr>
    </w:p>
    <w:p>
      <w:pPr>
        <w:adjustRightInd w:val="0"/>
        <w:snapToGrid w:val="0"/>
        <w:spacing w:line="600" w:lineRule="exact"/>
        <w:ind w:firstLine="640" w:firstLineChars="200"/>
        <w:rPr>
          <w:rFonts w:ascii="Times New Roman" w:hAnsi="Times New Roman" w:eastAsia="方正小标宋_GBK"/>
          <w:color w:val="000000" w:themeColor="text1"/>
          <w:sz w:val="44"/>
          <w:szCs w:val="44"/>
        </w:rPr>
      </w:pPr>
      <w:r>
        <w:rPr>
          <w:rFonts w:hint="eastAsia" w:ascii="Times New Roman" w:hAnsi="Times New Roman" w:eastAsia="方正仿宋_GBK"/>
          <w:color w:val="000000" w:themeColor="text1"/>
          <w:sz w:val="32"/>
          <w:szCs w:val="32"/>
        </w:rPr>
        <w:t>附件：绩效自评表</w:t>
      </w: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黑体_GBK"/>
          <w:color w:val="000000" w:themeColor="text1"/>
          <w:sz w:val="32"/>
          <w:szCs w:val="32"/>
        </w:rPr>
      </w:pP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黑体_GBK"/>
          <w:color w:val="000000" w:themeColor="text1"/>
          <w:sz w:val="32"/>
          <w:szCs w:val="32"/>
        </w:rPr>
      </w:pP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黑体_GBK"/>
          <w:color w:val="000000" w:themeColor="text1"/>
          <w:sz w:val="32"/>
          <w:szCs w:val="32"/>
        </w:rPr>
      </w:pP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黑体_GBK"/>
          <w:color w:val="000000" w:themeColor="text1"/>
          <w:sz w:val="32"/>
          <w:szCs w:val="32"/>
        </w:rPr>
      </w:pP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黑体_GBK"/>
          <w:color w:val="000000" w:themeColor="text1"/>
          <w:sz w:val="32"/>
          <w:szCs w:val="32"/>
        </w:rPr>
      </w:pP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黑体_GBK"/>
          <w:color w:val="000000" w:themeColor="text1"/>
          <w:sz w:val="32"/>
          <w:szCs w:val="32"/>
        </w:rPr>
      </w:pPr>
      <w:r>
        <w:rPr>
          <w:rFonts w:hint="eastAsia" w:ascii="Times New Roman" w:hAnsi="Times New Roman" w:eastAsia="方正黑体_GBK"/>
          <w:color w:val="000000" w:themeColor="text1"/>
          <w:sz w:val="32"/>
          <w:szCs w:val="32"/>
        </w:rPr>
        <w:t>附件</w:t>
      </w:r>
    </w:p>
    <w:p>
      <w:pPr>
        <w:pStyle w:val="8"/>
        <w:widowControl w:val="0"/>
        <w:shd w:val="clear" w:color="auto" w:fill="FFFFFF"/>
        <w:overflowPunct w:val="0"/>
        <w:adjustRightInd w:val="0"/>
        <w:snapToGrid w:val="0"/>
        <w:spacing w:before="0" w:beforeAutospacing="0" w:after="0" w:afterAutospacing="0" w:line="600" w:lineRule="exact"/>
        <w:rPr>
          <w:rFonts w:ascii="Times New Roman" w:hAnsi="Times New Roman" w:eastAsia="方正仿宋_GBK"/>
          <w:color w:val="000000" w:themeColor="text1"/>
          <w:sz w:val="32"/>
          <w:szCs w:val="32"/>
        </w:rPr>
      </w:pPr>
    </w:p>
    <w:p>
      <w:pPr>
        <w:adjustRightInd w:val="0"/>
        <w:snapToGrid w:val="0"/>
        <w:spacing w:line="600" w:lineRule="exact"/>
        <w:jc w:val="center"/>
        <w:rPr>
          <w:rFonts w:ascii="Times New Roman" w:hAnsi="Times New Roman" w:eastAsia="方正小标宋_GBK"/>
          <w:color w:val="000000" w:themeColor="text1"/>
          <w:sz w:val="44"/>
          <w:szCs w:val="44"/>
        </w:rPr>
      </w:pPr>
      <w:r>
        <w:rPr>
          <w:rFonts w:hint="eastAsia" w:ascii="Times New Roman" w:hAnsi="Times New Roman" w:eastAsia="方正小标宋_GBK"/>
          <w:color w:val="000000" w:themeColor="text1"/>
          <w:sz w:val="44"/>
          <w:szCs w:val="44"/>
        </w:rPr>
        <w:t>绩效自评表</w:t>
      </w:r>
    </w:p>
    <w:p>
      <w:pPr>
        <w:adjustRightInd w:val="0"/>
        <w:snapToGrid w:val="0"/>
        <w:spacing w:line="600" w:lineRule="exact"/>
        <w:jc w:val="center"/>
        <w:rPr>
          <w:rFonts w:ascii="Times New Roman" w:hAnsi="Times New Roman" w:eastAsia="方正楷体_GBK"/>
          <w:color w:val="000000" w:themeColor="text1"/>
          <w:sz w:val="32"/>
          <w:szCs w:val="32"/>
        </w:rPr>
      </w:pPr>
    </w:p>
    <w:tbl>
      <w:tblPr>
        <w:tblStyle w:val="9"/>
        <w:tblW w:w="10779" w:type="dxa"/>
        <w:jc w:val="center"/>
        <w:tblLayout w:type="autofit"/>
        <w:tblCellMar>
          <w:top w:w="0" w:type="dxa"/>
          <w:left w:w="108" w:type="dxa"/>
          <w:bottom w:w="0" w:type="dxa"/>
          <w:right w:w="108" w:type="dxa"/>
        </w:tblCellMar>
      </w:tblPr>
      <w:tblGrid>
        <w:gridCol w:w="1277"/>
        <w:gridCol w:w="616"/>
        <w:gridCol w:w="850"/>
        <w:gridCol w:w="992"/>
        <w:gridCol w:w="1039"/>
        <w:gridCol w:w="866"/>
        <w:gridCol w:w="1043"/>
        <w:gridCol w:w="709"/>
        <w:gridCol w:w="799"/>
        <w:gridCol w:w="992"/>
        <w:gridCol w:w="902"/>
        <w:gridCol w:w="992"/>
      </w:tblGrid>
      <w:tr>
        <w:tblPrEx>
          <w:tblCellMar>
            <w:top w:w="0" w:type="dxa"/>
            <w:left w:w="108" w:type="dxa"/>
            <w:bottom w:w="0" w:type="dxa"/>
            <w:right w:w="108" w:type="dxa"/>
          </w:tblCellMar>
        </w:tblPrEx>
        <w:trPr>
          <w:trHeight w:val="584" w:hRule="atLeast"/>
          <w:jc w:val="center"/>
        </w:trPr>
        <w:tc>
          <w:tcPr>
            <w:tcW w:w="1077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方正黑体_GBK" w:hAnsi="Times New Roman" w:eastAsia="方正黑体_GBK"/>
                <w:bCs/>
                <w:color w:val="000000" w:themeColor="text1"/>
                <w:sz w:val="36"/>
                <w:szCs w:val="40"/>
              </w:rPr>
            </w:pPr>
            <w:r>
              <w:rPr>
                <w:rFonts w:hint="eastAsia" w:ascii="方正黑体_GBK" w:hAnsi="Times New Roman" w:eastAsia="方正黑体_GBK"/>
                <w:bCs/>
                <w:color w:val="000000" w:themeColor="text1"/>
                <w:sz w:val="32"/>
                <w:szCs w:val="40"/>
              </w:rPr>
              <w:t>2022年度部门整体绩效自评表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项目名称：</w:t>
            </w:r>
          </w:p>
        </w:tc>
        <w:tc>
          <w:tcPr>
            <w:tcW w:w="1417" w:type="dxa"/>
            <w:gridSpan w:val="2"/>
            <w:tcBorders>
              <w:top w:val="nil"/>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丰都县南天湖镇整体自评</w:t>
            </w: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项目编码：</w:t>
            </w:r>
          </w:p>
        </w:tc>
        <w:tc>
          <w:tcPr>
            <w:tcW w:w="1656" w:type="dxa"/>
            <w:gridSpan w:val="2"/>
            <w:tcBorders>
              <w:top w:val="nil"/>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50023000022P000093</w:t>
            </w:r>
          </w:p>
        </w:tc>
        <w:tc>
          <w:tcPr>
            <w:tcW w:w="1043" w:type="dxa"/>
            <w:tcBorders>
              <w:top w:val="nil"/>
              <w:left w:val="nil"/>
              <w:bottom w:val="single" w:color="auto" w:sz="4" w:space="0"/>
              <w:right w:val="single" w:color="auto" w:sz="4" w:space="0"/>
            </w:tcBorders>
            <w:noWrap/>
            <w:vAlign w:val="center"/>
          </w:tcPr>
          <w:p>
            <w:pPr>
              <w:spacing w:line="240" w:lineRule="atLeas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自评总分：</w:t>
            </w:r>
          </w:p>
        </w:tc>
        <w:tc>
          <w:tcPr>
            <w:tcW w:w="1508" w:type="dxa"/>
            <w:gridSpan w:val="2"/>
            <w:tcBorders>
              <w:top w:val="nil"/>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98.50</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nil"/>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项目主管部门：</w:t>
            </w:r>
          </w:p>
        </w:tc>
        <w:tc>
          <w:tcPr>
            <w:tcW w:w="1417" w:type="dxa"/>
            <w:gridSpan w:val="2"/>
            <w:tcBorders>
              <w:top w:val="single" w:color="auto" w:sz="4" w:space="0"/>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926-丰都县南天湖镇</w:t>
            </w: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财政归口处室：</w:t>
            </w:r>
          </w:p>
        </w:tc>
        <w:tc>
          <w:tcPr>
            <w:tcW w:w="1656" w:type="dxa"/>
            <w:gridSpan w:val="2"/>
            <w:tcBorders>
              <w:top w:val="single" w:color="auto" w:sz="4" w:space="0"/>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007-基财科</w:t>
            </w:r>
          </w:p>
        </w:tc>
        <w:tc>
          <w:tcPr>
            <w:tcW w:w="1043" w:type="dxa"/>
            <w:tcBorders>
              <w:top w:val="nil"/>
              <w:left w:val="nil"/>
              <w:bottom w:val="single" w:color="auto" w:sz="4" w:space="0"/>
              <w:right w:val="single" w:color="auto" w:sz="4" w:space="0"/>
            </w:tcBorders>
            <w:noWrap/>
            <w:vAlign w:val="center"/>
          </w:tcPr>
          <w:p>
            <w:pPr>
              <w:spacing w:line="240" w:lineRule="atLeast"/>
              <w:ind w:right="483"/>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部门</w:t>
            </w:r>
          </w:p>
          <w:p>
            <w:pPr>
              <w:spacing w:line="240" w:lineRule="atLeast"/>
              <w:ind w:right="16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联系人：</w:t>
            </w:r>
          </w:p>
        </w:tc>
        <w:tc>
          <w:tcPr>
            <w:tcW w:w="1508" w:type="dxa"/>
            <w:gridSpan w:val="2"/>
            <w:tcBorders>
              <w:top w:val="single" w:color="auto" w:sz="4" w:space="0"/>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崔袁睿</w:t>
            </w:r>
          </w:p>
        </w:tc>
        <w:tc>
          <w:tcPr>
            <w:tcW w:w="992" w:type="dxa"/>
            <w:tcBorders>
              <w:top w:val="nil"/>
              <w:left w:val="nil"/>
              <w:bottom w:val="single" w:color="auto" w:sz="4" w:space="0"/>
              <w:right w:val="single" w:color="auto" w:sz="4" w:space="0"/>
            </w:tcBorders>
            <w:noWrap/>
            <w:vAlign w:val="center"/>
          </w:tcPr>
          <w:p>
            <w:pPr>
              <w:spacing w:line="240" w:lineRule="atLeast"/>
              <w:ind w:right="18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联系</w:t>
            </w:r>
          </w:p>
          <w:p>
            <w:pPr>
              <w:spacing w:line="240" w:lineRule="atLeast"/>
              <w:ind w:right="18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电话</w:t>
            </w:r>
          </w:p>
        </w:tc>
        <w:tc>
          <w:tcPr>
            <w:tcW w:w="1894" w:type="dxa"/>
            <w:gridSpan w:val="2"/>
            <w:tcBorders>
              <w:top w:val="single" w:color="auto" w:sz="4" w:space="0"/>
              <w:left w:val="nil"/>
              <w:bottom w:val="single" w:color="auto" w:sz="4" w:space="0"/>
              <w:right w:val="single" w:color="auto" w:sz="4" w:space="0"/>
            </w:tcBorders>
            <w:noWrap/>
            <w:vAlign w:val="center"/>
          </w:tcPr>
          <w:p>
            <w:pPr>
              <w:spacing w:line="240" w:lineRule="atLeas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18883793787</w:t>
            </w:r>
          </w:p>
        </w:tc>
      </w:tr>
      <w:tr>
        <w:tblPrEx>
          <w:tblCellMar>
            <w:top w:w="0" w:type="dxa"/>
            <w:left w:w="108" w:type="dxa"/>
            <w:bottom w:w="0" w:type="dxa"/>
            <w:right w:w="108" w:type="dxa"/>
          </w:tblCellMar>
        </w:tblPrEx>
        <w:trPr>
          <w:trHeight w:val="469" w:hRule="atLeast"/>
          <w:jc w:val="center"/>
        </w:trPr>
        <w:tc>
          <w:tcPr>
            <w:tcW w:w="1077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微软雅黑"/>
                <w:b/>
                <w:bCs/>
                <w:color w:val="000000" w:themeColor="text1"/>
                <w:sz w:val="28"/>
                <w:szCs w:val="28"/>
              </w:rPr>
            </w:pPr>
            <w:r>
              <w:rPr>
                <w:rFonts w:hint="eastAsia" w:ascii="Times New Roman" w:hAnsi="Times New Roman" w:eastAsia="微软雅黑"/>
                <w:b/>
                <w:bCs/>
                <w:color w:val="000000" w:themeColor="text1"/>
                <w:sz w:val="18"/>
                <w:szCs w:val="28"/>
              </w:rPr>
              <w:t>资金情况</w:t>
            </w:r>
          </w:p>
        </w:tc>
      </w:tr>
      <w:tr>
        <w:tblPrEx>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c>
          <w:tcPr>
            <w:tcW w:w="1842" w:type="dxa"/>
            <w:gridSpan w:val="2"/>
            <w:tcBorders>
              <w:top w:val="single" w:color="auto" w:sz="4" w:space="0"/>
              <w:left w:val="nil"/>
              <w:bottom w:val="single" w:color="auto" w:sz="4" w:space="0"/>
              <w:right w:val="single" w:color="000000" w:sz="4" w:space="0"/>
            </w:tcBorders>
            <w:noWrap/>
            <w:vAlign w:val="center"/>
          </w:tcPr>
          <w:p>
            <w:pPr>
              <w:ind w:right="724"/>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年初预算数</w:t>
            </w:r>
          </w:p>
        </w:tc>
        <w:tc>
          <w:tcPr>
            <w:tcW w:w="1656"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全年（调整）</w:t>
            </w:r>
          </w:p>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预算数</w:t>
            </w:r>
          </w:p>
        </w:tc>
        <w:tc>
          <w:tcPr>
            <w:tcW w:w="1752" w:type="dxa"/>
            <w:gridSpan w:val="2"/>
            <w:tcBorders>
              <w:top w:val="single" w:color="auto" w:sz="4" w:space="0"/>
              <w:left w:val="nil"/>
              <w:bottom w:val="single" w:color="auto" w:sz="4" w:space="0"/>
              <w:right w:val="single" w:color="000000" w:sz="4" w:space="0"/>
            </w:tcBorders>
            <w:noWrap/>
            <w:vAlign w:val="center"/>
          </w:tcPr>
          <w:p>
            <w:pPr>
              <w:ind w:right="16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全年执行数</w:t>
            </w:r>
          </w:p>
        </w:tc>
        <w:tc>
          <w:tcPr>
            <w:tcW w:w="1791" w:type="dxa"/>
            <w:gridSpan w:val="2"/>
            <w:tcBorders>
              <w:top w:val="single" w:color="auto" w:sz="4" w:space="0"/>
              <w:left w:val="nil"/>
              <w:bottom w:val="single" w:color="auto" w:sz="4" w:space="0"/>
              <w:right w:val="single" w:color="000000" w:sz="4" w:space="0"/>
            </w:tcBorders>
            <w:noWrap/>
            <w:vAlign w:val="center"/>
          </w:tcPr>
          <w:p>
            <w:pPr>
              <w:ind w:right="322"/>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执行率</w:t>
            </w:r>
          </w:p>
        </w:tc>
        <w:tc>
          <w:tcPr>
            <w:tcW w:w="902"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执行率</w:t>
            </w:r>
          </w:p>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权重</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执行率</w:t>
            </w:r>
          </w:p>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得分</w:t>
            </w:r>
          </w:p>
        </w:tc>
      </w:tr>
      <w:tr>
        <w:tblPrEx>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年度总金额</w:t>
            </w:r>
          </w:p>
        </w:tc>
        <w:tc>
          <w:tcPr>
            <w:tcW w:w="1842"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14965363.27</w:t>
            </w:r>
          </w:p>
        </w:tc>
        <w:tc>
          <w:tcPr>
            <w:tcW w:w="1656"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33058453.86</w:t>
            </w:r>
          </w:p>
        </w:tc>
        <w:tc>
          <w:tcPr>
            <w:tcW w:w="1752"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27968599.36</w:t>
            </w:r>
          </w:p>
        </w:tc>
        <w:tc>
          <w:tcPr>
            <w:tcW w:w="1791"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85</w:t>
            </w:r>
          </w:p>
        </w:tc>
        <w:tc>
          <w:tcPr>
            <w:tcW w:w="90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其中：财政拨款</w:t>
            </w:r>
          </w:p>
        </w:tc>
        <w:tc>
          <w:tcPr>
            <w:tcW w:w="1842"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14965363.27</w:t>
            </w:r>
          </w:p>
        </w:tc>
        <w:tc>
          <w:tcPr>
            <w:tcW w:w="1656"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33058453.86</w:t>
            </w:r>
          </w:p>
        </w:tc>
        <w:tc>
          <w:tcPr>
            <w:tcW w:w="1752"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27968599.36</w:t>
            </w:r>
          </w:p>
        </w:tc>
        <w:tc>
          <w:tcPr>
            <w:tcW w:w="1791" w:type="dxa"/>
            <w:gridSpan w:val="2"/>
            <w:tcBorders>
              <w:top w:val="single" w:color="auto" w:sz="4" w:space="0"/>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85</w:t>
            </w:r>
          </w:p>
        </w:tc>
        <w:tc>
          <w:tcPr>
            <w:tcW w:w="90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8.5</w:t>
            </w:r>
          </w:p>
        </w:tc>
      </w:tr>
      <w:tr>
        <w:tblPrEx>
          <w:tblCellMar>
            <w:top w:w="0" w:type="dxa"/>
            <w:left w:w="108" w:type="dxa"/>
            <w:bottom w:w="0" w:type="dxa"/>
            <w:right w:w="108" w:type="dxa"/>
          </w:tblCellMar>
        </w:tblPrEx>
        <w:trPr>
          <w:trHeight w:val="600" w:hRule="atLeast"/>
          <w:jc w:val="center"/>
        </w:trPr>
        <w:tc>
          <w:tcPr>
            <w:tcW w:w="1077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微软雅黑"/>
                <w:b/>
                <w:bCs/>
                <w:color w:val="000000" w:themeColor="text1"/>
                <w:sz w:val="28"/>
                <w:szCs w:val="28"/>
              </w:rPr>
            </w:pPr>
            <w:r>
              <w:rPr>
                <w:rFonts w:hint="eastAsia" w:ascii="Times New Roman" w:hAnsi="Times New Roman" w:eastAsia="微软雅黑"/>
                <w:b/>
                <w:bCs/>
                <w:color w:val="000000" w:themeColor="text1"/>
                <w:szCs w:val="28"/>
              </w:rPr>
              <w:t>绩效目标</w:t>
            </w:r>
          </w:p>
        </w:tc>
      </w:tr>
      <w:tr>
        <w:tblPrEx>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年初绩效目标</w:t>
            </w:r>
          </w:p>
        </w:tc>
        <w:tc>
          <w:tcPr>
            <w:tcW w:w="3408" w:type="dxa"/>
            <w:gridSpan w:val="4"/>
            <w:tcBorders>
              <w:top w:val="single" w:color="auto" w:sz="4" w:space="0"/>
              <w:left w:val="nil"/>
              <w:bottom w:val="single" w:color="auto" w:sz="4" w:space="0"/>
              <w:right w:val="single" w:color="auto" w:sz="4" w:space="0"/>
            </w:tcBorders>
            <w:noWrap/>
            <w:vAlign w:val="center"/>
          </w:tcPr>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全年（调整）绩效目标</w:t>
            </w:r>
          </w:p>
        </w:tc>
        <w:tc>
          <w:tcPr>
            <w:tcW w:w="3685" w:type="dxa"/>
            <w:gridSpan w:val="4"/>
            <w:tcBorders>
              <w:top w:val="single" w:color="auto" w:sz="4" w:space="0"/>
              <w:left w:val="nil"/>
              <w:bottom w:val="single" w:color="auto" w:sz="4" w:space="0"/>
              <w:right w:val="single" w:color="auto" w:sz="4" w:space="0"/>
            </w:tcBorders>
            <w:noWrap/>
            <w:vAlign w:val="center"/>
          </w:tcPr>
          <w:p>
            <w:pPr>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368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南天湖政府办公室公文交换准确率达99.9%以上；镇政府门户网站信息发布量达到50批次以上；公共机构节能建设完成率达到99%；发展党员工作不少于6人次；实用技术、雨露计划培训各10人次以上；防贫返贫监测100%；宅基地审批实地查看10次以上；人大议案建议办理率100%；人大视察调研2次以上；完成一般公共预算收支1676.95万元（乡镇预算），做好三保，厉行节约，严控三公经费，无新增债务，完善固定资产管理，完成50个以上项目绩效评价和双监控；完成10个村（社区）代理记账，协助村（社区）集体资产管理；完成各项财政相关数据统计上报；完善社会救助，严格按照社会救助资金要求做到应保尽保、应退尽退；渝快办、网审平台证件办理率达到100%；通过卫生健康政策的全面实施，保障人民群众的生命健康，提高生活质量水平；实地查看灾情并开展救助救灾工作；全年开展危化品烟花爆竹检查100余次、督查检查道路交通200余次、开展消防安全检查200余次、非煤矿山安全检查40余次；退役及现役军人服务满意度达到90%以上；办结违法案件率达95%以上；完成上级下达危旧房改造计划达100%；生态环境保护和污染防治巡查达到12次以上；生活垃圾收集、转运率达95%以上，完成垃圾分类示范村建设2个；免费开放镇文化服务中心借阅图书3000册，文物巡查4次/点，送文化下乡演出6场次，正常运用广播村村响；医保参保人数达到14000余人，持续增长95%；社保参保人数达到10000余人，持续增长95%；城镇新增就业人数10人；职业技能培训10人；创业担保贷款200万元；接待群众办理林木采伐证150余人次；畜牧春秋二防两次，预防狂犬病、非洲猪瘟、畜禽污染治理等宣传，指导工作；农残速测每年不少于7200个；农机安全检查全年不少于48次；村级河长巡次数768次以上；供水维修养护受益对象15000人以上，河堤治理数量3.5公里以上。</w:t>
            </w:r>
          </w:p>
        </w:tc>
        <w:tc>
          <w:tcPr>
            <w:tcW w:w="3408"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南天湖政府办公室公文交换准确率达99.9%以上；镇政府门户网站信息发布量达到50批次以上；公共机构节能建设完成率达到99%；发展党员工作不少于6人次；实用技术、雨露计划培训各10人次以上；防贫返贫监测100%；宅基地审批实地查看10次以上；人大议案建议办理率100%；人大视察调研2次以上；完成一般公共预算收支1676.95万元（乡镇预算），做好三保，厉行节约，严控三公经费，无新增债务，完善固定资产管理，完成50个以上项目绩效评价和双监控；完成10个村（社区）代理记账，协助村（社区）集体资产管理；完成各项财政相关数据统计上报；完善社会救助，严格按照社会救助资金要求做到应保尽保、应退尽退；渝快办、网审平台证件办理率达到100%；通过卫生健康政策的全面实施，保障人民群众的生命健康，提高生活质量水平；实地查看灾情并开展救助救灾工作；全年开展危化品烟花爆竹检查100余次、督查检查道路交通200余次、开展消防安全检查200余次、非煤矿山安全检查40余次；退役及现役军人服务满意度达到90%以上；办结违法案件率达95%以上；完成上级下达危旧房改造计划达100%；生态环境保护和污染防治巡查达到12次以上；生活垃圾收集、转运率达95%以上，完成垃圾分类示范村建设2个；免费开放镇文化服务中心借阅图书3000册，文物巡查4次/点，送文化下乡演出6场次，正常运用广播村村响；医保参保人数达到14000余人，持续增长95%；社保参保人数达到10000余人，持续增长95%；城镇新增就业人数10人；职业技能培训10人；创业担保贷款200万元；接待群众办理林木采伐证150余人次；畜牧春秋二防两次，预防狂犬病、非洲猪瘟、畜禽污染治理等宣传，指导工作；农残速测每年不少于7200个；农机安全检查全年不少于48次；村级河长巡次数768次以上；供水维修养护受益对象15000人以上，河堤治理数量3.5公里以上。</w:t>
            </w:r>
          </w:p>
        </w:tc>
        <w:tc>
          <w:tcPr>
            <w:tcW w:w="3685"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南天湖政府办公室公文交换准确率达99.9%以上；镇政府门户网站信息发布量达到50批次以上；公共机构节能建设完成率达到99%；发展党员工作不少于6人次；实用技术、雨露计划培训各10人次以上；防贫返贫监测100%；宅基地审批实地查看10次以上；人大议案建议办理率100%；人大视察调研2次以上；完成一般公共预算收支1676.95万元（乡镇预算），做好三保，厉行节约，严控三公经费，无新增债务，完善固定资产管理，完成50个以上项目绩效评价和双监控；完成10个村（社区）代理记账，协助村（社区）集体资产管理；完成各项财政相关数据统计上报；完善社会救助，严格按照社会救助资金要求做到应保尽保、应退尽退；渝快办、网审平台证件办理率达到100%；通过卫生健康政策的全面实施，保障人民群众的生命健康，提高生活质量水平；实地查看灾情并开展救助救灾工作；全年开展危化品烟花爆竹检查100余次、督查检查道路交通200余次、开展消防安全检查200余次、非煤矿山安全检查40余次；退役及现役军人服务满意度达到90%以上；办结违法案件率达95%以上；完成上级下达危旧房改造计划达100%；生态环境保护和污染防治巡查达到12次以上；生活垃圾收集、转运率达95%以上，完成垃圾分类示范村建设2个；免费开放镇文化服务中心借阅图书3000册，文物巡查4次/点，送文化下乡演出6场次，正常运用广播村村响；医保参保人数达到14000余人，持续增长95%；社保参保人数达到10000余人，持续增长95%；城镇新增就业人数10人；职业技能培训10人；创业担保贷款200万元；接待群众办理林木采伐证150余人次；畜牧春秋二防两次，预防狂犬病、非洲猪瘟、畜禽污染治理等宣传，指导工作；农残速测每年不少于7200个；农机安全检查全年不少于48次；村级河长巡次数768次以上；供水维修养护受益对象15000人以上，河堤治理数量3.5公里以上。</w:t>
            </w:r>
          </w:p>
        </w:tc>
      </w:tr>
      <w:tr>
        <w:tblPrEx>
          <w:tblCellMar>
            <w:top w:w="0" w:type="dxa"/>
            <w:left w:w="108" w:type="dxa"/>
            <w:bottom w:w="0" w:type="dxa"/>
            <w:right w:w="108" w:type="dxa"/>
          </w:tblCellMar>
        </w:tblPrEx>
        <w:trPr>
          <w:trHeight w:val="600" w:hRule="atLeast"/>
          <w:jc w:val="center"/>
        </w:trPr>
        <w:tc>
          <w:tcPr>
            <w:tcW w:w="1077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微软雅黑"/>
                <w:b/>
                <w:bCs/>
                <w:color w:val="000000" w:themeColor="text1"/>
                <w:sz w:val="28"/>
                <w:szCs w:val="28"/>
              </w:rPr>
            </w:pPr>
            <w:r>
              <w:rPr>
                <w:rFonts w:hint="eastAsia" w:ascii="Times New Roman" w:hAnsi="Times New Roman" w:eastAsia="微软雅黑"/>
                <w:b/>
                <w:bCs/>
                <w:color w:val="000000" w:themeColor="text1"/>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名称</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计量单位</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性质</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指标值</w:t>
            </w:r>
          </w:p>
        </w:tc>
        <w:tc>
          <w:tcPr>
            <w:tcW w:w="903"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全年完成值</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偏离度（%）</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得分系数（%）</w:t>
            </w:r>
          </w:p>
        </w:tc>
        <w:tc>
          <w:tcPr>
            <w:tcW w:w="709"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权重</w:t>
            </w:r>
          </w:p>
        </w:tc>
        <w:tc>
          <w:tcPr>
            <w:tcW w:w="799"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得分</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是否核心指标</w:t>
            </w: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b/>
                <w:bCs/>
                <w:color w:val="000000" w:themeColor="text1"/>
                <w:sz w:val="16"/>
              </w:rPr>
            </w:pPr>
            <w:r>
              <w:rPr>
                <w:rFonts w:hint="eastAsia" w:ascii="Times New Roman" w:hAnsi="Times New Roman"/>
                <w:b/>
                <w:bCs/>
                <w:color w:val="000000" w:themeColor="text1"/>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发展党员工作</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人次</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6</w:t>
            </w:r>
          </w:p>
        </w:tc>
        <w:tc>
          <w:tcPr>
            <w:tcW w:w="90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6</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bCs/>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城镇新增就业人数</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150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150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村级河长巡查次数</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768</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768</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供水维修养护受益对象</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15000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15000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河堤治理数量</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公里</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3.5</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3.5</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借阅图书</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册</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3000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3000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林木采伐证办理</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件</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150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150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农残速测</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件</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7200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7200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农机安全检查</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件</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48</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48</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人大视察调研</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批次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社保参保</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生态环境保护和污染防治巡查</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12</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12</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实用技术、雨露计划培训</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送文化下乡</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场次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6</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6</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统计调查</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12</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12</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完成垃圾分类示范村建设</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个</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危化品烟花爆竹、道路交通安全、消防安全、非煤矿山等安全检查</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540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540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文物巡查</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4</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4</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畜牧春秋二防</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次/年</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医保参保</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14000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14000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宅基地办理</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户</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镇政府门户网站信息发布量</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次</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职业技能培训</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170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170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办结违法案件率</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95</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95</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防贫返贫监测</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公共机构节能建设完成率</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99</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99</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公文交换流转准确率</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99.9</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99.9</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广播村村响运用率</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3</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救助救灾</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定性</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基本建立</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基本建立</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人大议案建议办理率</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生活垃圾收集、转运</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危旧房改造合格率</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严格按照社会救助资金要求做到应保尽保、应退尽退</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创业担保贷款</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万元</w:t>
            </w:r>
          </w:p>
        </w:tc>
        <w:tc>
          <w:tcPr>
            <w:tcW w:w="850"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200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200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通过卫生健康政策的全面实施，保障人民群众的生命健康，提高生活质量水平</w:t>
            </w:r>
          </w:p>
        </w:tc>
        <w:tc>
          <w:tcPr>
            <w:tcW w:w="567"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定性</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有效改善</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有效改善</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w:t>
            </w:r>
          </w:p>
        </w:tc>
        <w:tc>
          <w:tcPr>
            <w:tcW w:w="992" w:type="dxa"/>
            <w:tcBorders>
              <w:top w:val="nil"/>
              <w:left w:val="nil"/>
              <w:bottom w:val="single" w:color="auto" w:sz="4" w:space="0"/>
              <w:right w:val="single" w:color="auto" w:sz="4" w:space="0"/>
            </w:tcBorders>
            <w:noWrap/>
            <w:vAlign w:val="center"/>
          </w:tcPr>
          <w:p>
            <w:pPr>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退役及现役军人服务满意度</w:t>
            </w:r>
          </w:p>
        </w:tc>
        <w:tc>
          <w:tcPr>
            <w:tcW w:w="567"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90</w:t>
            </w:r>
          </w:p>
        </w:tc>
        <w:tc>
          <w:tcPr>
            <w:tcW w:w="903"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90</w:t>
            </w:r>
          </w:p>
        </w:tc>
        <w:tc>
          <w:tcPr>
            <w:tcW w:w="753" w:type="dxa"/>
            <w:tcBorders>
              <w:top w:val="nil"/>
              <w:left w:val="nil"/>
              <w:bottom w:val="single" w:color="auto" w:sz="4" w:space="0"/>
              <w:right w:val="single" w:color="auto" w:sz="4" w:space="0"/>
            </w:tcBorders>
            <w:noWrap/>
            <w:vAlign w:val="center"/>
          </w:tcPr>
          <w:p>
            <w:pPr>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6</w:t>
            </w:r>
          </w:p>
        </w:tc>
        <w:tc>
          <w:tcPr>
            <w:tcW w:w="799"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6</w:t>
            </w:r>
          </w:p>
        </w:tc>
        <w:tc>
          <w:tcPr>
            <w:tcW w:w="992" w:type="dxa"/>
            <w:tcBorders>
              <w:top w:val="nil"/>
              <w:left w:val="nil"/>
              <w:bottom w:val="single" w:color="auto" w:sz="4" w:space="0"/>
              <w:right w:val="single" w:color="auto" w:sz="4" w:space="0"/>
            </w:tcBorders>
            <w:noWrap/>
            <w:vAlign w:val="center"/>
          </w:tcPr>
          <w:p>
            <w:pPr>
              <w:ind w:firstLine="160" w:firstLineChars="100"/>
              <w:jc w:val="center"/>
              <w:rPr>
                <w:rFonts w:ascii="Times New Roman" w:hAnsi="Times New Roman"/>
                <w:color w:val="000000" w:themeColor="text1"/>
                <w:sz w:val="16"/>
                <w:szCs w:val="16"/>
              </w:rPr>
            </w:pPr>
          </w:p>
        </w:tc>
        <w:tc>
          <w:tcPr>
            <w:tcW w:w="1894" w:type="dxa"/>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color w:val="000000" w:themeColor="text1"/>
                <w:sz w:val="16"/>
                <w:szCs w:val="16"/>
              </w:rPr>
            </w:pPr>
          </w:p>
        </w:tc>
      </w:tr>
    </w:tbl>
    <w:p>
      <w:pPr>
        <w:rPr>
          <w:rFonts w:ascii="Times New Roman" w:hAnsi="Times New Roman"/>
          <w:b/>
          <w:bCs/>
          <w:color w:val="000000" w:themeColor="text1"/>
          <w:sz w:val="32"/>
          <w:szCs w:val="32"/>
        </w:rPr>
      </w:pPr>
    </w:p>
    <w:p>
      <w:pPr>
        <w:spacing w:line="574" w:lineRule="exact"/>
        <w:rPr>
          <w:rFonts w:ascii="Times New Roman" w:hAnsi="Times New Roman"/>
          <w:b/>
          <w:bCs/>
          <w:color w:val="000000" w:themeColor="text1"/>
          <w:sz w:val="32"/>
          <w:szCs w:val="32"/>
        </w:rPr>
      </w:pPr>
    </w:p>
    <w:p>
      <w:pPr>
        <w:spacing w:line="574" w:lineRule="exact"/>
        <w:rPr>
          <w:rFonts w:ascii="Times New Roman" w:hAnsi="Times New Roman" w:eastAsia="方正黑体_GBK"/>
          <w:bCs/>
          <w:color w:val="000000" w:themeColor="text1"/>
          <w:sz w:val="32"/>
          <w:szCs w:val="32"/>
        </w:rPr>
      </w:pPr>
    </w:p>
    <w:p>
      <w:pPr>
        <w:spacing w:line="574" w:lineRule="exact"/>
        <w:rPr>
          <w:rFonts w:ascii="Times New Roman" w:hAnsi="Times New Roman" w:eastAsia="方正黑体_GBK"/>
          <w:bCs/>
          <w:color w:val="000000" w:themeColor="text1"/>
          <w:sz w:val="32"/>
          <w:szCs w:val="32"/>
        </w:rPr>
      </w:pPr>
    </w:p>
    <w:tbl>
      <w:tblPr>
        <w:tblStyle w:val="9"/>
        <w:tblW w:w="11019" w:type="dxa"/>
        <w:jc w:val="center"/>
        <w:tblLayout w:type="autofit"/>
        <w:tblCellMar>
          <w:top w:w="0" w:type="dxa"/>
          <w:left w:w="108" w:type="dxa"/>
          <w:bottom w:w="0" w:type="dxa"/>
          <w:right w:w="108" w:type="dxa"/>
        </w:tblCellMar>
      </w:tblPr>
      <w:tblGrid>
        <w:gridCol w:w="1277"/>
        <w:gridCol w:w="616"/>
        <w:gridCol w:w="850"/>
        <w:gridCol w:w="992"/>
        <w:gridCol w:w="1044"/>
        <w:gridCol w:w="870"/>
        <w:gridCol w:w="1043"/>
        <w:gridCol w:w="709"/>
        <w:gridCol w:w="799"/>
        <w:gridCol w:w="992"/>
        <w:gridCol w:w="902"/>
        <w:gridCol w:w="992"/>
      </w:tblGrid>
      <w:tr>
        <w:tblPrEx>
          <w:tblCellMar>
            <w:top w:w="0" w:type="dxa"/>
            <w:left w:w="108" w:type="dxa"/>
            <w:bottom w:w="0" w:type="dxa"/>
            <w:right w:w="108" w:type="dxa"/>
          </w:tblCellMar>
        </w:tblPrEx>
        <w:trPr>
          <w:trHeight w:val="584" w:hRule="atLeast"/>
          <w:jc w:val="center"/>
        </w:trPr>
        <w:tc>
          <w:tcPr>
            <w:tcW w:w="11019" w:type="dxa"/>
            <w:gridSpan w:val="12"/>
            <w:tcBorders>
              <w:top w:val="single" w:color="auto" w:sz="4" w:space="0"/>
              <w:left w:val="single" w:color="auto" w:sz="4" w:space="0"/>
              <w:bottom w:val="single" w:color="auto" w:sz="4" w:space="0"/>
              <w:right w:val="single" w:color="auto" w:sz="4" w:space="0"/>
            </w:tcBorders>
            <w:noWrap/>
            <w:vAlign w:val="center"/>
          </w:tcPr>
          <w:p>
            <w:pPr>
              <w:snapToGrid w:val="0"/>
              <w:spacing w:line="460" w:lineRule="exact"/>
              <w:jc w:val="center"/>
              <w:rPr>
                <w:rFonts w:ascii="方正黑体_GBK" w:hAnsi="Times New Roman" w:eastAsia="方正黑体_GBK"/>
                <w:bCs/>
                <w:color w:val="000000" w:themeColor="text1"/>
                <w:sz w:val="32"/>
                <w:szCs w:val="32"/>
              </w:rPr>
            </w:pPr>
            <w:r>
              <w:rPr>
                <w:rFonts w:hint="eastAsia" w:ascii="方正黑体_GBK" w:hAnsi="Times New Roman" w:eastAsia="方正黑体_GBK" w:cs="Times New Roman"/>
                <w:bCs/>
                <w:color w:val="000000" w:themeColor="text1"/>
                <w:sz w:val="32"/>
                <w:szCs w:val="32"/>
              </w:rPr>
              <w:t>2022</w:t>
            </w:r>
            <w:r>
              <w:rPr>
                <w:rFonts w:hint="eastAsia" w:ascii="方正黑体_GBK" w:hAnsi="Times New Roman" w:eastAsia="方正黑体_GBK"/>
                <w:bCs/>
                <w:color w:val="000000" w:themeColor="text1"/>
                <w:sz w:val="32"/>
                <w:szCs w:val="32"/>
              </w:rPr>
              <w:t>年度项目绩效自评表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项目名称：</w:t>
            </w:r>
          </w:p>
        </w:tc>
        <w:tc>
          <w:tcPr>
            <w:tcW w:w="1417" w:type="dxa"/>
            <w:gridSpan w:val="2"/>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天抚花果山产业园传统文化设施建设项目</w:t>
            </w: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项目编码：</w:t>
            </w:r>
          </w:p>
        </w:tc>
        <w:tc>
          <w:tcPr>
            <w:tcW w:w="1896" w:type="dxa"/>
            <w:gridSpan w:val="2"/>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50023022T000002428140</w:t>
            </w:r>
          </w:p>
        </w:tc>
        <w:tc>
          <w:tcPr>
            <w:tcW w:w="1043"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自评总分：</w:t>
            </w:r>
          </w:p>
        </w:tc>
        <w:tc>
          <w:tcPr>
            <w:tcW w:w="1508" w:type="dxa"/>
            <w:gridSpan w:val="2"/>
            <w:tcBorders>
              <w:top w:val="nil"/>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eastAsia="Times New Roman" w:cs="Times New Roman"/>
                <w:sz w:val="20"/>
                <w:szCs w:val="20"/>
              </w:rPr>
            </w:pPr>
          </w:p>
        </w:tc>
        <w:tc>
          <w:tcPr>
            <w:tcW w:w="1894" w:type="dxa"/>
            <w:gridSpan w:val="2"/>
            <w:tcBorders>
              <w:top w:val="nil"/>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项目主管部门：</w:t>
            </w:r>
          </w:p>
        </w:tc>
        <w:tc>
          <w:tcPr>
            <w:tcW w:w="1417"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926-丰都县南天湖镇</w:t>
            </w: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财政归口处室：</w:t>
            </w:r>
          </w:p>
        </w:tc>
        <w:tc>
          <w:tcPr>
            <w:tcW w:w="1896"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007-基财科</w:t>
            </w:r>
          </w:p>
        </w:tc>
        <w:tc>
          <w:tcPr>
            <w:tcW w:w="1043" w:type="dxa"/>
            <w:tcBorders>
              <w:top w:val="nil"/>
              <w:left w:val="nil"/>
              <w:bottom w:val="single" w:color="auto" w:sz="4" w:space="0"/>
              <w:right w:val="single" w:color="auto" w:sz="4" w:space="0"/>
            </w:tcBorders>
            <w:noWrap/>
            <w:vAlign w:val="center"/>
          </w:tcPr>
          <w:p>
            <w:pPr>
              <w:snapToGrid w:val="0"/>
              <w:spacing w:line="240" w:lineRule="exact"/>
              <w:ind w:right="483"/>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部门</w:t>
            </w:r>
          </w:p>
          <w:p>
            <w:pPr>
              <w:snapToGrid w:val="0"/>
              <w:spacing w:line="240" w:lineRule="exact"/>
              <w:ind w:right="16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联系人：</w:t>
            </w:r>
          </w:p>
        </w:tc>
        <w:tc>
          <w:tcPr>
            <w:tcW w:w="1508"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吴喆</w:t>
            </w:r>
          </w:p>
        </w:tc>
        <w:tc>
          <w:tcPr>
            <w:tcW w:w="992" w:type="dxa"/>
            <w:tcBorders>
              <w:top w:val="nil"/>
              <w:left w:val="nil"/>
              <w:bottom w:val="single" w:color="auto" w:sz="4" w:space="0"/>
              <w:right w:val="single" w:color="auto" w:sz="4" w:space="0"/>
            </w:tcBorders>
            <w:noWrap/>
            <w:vAlign w:val="center"/>
          </w:tcPr>
          <w:p>
            <w:pPr>
              <w:snapToGrid w:val="0"/>
              <w:spacing w:line="240" w:lineRule="exact"/>
              <w:ind w:right="18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联系</w:t>
            </w:r>
          </w:p>
          <w:p>
            <w:pPr>
              <w:snapToGrid w:val="0"/>
              <w:spacing w:line="240" w:lineRule="exact"/>
              <w:ind w:right="18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电话</w:t>
            </w:r>
          </w:p>
        </w:tc>
        <w:tc>
          <w:tcPr>
            <w:tcW w:w="1894"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13896777445</w:t>
            </w:r>
          </w:p>
        </w:tc>
      </w:tr>
      <w:tr>
        <w:tblPrEx>
          <w:tblCellMar>
            <w:top w:w="0" w:type="dxa"/>
            <w:left w:w="108" w:type="dxa"/>
            <w:bottom w:w="0" w:type="dxa"/>
            <w:right w:w="108" w:type="dxa"/>
          </w:tblCellMar>
        </w:tblPrEx>
        <w:trPr>
          <w:trHeight w:val="335" w:hRule="atLeast"/>
          <w:jc w:val="center"/>
        </w:trPr>
        <w:tc>
          <w:tcPr>
            <w:tcW w:w="11019" w:type="dxa"/>
            <w:gridSpan w:val="1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eastAsia="微软雅黑"/>
                <w:b/>
                <w:bCs/>
                <w:color w:val="000000" w:themeColor="text1"/>
                <w:sz w:val="28"/>
                <w:szCs w:val="28"/>
              </w:rPr>
            </w:pPr>
            <w:r>
              <w:rPr>
                <w:rFonts w:hint="eastAsia" w:ascii="Times New Roman" w:hAnsi="Times New Roman" w:eastAsia="微软雅黑"/>
                <w:b/>
                <w:bCs/>
                <w:color w:val="000000" w:themeColor="text1"/>
                <w:sz w:val="18"/>
                <w:szCs w:val="28"/>
              </w:rPr>
              <w:t>资金情况</w:t>
            </w:r>
          </w:p>
        </w:tc>
      </w:tr>
      <w:tr>
        <w:tblPrEx>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noWrap/>
            <w:vAlign w:val="center"/>
          </w:tcPr>
          <w:p>
            <w:pPr>
              <w:snapToGrid w:val="0"/>
              <w:spacing w:line="240" w:lineRule="exact"/>
              <w:jc w:val="center"/>
              <w:rPr>
                <w:rFonts w:ascii="Times New Roman" w:hAnsi="Times New Roman"/>
                <w:color w:val="000000" w:themeColor="text1"/>
                <w:sz w:val="16"/>
                <w:szCs w:val="16"/>
              </w:rPr>
            </w:pPr>
          </w:p>
        </w:tc>
        <w:tc>
          <w:tcPr>
            <w:tcW w:w="1842" w:type="dxa"/>
            <w:gridSpan w:val="2"/>
            <w:tcBorders>
              <w:top w:val="single" w:color="auto" w:sz="4" w:space="0"/>
              <w:left w:val="nil"/>
              <w:bottom w:val="single" w:color="auto" w:sz="4" w:space="0"/>
              <w:right w:val="single" w:color="000000" w:sz="4" w:space="0"/>
            </w:tcBorders>
            <w:noWrap/>
            <w:vAlign w:val="center"/>
          </w:tcPr>
          <w:p>
            <w:pPr>
              <w:snapToGrid w:val="0"/>
              <w:spacing w:line="240" w:lineRule="exact"/>
              <w:ind w:right="724"/>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年初预算数</w:t>
            </w:r>
          </w:p>
        </w:tc>
        <w:tc>
          <w:tcPr>
            <w:tcW w:w="1896" w:type="dxa"/>
            <w:gridSpan w:val="2"/>
            <w:tcBorders>
              <w:top w:val="single" w:color="auto" w:sz="4" w:space="0"/>
              <w:left w:val="nil"/>
              <w:bottom w:val="single" w:color="auto" w:sz="4" w:space="0"/>
              <w:right w:val="single" w:color="000000"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全年（调整）</w:t>
            </w:r>
          </w:p>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预算数</w:t>
            </w:r>
          </w:p>
        </w:tc>
        <w:tc>
          <w:tcPr>
            <w:tcW w:w="1752" w:type="dxa"/>
            <w:gridSpan w:val="2"/>
            <w:tcBorders>
              <w:top w:val="single" w:color="auto" w:sz="4" w:space="0"/>
              <w:left w:val="nil"/>
              <w:bottom w:val="single" w:color="auto" w:sz="4" w:space="0"/>
              <w:right w:val="single" w:color="000000" w:sz="4" w:space="0"/>
            </w:tcBorders>
            <w:noWrap/>
            <w:vAlign w:val="center"/>
          </w:tcPr>
          <w:p>
            <w:pPr>
              <w:snapToGrid w:val="0"/>
              <w:spacing w:line="240" w:lineRule="exact"/>
              <w:ind w:right="161"/>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全年执行数</w:t>
            </w:r>
          </w:p>
        </w:tc>
        <w:tc>
          <w:tcPr>
            <w:tcW w:w="1791" w:type="dxa"/>
            <w:gridSpan w:val="2"/>
            <w:tcBorders>
              <w:top w:val="single" w:color="auto" w:sz="4" w:space="0"/>
              <w:left w:val="nil"/>
              <w:bottom w:val="single" w:color="auto" w:sz="4" w:space="0"/>
              <w:right w:val="single" w:color="000000" w:sz="4" w:space="0"/>
            </w:tcBorders>
            <w:noWrap/>
            <w:vAlign w:val="center"/>
          </w:tcPr>
          <w:p>
            <w:pPr>
              <w:snapToGrid w:val="0"/>
              <w:spacing w:line="240" w:lineRule="exact"/>
              <w:ind w:right="322"/>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执行率</w:t>
            </w:r>
          </w:p>
        </w:tc>
        <w:tc>
          <w:tcPr>
            <w:tcW w:w="90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执行率</w:t>
            </w:r>
          </w:p>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权重</w:t>
            </w: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执行率</w:t>
            </w:r>
          </w:p>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得分</w:t>
            </w:r>
          </w:p>
        </w:tc>
      </w:tr>
      <w:tr>
        <w:tblPrEx>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年度总金额</w:t>
            </w:r>
          </w:p>
        </w:tc>
        <w:tc>
          <w:tcPr>
            <w:tcW w:w="1842"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0</w:t>
            </w:r>
          </w:p>
        </w:tc>
        <w:tc>
          <w:tcPr>
            <w:tcW w:w="1896"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299732.02</w:t>
            </w:r>
          </w:p>
        </w:tc>
        <w:tc>
          <w:tcPr>
            <w:tcW w:w="1752"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299732.02</w:t>
            </w:r>
          </w:p>
        </w:tc>
        <w:tc>
          <w:tcPr>
            <w:tcW w:w="1791"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eastAsia="Times New Roman" w:cs="Times New Roman"/>
                <w:sz w:val="20"/>
                <w:szCs w:val="20"/>
              </w:rPr>
            </w:pP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其中：财政拨款</w:t>
            </w:r>
          </w:p>
        </w:tc>
        <w:tc>
          <w:tcPr>
            <w:tcW w:w="1842"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0</w:t>
            </w:r>
          </w:p>
        </w:tc>
        <w:tc>
          <w:tcPr>
            <w:tcW w:w="1896"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299732.02</w:t>
            </w:r>
          </w:p>
        </w:tc>
        <w:tc>
          <w:tcPr>
            <w:tcW w:w="1752"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299732.02</w:t>
            </w:r>
          </w:p>
        </w:tc>
        <w:tc>
          <w:tcPr>
            <w:tcW w:w="1791" w:type="dxa"/>
            <w:gridSpan w:val="2"/>
            <w:tcBorders>
              <w:top w:val="single" w:color="auto" w:sz="4" w:space="0"/>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902" w:type="dxa"/>
            <w:tcBorders>
              <w:top w:val="nil"/>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4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w:t>
            </w:r>
          </w:p>
        </w:tc>
      </w:tr>
      <w:tr>
        <w:tblPrEx>
          <w:tblCellMar>
            <w:top w:w="0" w:type="dxa"/>
            <w:left w:w="108" w:type="dxa"/>
            <w:bottom w:w="0" w:type="dxa"/>
            <w:right w:w="108" w:type="dxa"/>
          </w:tblCellMar>
        </w:tblPrEx>
        <w:trPr>
          <w:trHeight w:val="434" w:hRule="atLeast"/>
          <w:jc w:val="center"/>
        </w:trPr>
        <w:tc>
          <w:tcPr>
            <w:tcW w:w="11019" w:type="dxa"/>
            <w:gridSpan w:val="1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eastAsia="微软雅黑"/>
                <w:b/>
                <w:bCs/>
                <w:color w:val="000000" w:themeColor="text1"/>
                <w:sz w:val="28"/>
                <w:szCs w:val="28"/>
              </w:rPr>
            </w:pPr>
            <w:r>
              <w:rPr>
                <w:rFonts w:hint="eastAsia" w:ascii="Times New Roman" w:hAnsi="Times New Roman" w:eastAsia="微软雅黑"/>
                <w:b/>
                <w:bCs/>
                <w:color w:val="000000" w:themeColor="text1"/>
                <w:szCs w:val="28"/>
              </w:rPr>
              <w:t>绩效目标</w:t>
            </w:r>
          </w:p>
        </w:tc>
      </w:tr>
      <w:tr>
        <w:tblPrEx>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年初绩效目标</w:t>
            </w:r>
          </w:p>
        </w:tc>
        <w:tc>
          <w:tcPr>
            <w:tcW w:w="3648" w:type="dxa"/>
            <w:gridSpan w:val="4"/>
            <w:tcBorders>
              <w:top w:val="single" w:color="auto" w:sz="4" w:space="0"/>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全年（调整）绩效目标</w:t>
            </w:r>
          </w:p>
        </w:tc>
        <w:tc>
          <w:tcPr>
            <w:tcW w:w="3685" w:type="dxa"/>
            <w:gridSpan w:val="4"/>
            <w:tcBorders>
              <w:top w:val="single" w:color="auto" w:sz="4" w:space="0"/>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szCs w:val="16"/>
              </w:rPr>
            </w:pPr>
            <w:r>
              <w:rPr>
                <w:rFonts w:hint="eastAsia" w:ascii="Times New Roman" w:hAnsi="Times New Roman"/>
                <w:b/>
                <w:bCs/>
                <w:color w:val="000000" w:themeColor="text1"/>
                <w:sz w:val="16"/>
                <w:szCs w:val="16"/>
              </w:rPr>
              <w:t>全年目标实际完成情况</w:t>
            </w:r>
          </w:p>
        </w:tc>
      </w:tr>
      <w:tr>
        <w:tblPrEx>
          <w:tblCellMar>
            <w:top w:w="0" w:type="dxa"/>
            <w:left w:w="108" w:type="dxa"/>
            <w:bottom w:w="0" w:type="dxa"/>
            <w:right w:w="108" w:type="dxa"/>
          </w:tblCellMar>
        </w:tblPrEx>
        <w:trPr>
          <w:trHeight w:val="1003" w:hRule="atLeast"/>
          <w:jc w:val="center"/>
        </w:trPr>
        <w:tc>
          <w:tcPr>
            <w:tcW w:w="368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color w:val="000000" w:themeColor="text1"/>
                <w:sz w:val="16"/>
                <w:szCs w:val="16"/>
              </w:rPr>
            </w:pPr>
          </w:p>
        </w:tc>
        <w:tc>
          <w:tcPr>
            <w:tcW w:w="3648" w:type="dxa"/>
            <w:gridSpan w:val="4"/>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持续强化产业园农旅融合，更好体现农耕文化元素，实现巩固拓展脱贫攻坚成果同乡村振兴有效衔接。实施28 m2民俗文化墙、400 m2乡情展陈区及相关文旅配套设施建设。</w:t>
            </w:r>
          </w:p>
        </w:tc>
        <w:tc>
          <w:tcPr>
            <w:tcW w:w="3685" w:type="dxa"/>
            <w:gridSpan w:val="4"/>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项目已完成，助力花果山产业园旅游发展。</w:t>
            </w:r>
          </w:p>
        </w:tc>
      </w:tr>
      <w:tr>
        <w:tblPrEx>
          <w:tblCellMar>
            <w:top w:w="0" w:type="dxa"/>
            <w:left w:w="108" w:type="dxa"/>
            <w:bottom w:w="0" w:type="dxa"/>
            <w:right w:w="108" w:type="dxa"/>
          </w:tblCellMar>
        </w:tblPrEx>
        <w:trPr>
          <w:trHeight w:val="393" w:hRule="atLeast"/>
          <w:jc w:val="center"/>
        </w:trPr>
        <w:tc>
          <w:tcPr>
            <w:tcW w:w="11019" w:type="dxa"/>
            <w:gridSpan w:val="1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eastAsia="微软雅黑"/>
                <w:b/>
                <w:bCs/>
                <w:color w:val="000000" w:themeColor="text1"/>
                <w:sz w:val="28"/>
                <w:szCs w:val="28"/>
              </w:rPr>
            </w:pPr>
            <w:r>
              <w:rPr>
                <w:rFonts w:hint="eastAsia" w:ascii="Times New Roman" w:hAnsi="Times New Roman" w:eastAsia="微软雅黑"/>
                <w:b/>
                <w:bCs/>
                <w:color w:val="000000" w:themeColor="text1"/>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名称</w:t>
            </w:r>
          </w:p>
        </w:tc>
        <w:tc>
          <w:tcPr>
            <w:tcW w:w="567"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计量单位</w:t>
            </w:r>
          </w:p>
        </w:tc>
        <w:tc>
          <w:tcPr>
            <w:tcW w:w="850"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性质</w:t>
            </w: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指标值</w:t>
            </w:r>
          </w:p>
        </w:tc>
        <w:tc>
          <w:tcPr>
            <w:tcW w:w="1034"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全年完成值</w:t>
            </w:r>
          </w:p>
        </w:tc>
        <w:tc>
          <w:tcPr>
            <w:tcW w:w="86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偏离度（%）</w:t>
            </w:r>
          </w:p>
        </w:tc>
        <w:tc>
          <w:tcPr>
            <w:tcW w:w="1043"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得分系数（%）</w:t>
            </w:r>
          </w:p>
        </w:tc>
        <w:tc>
          <w:tcPr>
            <w:tcW w:w="709"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权重</w:t>
            </w:r>
          </w:p>
        </w:tc>
        <w:tc>
          <w:tcPr>
            <w:tcW w:w="799"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指标</w:t>
            </w:r>
          </w:p>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得分</w:t>
            </w:r>
          </w:p>
        </w:tc>
        <w:tc>
          <w:tcPr>
            <w:tcW w:w="992" w:type="dxa"/>
            <w:tcBorders>
              <w:top w:val="nil"/>
              <w:left w:val="nil"/>
              <w:bottom w:val="single" w:color="auto" w:sz="4" w:space="0"/>
              <w:right w:val="single" w:color="auto"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是否核心指标</w:t>
            </w: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40" w:lineRule="exact"/>
              <w:jc w:val="center"/>
              <w:rPr>
                <w:rFonts w:ascii="Times New Roman" w:hAnsi="Times New Roman"/>
                <w:b/>
                <w:bCs/>
                <w:color w:val="000000" w:themeColor="text1"/>
                <w:sz w:val="16"/>
              </w:rPr>
            </w:pPr>
            <w:r>
              <w:rPr>
                <w:rFonts w:hint="eastAsia" w:ascii="Times New Roman" w:hAnsi="Times New Roman"/>
                <w:b/>
                <w:bCs/>
                <w:color w:val="000000" w:themeColor="text1"/>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涉及村</w:t>
            </w:r>
          </w:p>
        </w:tc>
        <w:tc>
          <w:tcPr>
            <w:tcW w:w="567"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个</w:t>
            </w: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w:t>
            </w:r>
          </w:p>
        </w:tc>
        <w:tc>
          <w:tcPr>
            <w:tcW w:w="1034"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涉及企业</w:t>
            </w:r>
          </w:p>
        </w:tc>
        <w:tc>
          <w:tcPr>
            <w:tcW w:w="567"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个</w:t>
            </w: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w:t>
            </w:r>
          </w:p>
        </w:tc>
        <w:tc>
          <w:tcPr>
            <w:tcW w:w="1034"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园区面积</w:t>
            </w:r>
          </w:p>
        </w:tc>
        <w:tc>
          <w:tcPr>
            <w:tcW w:w="567"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亩</w:t>
            </w: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1200</w:t>
            </w:r>
          </w:p>
        </w:tc>
        <w:tc>
          <w:tcPr>
            <w:tcW w:w="1034"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1200</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按时完工率</w:t>
            </w:r>
          </w:p>
        </w:tc>
        <w:tc>
          <w:tcPr>
            <w:tcW w:w="567"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1034"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资金在规定时间内支付到位率</w:t>
            </w:r>
          </w:p>
        </w:tc>
        <w:tc>
          <w:tcPr>
            <w:tcW w:w="567"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1034"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100</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减少镇级财政压力</w:t>
            </w:r>
          </w:p>
        </w:tc>
        <w:tc>
          <w:tcPr>
            <w:tcW w:w="567"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850"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定性</w:t>
            </w:r>
          </w:p>
        </w:tc>
        <w:tc>
          <w:tcPr>
            <w:tcW w:w="992"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优</w:t>
            </w:r>
          </w:p>
        </w:tc>
        <w:tc>
          <w:tcPr>
            <w:tcW w:w="1034"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优</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利于开展工作</w:t>
            </w:r>
          </w:p>
        </w:tc>
        <w:tc>
          <w:tcPr>
            <w:tcW w:w="567"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定性</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优</w:t>
            </w:r>
          </w:p>
        </w:tc>
        <w:tc>
          <w:tcPr>
            <w:tcW w:w="1034"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优</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支持非公企业发展壮大</w:t>
            </w:r>
          </w:p>
        </w:tc>
        <w:tc>
          <w:tcPr>
            <w:tcW w:w="567"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定性</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优</w:t>
            </w:r>
          </w:p>
        </w:tc>
        <w:tc>
          <w:tcPr>
            <w:tcW w:w="1034"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优</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w:t>
            </w:r>
          </w:p>
        </w:tc>
        <w:tc>
          <w:tcPr>
            <w:tcW w:w="79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10</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推动农户产业发展</w:t>
            </w:r>
          </w:p>
        </w:tc>
        <w:tc>
          <w:tcPr>
            <w:tcW w:w="567"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850"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定性</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优</w:t>
            </w:r>
          </w:p>
        </w:tc>
        <w:tc>
          <w:tcPr>
            <w:tcW w:w="1034"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color w:val="000000" w:themeColor="text1"/>
                <w:sz w:val="16"/>
                <w:szCs w:val="16"/>
              </w:rPr>
              <w:t>优</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企业满意度</w:t>
            </w:r>
          </w:p>
        </w:tc>
        <w:tc>
          <w:tcPr>
            <w:tcW w:w="567"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850"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w:t>
            </w:r>
          </w:p>
        </w:tc>
        <w:tc>
          <w:tcPr>
            <w:tcW w:w="992"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95</w:t>
            </w:r>
          </w:p>
        </w:tc>
        <w:tc>
          <w:tcPr>
            <w:tcW w:w="1034"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95</w:t>
            </w:r>
          </w:p>
        </w:tc>
        <w:tc>
          <w:tcPr>
            <w:tcW w:w="86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color w:val="000000" w:themeColor="text1"/>
              </w:rPr>
            </w:pPr>
            <w:r>
              <w:rPr>
                <w:rFonts w:hint="eastAsia" w:ascii="Times New Roman" w:hAnsi="Times New Roman"/>
                <w:bCs/>
                <w:color w:val="000000" w:themeColor="text1"/>
                <w:sz w:val="16"/>
                <w:szCs w:val="16"/>
              </w:rPr>
              <w:t>0</w:t>
            </w:r>
          </w:p>
        </w:tc>
        <w:tc>
          <w:tcPr>
            <w:tcW w:w="1043"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100</w:t>
            </w:r>
          </w:p>
        </w:tc>
        <w:tc>
          <w:tcPr>
            <w:tcW w:w="709"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bCs/>
                <w:color w:val="000000" w:themeColor="text1"/>
                <w:sz w:val="16"/>
                <w:szCs w:val="16"/>
              </w:rPr>
            </w:pPr>
            <w:r>
              <w:rPr>
                <w:rFonts w:hint="eastAsia" w:ascii="Times New Roman" w:hAnsi="Times New Roman"/>
                <w:bCs/>
                <w:color w:val="000000" w:themeColor="text1"/>
                <w:sz w:val="16"/>
                <w:szCs w:val="16"/>
              </w:rPr>
              <w:t>5</w:t>
            </w:r>
          </w:p>
        </w:tc>
        <w:tc>
          <w:tcPr>
            <w:tcW w:w="799" w:type="dxa"/>
            <w:tcBorders>
              <w:top w:val="nil"/>
              <w:left w:val="nil"/>
              <w:bottom w:val="single" w:color="auto" w:sz="4" w:space="0"/>
              <w:right w:val="single" w:color="auto" w:sz="4" w:space="0"/>
            </w:tcBorders>
            <w:noWrap/>
            <w:vAlign w:val="center"/>
          </w:tcPr>
          <w:p>
            <w:pPr>
              <w:snapToGrid w:val="0"/>
              <w:spacing w:line="200" w:lineRule="exact"/>
              <w:ind w:firstLine="160" w:firstLineChars="100"/>
              <w:jc w:val="center"/>
              <w:rPr>
                <w:rFonts w:ascii="Times New Roman" w:hAnsi="Times New Roman"/>
                <w:color w:val="000000" w:themeColor="text1"/>
                <w:sz w:val="16"/>
                <w:szCs w:val="16"/>
              </w:rPr>
            </w:pPr>
            <w:r>
              <w:rPr>
                <w:rFonts w:hint="eastAsia" w:ascii="Times New Roman" w:hAnsi="Times New Roman"/>
                <w:color w:val="000000" w:themeColor="text1"/>
                <w:sz w:val="16"/>
                <w:szCs w:val="16"/>
              </w:rPr>
              <w:t>5</w:t>
            </w:r>
          </w:p>
        </w:tc>
        <w:tc>
          <w:tcPr>
            <w:tcW w:w="992" w:type="dxa"/>
            <w:tcBorders>
              <w:top w:val="nil"/>
              <w:left w:val="nil"/>
              <w:bottom w:val="single" w:color="auto" w:sz="4" w:space="0"/>
              <w:right w:val="single" w:color="auto" w:sz="4" w:space="0"/>
            </w:tcBorders>
            <w:noWrap/>
            <w:vAlign w:val="center"/>
          </w:tcPr>
          <w:p>
            <w:pPr>
              <w:snapToGrid w:val="0"/>
              <w:spacing w:line="200" w:lineRule="exact"/>
              <w:jc w:val="center"/>
              <w:rPr>
                <w:rFonts w:ascii="Times New Roman" w:hAnsi="Times New Roman" w:eastAsia="Times New Roman" w:cs="Times New Roman"/>
                <w:sz w:val="20"/>
                <w:szCs w:val="20"/>
              </w:rPr>
            </w:pPr>
          </w:p>
        </w:tc>
        <w:tc>
          <w:tcPr>
            <w:tcW w:w="1894" w:type="dxa"/>
            <w:gridSpan w:val="2"/>
            <w:tcBorders>
              <w:top w:val="single" w:color="auto" w:sz="4" w:space="0"/>
              <w:left w:val="nil"/>
              <w:bottom w:val="single" w:color="auto" w:sz="4" w:space="0"/>
              <w:right w:val="single" w:color="000000" w:sz="4" w:space="0"/>
            </w:tcBorders>
            <w:noWrap/>
            <w:vAlign w:val="center"/>
          </w:tcPr>
          <w:p>
            <w:pPr>
              <w:snapToGrid w:val="0"/>
              <w:spacing w:line="200" w:lineRule="exact"/>
              <w:jc w:val="center"/>
              <w:rPr>
                <w:rFonts w:ascii="Times New Roman" w:hAnsi="Times New Roman" w:eastAsia="Times New Roman" w:cs="Times New Roman"/>
                <w:sz w:val="20"/>
                <w:szCs w:val="20"/>
              </w:rPr>
            </w:pPr>
          </w:p>
        </w:tc>
      </w:tr>
    </w:tbl>
    <w:p>
      <w:pPr>
        <w:pStyle w:val="8"/>
        <w:shd w:val="clear" w:color="auto" w:fill="FFFFFF"/>
        <w:spacing w:line="160" w:lineRule="exact"/>
        <w:rPr>
          <w:rFonts w:ascii="Times New Roman" w:hAnsi="Times New Roman"/>
        </w:rPr>
      </w:pPr>
    </w:p>
    <w:sectPr>
      <w:footerReference r:id="rId3" w:type="default"/>
      <w:footerReference r:id="rId4" w:type="even"/>
      <w:type w:val="continuous"/>
      <w:pgSz w:w="11907" w:h="16840"/>
      <w:pgMar w:top="2098" w:right="1531" w:bottom="1985" w:left="1531" w:header="851" w:footer="1361"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7554995"/>
    </w:sdtPr>
    <w:sdtEndPr>
      <w:rPr>
        <w:rFonts w:ascii="Times New Roman" w:hAnsi="Times New Roman"/>
        <w:sz w:val="28"/>
        <w:szCs w:val="28"/>
      </w:rPr>
    </w:sdtEndPr>
    <w:sdtContent>
      <w:p>
        <w:pPr>
          <w:pStyle w:val="6"/>
          <w:ind w:right="240" w:rightChars="100"/>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5 -</w:t>
        </w:r>
        <w:r>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574170"/>
    </w:sdtPr>
    <w:sdtEndPr>
      <w:rPr>
        <w:rFonts w:ascii="Times New Roman" w:hAnsi="Times New Roman"/>
        <w:sz w:val="28"/>
        <w:szCs w:val="28"/>
      </w:rPr>
    </w:sdtEndPr>
    <w:sdtContent>
      <w:p>
        <w:pPr>
          <w:pStyle w:val="6"/>
          <w:ind w:left="240" w:leftChars="100"/>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6 -</w:t>
        </w:r>
        <w:r>
          <w:rPr>
            <w:rFonts w:ascii="Times New Roman" w:hAnsi="Times New Roman"/>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64396"/>
    <w:multiLevelType w:val="singleLevel"/>
    <w:tmpl w:val="ACC6439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E55CF4"/>
    <w:rsid w:val="00001EB5"/>
    <w:rsid w:val="000050F8"/>
    <w:rsid w:val="000110F8"/>
    <w:rsid w:val="0004219A"/>
    <w:rsid w:val="00052D08"/>
    <w:rsid w:val="000630C2"/>
    <w:rsid w:val="000654B0"/>
    <w:rsid w:val="0008249A"/>
    <w:rsid w:val="000A74A5"/>
    <w:rsid w:val="000C7886"/>
    <w:rsid w:val="000D7836"/>
    <w:rsid w:val="000F006F"/>
    <w:rsid w:val="000F5B13"/>
    <w:rsid w:val="00101443"/>
    <w:rsid w:val="0010271C"/>
    <w:rsid w:val="00103218"/>
    <w:rsid w:val="001069E7"/>
    <w:rsid w:val="0011703E"/>
    <w:rsid w:val="00122978"/>
    <w:rsid w:val="00154607"/>
    <w:rsid w:val="001629A0"/>
    <w:rsid w:val="001640A7"/>
    <w:rsid w:val="001668EE"/>
    <w:rsid w:val="00166B44"/>
    <w:rsid w:val="001815EC"/>
    <w:rsid w:val="0018682B"/>
    <w:rsid w:val="001A0203"/>
    <w:rsid w:val="001A34AD"/>
    <w:rsid w:val="001A39A5"/>
    <w:rsid w:val="001A4CB2"/>
    <w:rsid w:val="001C0E8D"/>
    <w:rsid w:val="001D55F1"/>
    <w:rsid w:val="001E1723"/>
    <w:rsid w:val="00206F8A"/>
    <w:rsid w:val="00215BFD"/>
    <w:rsid w:val="00217B4B"/>
    <w:rsid w:val="002250B0"/>
    <w:rsid w:val="0024385A"/>
    <w:rsid w:val="00251E6B"/>
    <w:rsid w:val="00254511"/>
    <w:rsid w:val="0026009D"/>
    <w:rsid w:val="002720A9"/>
    <w:rsid w:val="002758FB"/>
    <w:rsid w:val="00294466"/>
    <w:rsid w:val="002A400F"/>
    <w:rsid w:val="002B70EE"/>
    <w:rsid w:val="002C086B"/>
    <w:rsid w:val="002C54E7"/>
    <w:rsid w:val="002C5F04"/>
    <w:rsid w:val="002E1848"/>
    <w:rsid w:val="002E4971"/>
    <w:rsid w:val="002E6B84"/>
    <w:rsid w:val="002F43D4"/>
    <w:rsid w:val="00302EA7"/>
    <w:rsid w:val="00305992"/>
    <w:rsid w:val="003314BA"/>
    <w:rsid w:val="00334324"/>
    <w:rsid w:val="003551A0"/>
    <w:rsid w:val="00355C94"/>
    <w:rsid w:val="00364B8A"/>
    <w:rsid w:val="00365A80"/>
    <w:rsid w:val="00372D98"/>
    <w:rsid w:val="00384D31"/>
    <w:rsid w:val="00390CD0"/>
    <w:rsid w:val="003A441A"/>
    <w:rsid w:val="003B49B1"/>
    <w:rsid w:val="003C1A28"/>
    <w:rsid w:val="003C2582"/>
    <w:rsid w:val="003C4563"/>
    <w:rsid w:val="003E051C"/>
    <w:rsid w:val="003E1CCC"/>
    <w:rsid w:val="003F2248"/>
    <w:rsid w:val="00407066"/>
    <w:rsid w:val="00425B57"/>
    <w:rsid w:val="00465F42"/>
    <w:rsid w:val="0046602D"/>
    <w:rsid w:val="00467FD6"/>
    <w:rsid w:val="00484D1D"/>
    <w:rsid w:val="0048635C"/>
    <w:rsid w:val="00491E43"/>
    <w:rsid w:val="004A4C5F"/>
    <w:rsid w:val="004A5D7B"/>
    <w:rsid w:val="004C0814"/>
    <w:rsid w:val="004D5FAA"/>
    <w:rsid w:val="004E3B1F"/>
    <w:rsid w:val="004F5866"/>
    <w:rsid w:val="004F77F1"/>
    <w:rsid w:val="00514EFF"/>
    <w:rsid w:val="00516363"/>
    <w:rsid w:val="0052558E"/>
    <w:rsid w:val="00525B3D"/>
    <w:rsid w:val="00531B72"/>
    <w:rsid w:val="005336ED"/>
    <w:rsid w:val="00535EDF"/>
    <w:rsid w:val="00541488"/>
    <w:rsid w:val="00543994"/>
    <w:rsid w:val="00546253"/>
    <w:rsid w:val="00551762"/>
    <w:rsid w:val="005535C6"/>
    <w:rsid w:val="00556592"/>
    <w:rsid w:val="00575C1D"/>
    <w:rsid w:val="00583614"/>
    <w:rsid w:val="00587E2D"/>
    <w:rsid w:val="00592EC9"/>
    <w:rsid w:val="005D05AB"/>
    <w:rsid w:val="005D24F0"/>
    <w:rsid w:val="005D3537"/>
    <w:rsid w:val="005D5007"/>
    <w:rsid w:val="00610EBC"/>
    <w:rsid w:val="006130D1"/>
    <w:rsid w:val="00671DA6"/>
    <w:rsid w:val="006773A5"/>
    <w:rsid w:val="006779C7"/>
    <w:rsid w:val="006A67AE"/>
    <w:rsid w:val="006E189C"/>
    <w:rsid w:val="006E28F1"/>
    <w:rsid w:val="006E7C7A"/>
    <w:rsid w:val="006F120F"/>
    <w:rsid w:val="006F2E36"/>
    <w:rsid w:val="00703D55"/>
    <w:rsid w:val="00705734"/>
    <w:rsid w:val="00714603"/>
    <w:rsid w:val="00747C1C"/>
    <w:rsid w:val="00754031"/>
    <w:rsid w:val="00755BF1"/>
    <w:rsid w:val="00766487"/>
    <w:rsid w:val="007931E6"/>
    <w:rsid w:val="007A3D85"/>
    <w:rsid w:val="007A4C9A"/>
    <w:rsid w:val="007B4D51"/>
    <w:rsid w:val="007C3FB8"/>
    <w:rsid w:val="007E5525"/>
    <w:rsid w:val="007F2617"/>
    <w:rsid w:val="008009E5"/>
    <w:rsid w:val="00806701"/>
    <w:rsid w:val="00811235"/>
    <w:rsid w:val="00815A01"/>
    <w:rsid w:val="00816B7A"/>
    <w:rsid w:val="00826D47"/>
    <w:rsid w:val="00830BBF"/>
    <w:rsid w:val="00830D2A"/>
    <w:rsid w:val="00832C2A"/>
    <w:rsid w:val="00842F76"/>
    <w:rsid w:val="00844ED1"/>
    <w:rsid w:val="00866703"/>
    <w:rsid w:val="008679A1"/>
    <w:rsid w:val="00876596"/>
    <w:rsid w:val="0088251A"/>
    <w:rsid w:val="0088479A"/>
    <w:rsid w:val="00886E90"/>
    <w:rsid w:val="00890D10"/>
    <w:rsid w:val="008B0FE4"/>
    <w:rsid w:val="008B63B7"/>
    <w:rsid w:val="008B6905"/>
    <w:rsid w:val="008C43D2"/>
    <w:rsid w:val="008D0701"/>
    <w:rsid w:val="008D07CF"/>
    <w:rsid w:val="008D3CEA"/>
    <w:rsid w:val="008E235E"/>
    <w:rsid w:val="008F1D5B"/>
    <w:rsid w:val="009024BC"/>
    <w:rsid w:val="009177DD"/>
    <w:rsid w:val="0093337A"/>
    <w:rsid w:val="00942164"/>
    <w:rsid w:val="00944538"/>
    <w:rsid w:val="009533AE"/>
    <w:rsid w:val="00963362"/>
    <w:rsid w:val="00963A8E"/>
    <w:rsid w:val="00965B2B"/>
    <w:rsid w:val="00971A8C"/>
    <w:rsid w:val="009800C4"/>
    <w:rsid w:val="00980A94"/>
    <w:rsid w:val="0098224F"/>
    <w:rsid w:val="009824D8"/>
    <w:rsid w:val="00982BFD"/>
    <w:rsid w:val="00983737"/>
    <w:rsid w:val="00987C5F"/>
    <w:rsid w:val="009C0ED2"/>
    <w:rsid w:val="00A10D8D"/>
    <w:rsid w:val="00A20F43"/>
    <w:rsid w:val="00A4763B"/>
    <w:rsid w:val="00A741FB"/>
    <w:rsid w:val="00A77037"/>
    <w:rsid w:val="00A962D5"/>
    <w:rsid w:val="00AA16FB"/>
    <w:rsid w:val="00AB3004"/>
    <w:rsid w:val="00AC2060"/>
    <w:rsid w:val="00AD2A49"/>
    <w:rsid w:val="00AF115F"/>
    <w:rsid w:val="00B004AA"/>
    <w:rsid w:val="00B2068B"/>
    <w:rsid w:val="00B24AD4"/>
    <w:rsid w:val="00B36A66"/>
    <w:rsid w:val="00B37D11"/>
    <w:rsid w:val="00B41F8B"/>
    <w:rsid w:val="00B50DB2"/>
    <w:rsid w:val="00B62234"/>
    <w:rsid w:val="00B914A6"/>
    <w:rsid w:val="00BB151B"/>
    <w:rsid w:val="00BE63D5"/>
    <w:rsid w:val="00BF3D53"/>
    <w:rsid w:val="00BF3E16"/>
    <w:rsid w:val="00C26E5B"/>
    <w:rsid w:val="00C27CBE"/>
    <w:rsid w:val="00C3297C"/>
    <w:rsid w:val="00C361E2"/>
    <w:rsid w:val="00C4505B"/>
    <w:rsid w:val="00C46C0B"/>
    <w:rsid w:val="00C560C6"/>
    <w:rsid w:val="00C573AE"/>
    <w:rsid w:val="00C6295E"/>
    <w:rsid w:val="00C73E63"/>
    <w:rsid w:val="00C76A5B"/>
    <w:rsid w:val="00C950CC"/>
    <w:rsid w:val="00CA3697"/>
    <w:rsid w:val="00CC48DB"/>
    <w:rsid w:val="00CE41C2"/>
    <w:rsid w:val="00CE5AA5"/>
    <w:rsid w:val="00CF1890"/>
    <w:rsid w:val="00D174FD"/>
    <w:rsid w:val="00D239A9"/>
    <w:rsid w:val="00D26727"/>
    <w:rsid w:val="00D40BEA"/>
    <w:rsid w:val="00D426E6"/>
    <w:rsid w:val="00D569FD"/>
    <w:rsid w:val="00D74C03"/>
    <w:rsid w:val="00D83FBA"/>
    <w:rsid w:val="00D919B9"/>
    <w:rsid w:val="00D9373F"/>
    <w:rsid w:val="00D97DCD"/>
    <w:rsid w:val="00DB6FF9"/>
    <w:rsid w:val="00DC216D"/>
    <w:rsid w:val="00DC4D43"/>
    <w:rsid w:val="00DD616F"/>
    <w:rsid w:val="00DE2BC2"/>
    <w:rsid w:val="00DF4B23"/>
    <w:rsid w:val="00DF6684"/>
    <w:rsid w:val="00E052B6"/>
    <w:rsid w:val="00E161D7"/>
    <w:rsid w:val="00E17224"/>
    <w:rsid w:val="00E239A8"/>
    <w:rsid w:val="00E322FA"/>
    <w:rsid w:val="00E336EA"/>
    <w:rsid w:val="00E526AC"/>
    <w:rsid w:val="00E531D6"/>
    <w:rsid w:val="00E545E4"/>
    <w:rsid w:val="00E55CF4"/>
    <w:rsid w:val="00E8272F"/>
    <w:rsid w:val="00E83163"/>
    <w:rsid w:val="00E92F06"/>
    <w:rsid w:val="00E92F1D"/>
    <w:rsid w:val="00E949A5"/>
    <w:rsid w:val="00EB0F8F"/>
    <w:rsid w:val="00EC0284"/>
    <w:rsid w:val="00EE05CB"/>
    <w:rsid w:val="00EF4419"/>
    <w:rsid w:val="00EF5B09"/>
    <w:rsid w:val="00F01706"/>
    <w:rsid w:val="00F267AF"/>
    <w:rsid w:val="00F44A81"/>
    <w:rsid w:val="00F545D1"/>
    <w:rsid w:val="00F62952"/>
    <w:rsid w:val="00F70C83"/>
    <w:rsid w:val="00F70FC0"/>
    <w:rsid w:val="00F7128D"/>
    <w:rsid w:val="00F769CC"/>
    <w:rsid w:val="00FB26A1"/>
    <w:rsid w:val="00FD256A"/>
    <w:rsid w:val="00FF074A"/>
    <w:rsid w:val="00FF249C"/>
    <w:rsid w:val="00FF6B90"/>
    <w:rsid w:val="165F315D"/>
    <w:rsid w:val="318038F3"/>
    <w:rsid w:val="65140E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widowControl w:val="0"/>
      <w:ind w:firstLine="420" w:firstLineChars="200"/>
      <w:jc w:val="both"/>
    </w:pPr>
    <w:rPr>
      <w:rFonts w:ascii="Calibri" w:hAnsi="Calibri" w:eastAsia="方正仿宋_GBK" w:cs="Times New Roman"/>
      <w:kern w:val="2"/>
      <w:sz w:val="32"/>
      <w:szCs w:val="20"/>
    </w:rPr>
  </w:style>
  <w:style w:type="paragraph" w:styleId="3">
    <w:name w:val="Body Text"/>
    <w:basedOn w:val="1"/>
    <w:next w:val="4"/>
    <w:link w:val="13"/>
    <w:autoRedefine/>
    <w:qFormat/>
    <w:uiPriority w:val="0"/>
    <w:pPr>
      <w:widowControl w:val="0"/>
      <w:jc w:val="both"/>
    </w:pPr>
    <w:rPr>
      <w:rFonts w:ascii="Times New Roman" w:hAnsi="Times New Roman" w:cs="Times New Roman"/>
      <w:kern w:val="2"/>
      <w:sz w:val="21"/>
      <w:szCs w:val="21"/>
    </w:rPr>
  </w:style>
  <w:style w:type="paragraph" w:styleId="4">
    <w:name w:val="toc 5"/>
    <w:basedOn w:val="1"/>
    <w:next w:val="1"/>
    <w:autoRedefine/>
    <w:qFormat/>
    <w:uiPriority w:val="0"/>
    <w:pPr>
      <w:widowControl w:val="0"/>
      <w:spacing w:line="600" w:lineRule="exact"/>
      <w:ind w:firstLine="200" w:firstLineChars="200"/>
    </w:pPr>
    <w:rPr>
      <w:rFonts w:ascii="方正黑体_GBK" w:hAnsi="Calibri" w:eastAsia="方正黑体_GBK" w:cs="Times New Roman"/>
      <w:kern w:val="2"/>
      <w:sz w:val="32"/>
      <w:szCs w:val="32"/>
    </w:rPr>
  </w:style>
  <w:style w:type="paragraph" w:styleId="5">
    <w:name w:val="Balloon Text"/>
    <w:basedOn w:val="1"/>
    <w:link w:val="16"/>
    <w:autoRedefine/>
    <w:semiHidden/>
    <w:unhideWhenUsed/>
    <w:qFormat/>
    <w:uiPriority w:val="99"/>
    <w:rPr>
      <w:sz w:val="18"/>
      <w:szCs w:val="18"/>
    </w:rPr>
  </w:style>
  <w:style w:type="paragraph" w:styleId="6">
    <w:name w:val="footer"/>
    <w:basedOn w:val="1"/>
    <w:link w:val="15"/>
    <w:autoRedefine/>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7">
    <w:name w:val="header"/>
    <w:basedOn w:val="1"/>
    <w:link w:val="14"/>
    <w:autoRedefine/>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8">
    <w:name w:val="Normal (Web)"/>
    <w:basedOn w:val="1"/>
    <w:autoRedefine/>
    <w:unhideWhenUsed/>
    <w:qFormat/>
    <w:uiPriority w:val="0"/>
    <w:pPr>
      <w:spacing w:before="100" w:beforeAutospacing="1" w:after="100" w:afterAutospacing="1"/>
    </w:pPr>
  </w:style>
  <w:style w:type="character" w:styleId="11">
    <w:name w:val="Strong"/>
    <w:basedOn w:val="10"/>
    <w:autoRedefine/>
    <w:qFormat/>
    <w:uiPriority w:val="22"/>
    <w:rPr>
      <w:b/>
      <w:bCs/>
    </w:rPr>
  </w:style>
  <w:style w:type="paragraph" w:customStyle="1" w:styleId="1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3">
    <w:name w:val="正文文本 Char"/>
    <w:basedOn w:val="10"/>
    <w:link w:val="3"/>
    <w:autoRedefine/>
    <w:qFormat/>
    <w:uiPriority w:val="0"/>
    <w:rPr>
      <w:kern w:val="2"/>
      <w:sz w:val="21"/>
      <w:szCs w:val="21"/>
    </w:rPr>
  </w:style>
  <w:style w:type="character" w:customStyle="1" w:styleId="14">
    <w:name w:val="页眉 Char"/>
    <w:basedOn w:val="10"/>
    <w:link w:val="7"/>
    <w:autoRedefine/>
    <w:qFormat/>
    <w:uiPriority w:val="99"/>
    <w:rPr>
      <w:rFonts w:ascii="Calibri" w:hAnsi="Calibri"/>
      <w:kern w:val="2"/>
      <w:sz w:val="18"/>
      <w:szCs w:val="18"/>
    </w:rPr>
  </w:style>
  <w:style w:type="character" w:customStyle="1" w:styleId="15">
    <w:name w:val="页脚 Char"/>
    <w:basedOn w:val="10"/>
    <w:link w:val="6"/>
    <w:autoRedefine/>
    <w:qFormat/>
    <w:uiPriority w:val="99"/>
    <w:rPr>
      <w:rFonts w:ascii="Calibri" w:hAnsi="Calibri"/>
      <w:kern w:val="2"/>
      <w:sz w:val="18"/>
      <w:szCs w:val="18"/>
    </w:rPr>
  </w:style>
  <w:style w:type="character" w:customStyle="1" w:styleId="16">
    <w:name w:val="批注框文本 Char"/>
    <w:basedOn w:val="10"/>
    <w:link w:val="5"/>
    <w:autoRedefine/>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1677</Words>
  <Characters>9561</Characters>
  <Lines>79</Lines>
  <Paragraphs>22</Paragraphs>
  <TotalTime>96</TotalTime>
  <ScaleCrop>false</ScaleCrop>
  <LinksUpToDate>false</LinksUpToDate>
  <CharactersWithSpaces>11216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2023-09-12T03:27:00Z</dcterms:created>
  <dc:creator>秦云飞</dc:creator>
  <cp:lastModifiedBy>温星星</cp:lastModifiedBy>
  <dcterms:modified xsi:type="dcterms:W3CDTF">2024-01-19T01:35:28Z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E158DABA654D4DCFA204967465380EDC_12</vt:lpwstr>
  </property>
</Properties>
</file>