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栗子府发〔2023〕74号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丰都县栗子乡人民政府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hanging="638" w:hangingChars="145"/>
        <w:jc w:val="center"/>
        <w:textAlignment w:val="auto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关于印发《</w:t>
      </w:r>
      <w:r>
        <w:rPr>
          <w:rFonts w:ascii="Times New Roman" w:hAnsi="Times New Roman" w:eastAsia="方正小标宋_GBK"/>
          <w:kern w:val="0"/>
          <w:sz w:val="44"/>
          <w:szCs w:val="44"/>
        </w:rPr>
        <w:t>丰都县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栗子乡</w:t>
      </w:r>
      <w:r>
        <w:rPr>
          <w:rFonts w:ascii="Times New Roman" w:hAnsi="Times New Roman" w:eastAsia="方正小标宋_GBK"/>
          <w:kern w:val="0"/>
          <w:sz w:val="44"/>
          <w:szCs w:val="44"/>
        </w:rPr>
        <w:t>巩固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拓展</w:t>
      </w:r>
      <w:r>
        <w:rPr>
          <w:rFonts w:ascii="Times New Roman" w:hAnsi="Times New Roman" w:eastAsia="方正小标宋_GBK"/>
          <w:kern w:val="0"/>
          <w:sz w:val="44"/>
          <w:szCs w:val="44"/>
        </w:rPr>
        <w:t>脱贫攻坚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hanging="638" w:hangingChars="145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成果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“百日行动”工作</w:t>
      </w:r>
      <w:r>
        <w:rPr>
          <w:rFonts w:ascii="Times New Roman" w:hAnsi="Times New Roman" w:eastAsia="方正小标宋_GBK"/>
          <w:kern w:val="0"/>
          <w:sz w:val="44"/>
          <w:szCs w:val="44"/>
        </w:rPr>
        <w:t>方案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》的通知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各村（居）委会，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级各部门：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为巩固拓展脱贫攻坚成果，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推动乡村振兴，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根据上级相关要求，结合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实际，制定了《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丰都县栗子乡巩固拓展脱贫攻坚成果“百日行动”工作方案》，现印发给你们，请认真贯彻执行。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丰都县栗子乡人民政府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(此件公开发布)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righ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bookmarkEnd w:id="0"/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栗子乡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巩固拓展脱贫攻坚成果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“百日行动”工作方案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为切实补齐防止返贫动态监测和帮扶、“三保障”及饮水安全等方面的短板和弱项，进一步巩固拓展脱贫攻坚成果，为迎接国家和市级考核评估打下坚实基础，决定开展巩固拓展脱贫攻坚成果“百日行动”。结合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全乡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实际，制定本工作方案。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从8月中下旬至11月底，利用100天左右的时间，举全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之力开展巩固拓展脱贫攻坚成果“百日行动”，重点开展防贫监测帮扶“敲门行动”、住房安全保障“清仓行动”、医疗健康帮扶“暖心行动”、农村人居环境“清洁行动”、问题整改落实“销号行动”等“五大行动”，着力健全“五大机制”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全面化解巩固拓展脱贫攻坚成果领域的突出风险隐患，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守紧守牢</w:t>
      </w:r>
      <w:r>
        <w:rPr>
          <w:rFonts w:ascii="Times New Roman" w:hAnsi="Times New Roman" w:eastAsia="方正仿宋_GBK"/>
          <w:b w:val="0"/>
          <w:bCs w:val="0"/>
          <w:kern w:val="0"/>
          <w:sz w:val="32"/>
          <w:szCs w:val="32"/>
        </w:rPr>
        <w:t>不发生规模性返贫底线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，确保在国家和市级考核评估中取得优异成绩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 w:val="0"/>
          <w:kern w:val="0"/>
          <w:sz w:val="32"/>
          <w:szCs w:val="32"/>
        </w:rPr>
        <w:t>二</w:t>
      </w:r>
      <w:r>
        <w:rPr>
          <w:rFonts w:ascii="Times New Roman" w:hAnsi="Times New Roman" w:eastAsia="方正黑体_GBK"/>
          <w:b w:val="0"/>
          <w:bCs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/>
          <w:b w:val="0"/>
          <w:bCs w:val="0"/>
          <w:kern w:val="0"/>
          <w:sz w:val="32"/>
          <w:szCs w:val="32"/>
        </w:rPr>
        <w:t>重点任务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 w:val="0"/>
          <w:bCs w:val="0"/>
          <w:sz w:val="32"/>
          <w:szCs w:val="32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（一）</w:t>
      </w:r>
      <w:r>
        <w:rPr>
          <w:rFonts w:hint="eastAsia" w:ascii="Times New Roman" w:hAnsi="Times New Roman" w:eastAsia="方正楷体_GBK"/>
          <w:b w:val="0"/>
          <w:bCs w:val="0"/>
          <w:kern w:val="0"/>
          <w:sz w:val="32"/>
          <w:szCs w:val="32"/>
        </w:rPr>
        <w:t>防贫监测帮扶“敲门行动”。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1.落实书记遍访制度。10月底前，乡党委主要负责人完成遍访监测户，村（社区）党组织书记和驻村第一书记完成遍访监测户、脱贫户，并逐户督导落实帮扶计划。新增监测对象当月走访到位。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（牵头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党群办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配合部门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经发办、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各村（社区）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驻村工作队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2.强化风险预警研判。逐户核查防止返贫风险信息，对发现的风险户、预警户特别是新增低保户、大病户，乡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和村（社区）至少每月集体研判1次，对符合条件的按程序及时纳入监测帮扶，坚决杜绝“应纳未纳”“体外循环”现象。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（牵头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经发办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配合部门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：各村（社区）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驻村工作队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3.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加强政策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培训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宣传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。8月底前将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监测对象申报和帮扶两张政策“明白纸”发放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到户。9月10日前再次组织开展全县防止返贫监测帮扶、二轮集中风险排查、乡镇交叉核查等业务培训。保持监测帮扶队伍稳定，人员变动须报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巩固专班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同意。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（牵头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经发办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配合部门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：各村（社区）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驻村工作队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4.加大精准帮扶力度。逐户重新制定监测对象“一户一策”帮扶计划，落实有针对性、实效性的帮扶措施3项以上，其中有劳动能力（含弱劳力、半劳力）且有意愿的监测户至少落实1项产业就业等开发式帮扶措施。落实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乡级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领导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每月核查辅导样本户收入机制，确保全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脱贫成效跟踪监测样本户收入“应统尽统”。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（牵头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经发办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配合部门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驻村工作队、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各村（社区）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各帮扶责任人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5.全面提升群众认可度。继续落实脱贫户每年3次入户走访或电话联系、监测户每月1次联系帮扶等制度，逐项落实帮扶措施。每季度开展1次</w:t>
      </w: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巩固拓展脱贫攻坚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成果认可度电话调查，并全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通报排名。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（牵头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经发办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配合部门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：有帮扶任务的县级单位部门、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乡级各站所、驻村工作队、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村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960" w:firstLineChars="3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牵头领导：谭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鹏程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责任部门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经发办；配合部门：各站办所、县级各帮扶单位部门、各村（社区）、驻村工作队）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ascii="Times New Roman" w:hAnsi="Times New Roman" w:eastAsia="方正楷体_GBK"/>
          <w:b w:val="0"/>
          <w:bCs w:val="0"/>
          <w:sz w:val="32"/>
          <w:szCs w:val="32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（二）住房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</w:rPr>
        <w:t>安全</w:t>
      </w: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保障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</w:rPr>
        <w:t>“清仓</w:t>
      </w: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行动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6</w:t>
      </w:r>
      <w:r>
        <w:rPr>
          <w:rFonts w:ascii="Times New Roman" w:hAnsi="Times New Roman" w:eastAsia="方正仿宋_GBK"/>
          <w:b w:val="0"/>
          <w:bCs w:val="0"/>
          <w:color w:val="auto"/>
          <w:sz w:val="32"/>
          <w:szCs w:val="32"/>
        </w:rPr>
        <w:t>.全面清零动态新增农村危房。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凡符合农村低收入群体危房改造条件的，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由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）报请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级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部门同意后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提前实施危房改造，后纳入危房改造计划</w:t>
      </w:r>
      <w:r>
        <w:rPr>
          <w:rFonts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动态新增的一般户危房，由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乡政府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采取措施消除。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加快危房改造进度，今年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新增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项目12月底前完善厨房、厕所等配套设施并竣工入住，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验收后1个月内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将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危房改造资金支付到位。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（牵头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规环办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配合部门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财政办、各村（社区）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7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扎实开展“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建新未拆旧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”专项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治理。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全乡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全面排查清理农村D级危房改造、易地搬迁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、农房收储、宅基地复垦等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建新未拆旧的危房，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8月底前分类建立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台账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并报县级相关部门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针对“建新未拆旧”农房具体情况分类施策，采取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拆除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或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封存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的方式整治到位。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（牵头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规环办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配合部门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经发办、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村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8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.持续加大农村旧房整治提升力度。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开展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农村破旧土坯房、木板房、石墙房等专项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整治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动态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消除屋顶破损、墙体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裂缝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安全隐患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。对农村长期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无人居住的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闲置废旧房，鼓励采取农户自行拆除、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村集体经济组织收回、农房宅基地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复垦等方式处置。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（牵头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规环办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配合部门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经发办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、各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村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9.</w:t>
      </w:r>
      <w:r>
        <w:rPr>
          <w:rFonts w:ascii="Times New Roman" w:hAnsi="Times New Roman" w:eastAsia="方正仿宋_GBK"/>
          <w:b w:val="0"/>
          <w:bCs w:val="0"/>
          <w:color w:val="auto"/>
          <w:sz w:val="32"/>
          <w:szCs w:val="32"/>
        </w:rPr>
        <w:t>开展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“子女住新房</w:t>
      </w:r>
      <w:r>
        <w:rPr>
          <w:rFonts w:ascii="Times New Roman" w:hAnsi="Times New Roman" w:eastAsia="方正仿宋_GBK"/>
          <w:b w:val="0"/>
          <w:bCs w:val="0"/>
          <w:color w:val="auto"/>
          <w:sz w:val="32"/>
          <w:szCs w:val="32"/>
        </w:rPr>
        <w:t>老人住危房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”法制教育</w:t>
      </w:r>
      <w:r>
        <w:rPr>
          <w:rFonts w:ascii="Times New Roman" w:hAnsi="Times New Roman" w:eastAsia="方正仿宋_GBK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针</w:t>
      </w:r>
      <w:r>
        <w:rPr>
          <w:rFonts w:ascii="Times New Roman" w:hAnsi="Times New Roman" w:eastAsia="方正仿宋_GBK"/>
          <w:b w:val="0"/>
          <w:bCs w:val="0"/>
          <w:color w:val="auto"/>
          <w:sz w:val="32"/>
          <w:szCs w:val="32"/>
        </w:rPr>
        <w:t>对子女建新房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或购买商品房后</w:t>
      </w:r>
      <w:r>
        <w:rPr>
          <w:rFonts w:ascii="Times New Roman" w:hAnsi="Times New Roman" w:eastAsia="方正仿宋_GBK"/>
          <w:b w:val="0"/>
          <w:bCs w:val="0"/>
          <w:color w:val="auto"/>
          <w:sz w:val="32"/>
          <w:szCs w:val="32"/>
        </w:rPr>
        <w:t>老人仍住危房等问题，强化教育引导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，通过司法手段</w:t>
      </w:r>
      <w:r>
        <w:rPr>
          <w:rFonts w:ascii="Times New Roman" w:hAnsi="Times New Roman" w:eastAsia="方正仿宋_GBK"/>
          <w:b w:val="0"/>
          <w:bCs w:val="0"/>
          <w:color w:val="auto"/>
          <w:sz w:val="32"/>
          <w:szCs w:val="32"/>
        </w:rPr>
        <w:t>督促子女主动履行赡养老人义务，通过与子女合住、修缮加固、入住养老机构等方式保障老人住房安全，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坚决整治“子女住新房、老人住危房”现象。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（牵头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司法所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配合部门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规环办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、各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村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社区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牵头领导：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蒋进波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杨 磊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；牵头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规环办、司法所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配合部门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经发办、财政办、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村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ascii="Times New Roman" w:hAnsi="Times New Roman" w:eastAsia="方正楷体_GBK"/>
          <w:b w:val="0"/>
          <w:bCs w:val="0"/>
          <w:sz w:val="32"/>
          <w:szCs w:val="32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（三）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</w:rPr>
        <w:t>医疗健康帮扶“暖心</w:t>
      </w: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行动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10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确保“六类人群”医保参保全覆盖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乡社保所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每月向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）推送“六类人群”医保断保、脱保等数据，及时补缴参保费。做好2024年集中参保工作，确保“六类人群”医保参保全覆盖。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（牵头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社保所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</w:rPr>
        <w:t>；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配合部门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：各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村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社区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pacing w:val="-6"/>
          <w:kern w:val="0"/>
          <w:sz w:val="32"/>
          <w:szCs w:val="32"/>
          <w:lang w:bidi="he-IL"/>
        </w:rPr>
        <w:t>11</w:t>
      </w:r>
      <w:r>
        <w:rPr>
          <w:rFonts w:ascii="Times New Roman" w:hAnsi="Times New Roman" w:eastAsia="方正仿宋_GBK"/>
          <w:b w:val="0"/>
          <w:bCs w:val="0"/>
          <w:color w:val="auto"/>
          <w:spacing w:val="-6"/>
          <w:kern w:val="0"/>
          <w:sz w:val="32"/>
          <w:szCs w:val="32"/>
          <w:lang w:bidi="he-IL"/>
        </w:rPr>
        <w:t>.</w:t>
      </w:r>
      <w:r>
        <w:rPr>
          <w:rFonts w:hint="eastAsia" w:ascii="Times New Roman" w:hAnsi="Times New Roman" w:eastAsia="方正仿宋_GBK"/>
          <w:b w:val="0"/>
          <w:bCs w:val="0"/>
          <w:color w:val="auto"/>
          <w:spacing w:val="-6"/>
          <w:kern w:val="0"/>
          <w:sz w:val="32"/>
          <w:szCs w:val="32"/>
          <w:lang w:bidi="he-IL"/>
        </w:rPr>
        <w:t>全面消除</w:t>
      </w:r>
      <w:r>
        <w:rPr>
          <w:rFonts w:ascii="Times New Roman" w:hAnsi="Times New Roman" w:eastAsia="方正仿宋_GBK"/>
          <w:b w:val="0"/>
          <w:bCs w:val="0"/>
          <w:color w:val="auto"/>
          <w:spacing w:val="-6"/>
          <w:kern w:val="0"/>
          <w:sz w:val="32"/>
          <w:szCs w:val="32"/>
          <w:lang w:bidi="he-IL"/>
        </w:rPr>
        <w:t>村级医疗公共服务“空白点”</w:t>
      </w:r>
      <w:r>
        <w:rPr>
          <w:rFonts w:ascii="Times New Roman" w:hAnsi="Times New Roman" w:eastAsia="方正仿宋_GBK"/>
          <w:b w:val="0"/>
          <w:bCs w:val="0"/>
          <w:kern w:val="0"/>
          <w:sz w:val="32"/>
          <w:szCs w:val="32"/>
          <w:lang w:bidi="zh-CN"/>
        </w:rPr>
        <w:t>。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动态监测乡村医疗卫生机构和人员变化情况，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支持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采取巡诊、派驻等灵活多样方式，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确保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乡村医疗卫生机构和人员“空白点”动态清零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。配齐医保刷卡设备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加强药品管理，不断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提升基层医疗机构服务能力。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（牵头单位：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卫生院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</w:rPr>
        <w:t>；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配合部门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社事办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、各村（社区）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12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.严格</w:t>
      </w:r>
      <w:r>
        <w:rPr>
          <w:rFonts w:ascii="Times New Roman" w:hAnsi="Times New Roman" w:eastAsia="方正仿宋_GBK"/>
          <w:b w:val="0"/>
          <w:bCs w:val="0"/>
          <w:spacing w:val="-6"/>
          <w:kern w:val="0"/>
          <w:sz w:val="32"/>
          <w:szCs w:val="32"/>
          <w:lang w:bidi="he-IL"/>
        </w:rPr>
        <w:t>落实慢病和签约服务</w:t>
      </w:r>
      <w:r>
        <w:rPr>
          <w:rFonts w:hint="eastAsia" w:ascii="Times New Roman" w:hAnsi="Times New Roman" w:eastAsia="方正仿宋_GBK"/>
          <w:b w:val="0"/>
          <w:bCs w:val="0"/>
          <w:spacing w:val="-6"/>
          <w:kern w:val="0"/>
          <w:sz w:val="32"/>
          <w:szCs w:val="32"/>
          <w:lang w:bidi="he-IL"/>
        </w:rPr>
        <w:t>政策</w:t>
      </w:r>
      <w:r>
        <w:rPr>
          <w:rFonts w:ascii="Times New Roman" w:hAnsi="Times New Roman" w:eastAsia="方正仿宋_GBK"/>
          <w:b w:val="0"/>
          <w:bCs w:val="0"/>
          <w:spacing w:val="-6"/>
          <w:kern w:val="0"/>
          <w:sz w:val="32"/>
          <w:szCs w:val="32"/>
          <w:lang w:bidi="he-IL"/>
        </w:rPr>
        <w:t>。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全面核实慢病认证办理情况，确保符合条件的群众“应办尽办”，对不符合条件的群众做好解释说明，对特殊群体落实专人上门协助办理，</w:t>
      </w: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每季度面对面随访至少1次。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将家庭医生签约服务重点人群范围扩大到农村低保对象、特困人员、监测对象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，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坚决杜绝只签约不服务或服务次数不够现象。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（牵头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部门</w:t>
      </w:r>
      <w:r>
        <w:rPr>
          <w:rFonts w:hint="eastAsia" w:eastAsia="方正楷体_GBK"/>
          <w:b w:val="0"/>
          <w:bCs w:val="0"/>
          <w:spacing w:val="-6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卫生院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</w:rPr>
        <w:t>；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配合部门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社事办、经发办、各村（社区）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13</w:t>
      </w: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严格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落实</w:t>
      </w: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“先诊疗后付费”</w:t>
      </w:r>
      <w:r>
        <w:rPr>
          <w:rFonts w:hint="eastAsia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政策</w:t>
      </w: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。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农村低保对象、特困人员、易返贫致贫人口和有关部门认定的返贫致贫人口，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可根据上级相关政策</w:t>
      </w:r>
      <w:r>
        <w:rPr>
          <w:rFonts w:ascii="Times New Roman" w:hAnsi="Times New Roman" w:eastAsia="方正仿宋_GBK"/>
          <w:b w:val="0"/>
          <w:bCs w:val="0"/>
          <w:kern w:val="0"/>
          <w:sz w:val="32"/>
          <w:szCs w:val="32"/>
        </w:rPr>
        <w:t>在县域内定点医疗机构住院，实行“先诊疗后付费”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“一站式”即时结算便民措施。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（牵头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卫生院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</w:rPr>
        <w:t>；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配合部门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经发办、社事办、各村（社区）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pacing w:val="-6"/>
          <w:kern w:val="0"/>
          <w:sz w:val="32"/>
          <w:szCs w:val="32"/>
          <w:lang w:bidi="he-IL"/>
        </w:rPr>
        <w:t>14</w:t>
      </w:r>
      <w:r>
        <w:rPr>
          <w:rFonts w:ascii="Times New Roman" w:hAnsi="Times New Roman" w:eastAsia="方正仿宋_GBK"/>
          <w:b w:val="0"/>
          <w:bCs w:val="0"/>
          <w:spacing w:val="-6"/>
          <w:kern w:val="0"/>
          <w:sz w:val="32"/>
          <w:szCs w:val="32"/>
          <w:lang w:bidi="he-IL"/>
        </w:rPr>
        <w:t>.</w:t>
      </w:r>
      <w:r>
        <w:rPr>
          <w:rFonts w:hint="eastAsia" w:ascii="Times New Roman" w:hAnsi="Times New Roman" w:eastAsia="方正仿宋_GBK"/>
          <w:b w:val="0"/>
          <w:bCs w:val="0"/>
          <w:spacing w:val="-6"/>
          <w:kern w:val="0"/>
          <w:sz w:val="32"/>
          <w:szCs w:val="32"/>
          <w:lang w:bidi="he-IL"/>
        </w:rPr>
        <w:t>严格</w:t>
      </w:r>
      <w:r>
        <w:rPr>
          <w:rFonts w:ascii="Times New Roman" w:hAnsi="Times New Roman" w:eastAsia="方正仿宋_GBK"/>
          <w:b w:val="0"/>
          <w:bCs w:val="0"/>
          <w:spacing w:val="-6"/>
          <w:kern w:val="0"/>
          <w:sz w:val="32"/>
          <w:szCs w:val="32"/>
          <w:lang w:bidi="he-IL"/>
        </w:rPr>
        <w:t>落实“一事一议”医疗救助</w:t>
      </w:r>
      <w:r>
        <w:rPr>
          <w:rFonts w:hint="eastAsia" w:ascii="Times New Roman" w:hAnsi="Times New Roman" w:eastAsia="方正仿宋_GBK"/>
          <w:b w:val="0"/>
          <w:bCs w:val="0"/>
          <w:spacing w:val="-6"/>
          <w:kern w:val="0"/>
          <w:sz w:val="32"/>
          <w:szCs w:val="32"/>
          <w:lang w:bidi="he-IL"/>
        </w:rPr>
        <w:t>制度</w:t>
      </w:r>
      <w:r>
        <w:rPr>
          <w:rFonts w:ascii="Times New Roman" w:hAnsi="Times New Roman" w:eastAsia="方正仿宋_GBK"/>
          <w:b w:val="0"/>
          <w:bCs w:val="0"/>
          <w:spacing w:val="-6"/>
          <w:kern w:val="0"/>
          <w:sz w:val="32"/>
          <w:szCs w:val="32"/>
          <w:lang w:bidi="he-IL"/>
        </w:rPr>
        <w:t>。</w:t>
      </w:r>
      <w:r>
        <w:rPr>
          <w:rFonts w:hint="eastAsia" w:ascii="Times New Roman" w:hAnsi="Times New Roman" w:eastAsia="方正仿宋_GBK"/>
          <w:b w:val="0"/>
          <w:bCs w:val="0"/>
          <w:spacing w:val="-6"/>
          <w:kern w:val="0"/>
          <w:sz w:val="32"/>
          <w:szCs w:val="32"/>
          <w:lang w:val="en-US" w:eastAsia="zh-CN" w:bidi="he-IL"/>
        </w:rPr>
        <w:t>根据县上</w:t>
      </w: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每</w:t>
      </w:r>
      <w:r>
        <w:rPr>
          <w:rFonts w:hint="eastAsia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月末</w:t>
      </w:r>
      <w:r>
        <w:rPr>
          <w:rFonts w:hint="eastAsia" w:ascii="Times New Roman" w:hAnsi="Times New Roman" w:eastAsia="方正仿宋_GBK"/>
          <w:b w:val="0"/>
          <w:bCs w:val="0"/>
          <w:snapToGrid w:val="0"/>
          <w:kern w:val="0"/>
          <w:sz w:val="32"/>
          <w:szCs w:val="32"/>
          <w:lang w:val="en-US" w:eastAsia="zh-CN"/>
        </w:rPr>
        <w:t>发出的</w:t>
      </w:r>
      <w:r>
        <w:rPr>
          <w:rFonts w:hint="eastAsia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“六类人群”</w:t>
      </w: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住院就医自</w:t>
      </w:r>
      <w:r>
        <w:rPr>
          <w:rFonts w:hint="eastAsia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付</w:t>
      </w: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费超过1.</w:t>
      </w:r>
      <w:r>
        <w:rPr>
          <w:rFonts w:hint="eastAsia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6</w:t>
      </w: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万元以上的名单，</w:t>
      </w:r>
      <w:r>
        <w:rPr>
          <w:rFonts w:hint="eastAsia"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按照“一事一议”程序落实医疗救助政策</w:t>
      </w:r>
      <w:r>
        <w:rPr>
          <w:rFonts w:ascii="Times New Roman" w:hAnsi="Times New Roman" w:eastAsia="方正仿宋_GBK"/>
          <w:b w:val="0"/>
          <w:bCs w:val="0"/>
          <w:snapToGrid w:val="0"/>
          <w:kern w:val="0"/>
          <w:sz w:val="32"/>
          <w:szCs w:val="32"/>
        </w:rPr>
        <w:t>。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（牵头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卫生院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</w:rPr>
        <w:t>；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配合部门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社事办</w:t>
      </w:r>
      <w:r>
        <w:rPr>
          <w:rFonts w:hint="eastAsia" w:eastAsia="方正楷体_GBK"/>
          <w:b w:val="0"/>
          <w:bCs w:val="0"/>
          <w:spacing w:val="-6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经发办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</w:rPr>
        <w:t>、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财政</w:t>
      </w:r>
      <w:r>
        <w:rPr>
          <w:rFonts w:hint="eastAsia" w:eastAsia="方正楷体_GBK"/>
          <w:b w:val="0"/>
          <w:bCs w:val="0"/>
          <w:spacing w:val="-6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</w:rPr>
        <w:t>、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各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村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社区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牵头领导：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杨 磊、王 冬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；牵头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社事办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配合部门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其他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相关部门、各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村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ascii="Times New Roman" w:hAnsi="Times New Roman" w:eastAsia="方正楷体_GBK"/>
          <w:b w:val="0"/>
          <w:bCs w:val="0"/>
          <w:sz w:val="32"/>
          <w:szCs w:val="32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（四）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</w:rPr>
        <w:t>农村</w:t>
      </w: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人居环境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</w:rPr>
        <w:t>“清洁</w:t>
      </w: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行动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napToGrid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15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全面推进问题厕所排查整改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 w:val="0"/>
          <w:bCs w:val="0"/>
          <w:snapToGrid w:val="0"/>
          <w:sz w:val="32"/>
          <w:szCs w:val="32"/>
        </w:rPr>
        <w:t>对</w:t>
      </w:r>
      <w:r>
        <w:rPr>
          <w:rFonts w:ascii="Times New Roman" w:hAnsi="Times New Roman" w:eastAsia="方正仿宋_GBK"/>
          <w:b w:val="0"/>
          <w:bCs w:val="0"/>
          <w:snapToGrid w:val="0"/>
          <w:sz w:val="32"/>
          <w:szCs w:val="32"/>
        </w:rPr>
        <w:t>2013年以来享受财政补助</w:t>
      </w:r>
      <w:r>
        <w:rPr>
          <w:rFonts w:hint="eastAsia" w:ascii="Times New Roman" w:hAnsi="Times New Roman" w:eastAsia="方正仿宋_GBK"/>
          <w:b w:val="0"/>
          <w:bCs w:val="0"/>
          <w:snapToGrid w:val="0"/>
          <w:sz w:val="32"/>
          <w:szCs w:val="32"/>
        </w:rPr>
        <w:t>的</w:t>
      </w:r>
      <w:r>
        <w:rPr>
          <w:rFonts w:ascii="Times New Roman" w:hAnsi="Times New Roman" w:eastAsia="方正仿宋_GBK"/>
          <w:b w:val="0"/>
          <w:bCs w:val="0"/>
          <w:snapToGrid w:val="0"/>
          <w:sz w:val="32"/>
          <w:szCs w:val="32"/>
        </w:rPr>
        <w:t>问题厕所</w:t>
      </w:r>
      <w:r>
        <w:rPr>
          <w:rFonts w:hint="eastAsia" w:ascii="Times New Roman" w:hAnsi="Times New Roman" w:eastAsia="方正仿宋_GBK"/>
          <w:b w:val="0"/>
          <w:bCs w:val="0"/>
          <w:snapToGrid w:val="0"/>
          <w:sz w:val="32"/>
          <w:szCs w:val="32"/>
        </w:rPr>
        <w:t>，</w:t>
      </w:r>
      <w:r>
        <w:rPr>
          <w:rFonts w:ascii="Times New Roman" w:hAnsi="Times New Roman" w:eastAsia="方正仿宋_GBK"/>
          <w:b w:val="0"/>
          <w:bCs w:val="0"/>
          <w:snapToGrid w:val="0"/>
          <w:sz w:val="32"/>
          <w:szCs w:val="32"/>
        </w:rPr>
        <w:t>逐村逐户逐厕拉网式排查农村厕所现状，</w:t>
      </w:r>
      <w:r>
        <w:rPr>
          <w:rFonts w:hint="eastAsia" w:ascii="Times New Roman" w:hAnsi="Times New Roman" w:eastAsia="方正仿宋_GBK"/>
          <w:b w:val="0"/>
          <w:bCs w:val="0"/>
          <w:snapToGrid w:val="0"/>
          <w:sz w:val="32"/>
          <w:szCs w:val="32"/>
        </w:rPr>
        <w:t>按照“问题类、升级类、提质类”精准分类建立整改台账。及时启动“不能用、不能全年使用”问题厕所整改，12月底前全部整改完成；对“升级类、提质类”问题厕所列出整改计划，打表推进。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（牵头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规环办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</w:rPr>
        <w:t>；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配合部门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：各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村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社区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16.深入开展村庄清洁“秋冬战役”。</w:t>
      </w:r>
      <w:r>
        <w:rPr>
          <w:rFonts w:ascii="Times New Roman" w:hAnsi="Times New Roman" w:eastAsia="方正仿宋_GBK"/>
          <w:b w:val="0"/>
          <w:bCs w:val="0"/>
          <w:snapToGrid w:val="0"/>
          <w:sz w:val="32"/>
          <w:szCs w:val="32"/>
        </w:rPr>
        <w:t>持续开展“五清理一活动”</w:t>
      </w:r>
      <w:r>
        <w:rPr>
          <w:rFonts w:hint="eastAsia" w:ascii="Times New Roman" w:hAnsi="Times New Roman" w:eastAsia="方正仿宋_GBK"/>
          <w:b w:val="0"/>
          <w:bCs w:val="0"/>
          <w:snapToGrid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组织发动群众开展道路清扫、院落垃圾清理、公共服务设施保洁等志愿服务活动，每月开展“清洁户”评比，帮助农村特殊困难群体做好家庭卫生。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（牵头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规环办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；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配合部门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各村（社区）、驻村工作队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/>
          <w:b w:val="0"/>
          <w:bCs w:val="0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highlight w:val="none"/>
        </w:rPr>
        <w:t>17</w:t>
      </w:r>
      <w:r>
        <w:rPr>
          <w:rFonts w:ascii="Times New Roman" w:hAnsi="Times New Roman" w:eastAsia="方正仿宋_GBK"/>
          <w:b w:val="0"/>
          <w:bCs w:val="0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highlight w:val="none"/>
        </w:rPr>
        <w:t>持续推进和美乡村示范创建</w:t>
      </w:r>
      <w:r>
        <w:rPr>
          <w:rFonts w:ascii="Times New Roman" w:hAnsi="Times New Roman" w:eastAsia="方正仿宋_GBK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对照宜居宜业和美乡村示范创建标准（渝乡振发</w:t>
      </w:r>
      <w:r>
        <w:rPr>
          <w:rFonts w:hint="eastAsia" w:ascii="方正仿宋_GBK" w:hAnsi="Times New Roman" w:eastAsia="方正仿宋_GBK"/>
          <w:b w:val="0"/>
          <w:bCs w:val="0"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2023</w:t>
      </w:r>
      <w:r>
        <w:rPr>
          <w:rFonts w:hint="eastAsia" w:ascii="方正仿宋_GBK" w:hAnsi="Times New Roman" w:eastAsia="方正仿宋_GBK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23号），积极开展示范创建，</w:t>
      </w:r>
      <w:r>
        <w:rPr>
          <w:rFonts w:hint="eastAsia" w:ascii="Times New Roman" w:hAnsi="Times New Roman" w:eastAsia="方正仿宋_GBK"/>
          <w:b w:val="0"/>
          <w:bCs w:val="0"/>
          <w:color w:val="auto"/>
          <w:spacing w:val="-6"/>
          <w:sz w:val="32"/>
          <w:szCs w:val="32"/>
          <w:lang w:bidi="he-IL"/>
        </w:rPr>
        <w:t>全面开展人居环境整治，全面推广应用“积分制”“清单制”，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验收合格后给予资金补助</w:t>
      </w:r>
      <w:r>
        <w:rPr>
          <w:rFonts w:ascii="Times New Roman" w:hAnsi="Times New Roman" w:eastAsia="方正仿宋_GBK"/>
          <w:b w:val="0"/>
          <w:bCs w:val="0"/>
          <w:snapToGrid w:val="0"/>
          <w:color w:val="auto"/>
          <w:sz w:val="32"/>
          <w:szCs w:val="32"/>
        </w:rPr>
        <w:t>。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（牵头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经发办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；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配合部门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：</w:t>
      </w:r>
      <w:r>
        <w:rPr>
          <w:rFonts w:hint="eastAsia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党群办、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文化服务中心、规环办、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各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村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社区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牵头领导：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蒋进波、谭鹏程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；牵头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规环办、经发办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配合部门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其他相关部门、驻村工作队、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村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ascii="Times New Roman" w:hAnsi="Times New Roman" w:eastAsia="方正楷体_GBK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（五）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</w:rPr>
        <w:t>问题整改落实“销号</w:t>
      </w: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行动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ascii="Times New Roman" w:hAnsi="Times New Roman" w:eastAsia="方正仿宋_GBK"/>
          <w:b w:val="0"/>
          <w:bCs w:val="0"/>
          <w:color w:val="FF000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pacing w:val="-6"/>
          <w:sz w:val="32"/>
          <w:szCs w:val="32"/>
          <w:lang w:bidi="he-IL"/>
        </w:rPr>
        <w:t>18</w:t>
      </w:r>
      <w:r>
        <w:rPr>
          <w:rFonts w:ascii="Times New Roman" w:hAnsi="Times New Roman" w:eastAsia="方正仿宋_GBK"/>
          <w:b w:val="0"/>
          <w:bCs w:val="0"/>
          <w:color w:val="auto"/>
          <w:spacing w:val="-6"/>
          <w:sz w:val="32"/>
          <w:szCs w:val="32"/>
          <w:lang w:bidi="he-IL"/>
        </w:rPr>
        <w:t>.</w:t>
      </w:r>
      <w:r>
        <w:rPr>
          <w:rFonts w:hint="eastAsia" w:ascii="Times New Roman" w:hAnsi="Times New Roman" w:eastAsia="方正仿宋_GBK"/>
          <w:b w:val="0"/>
          <w:bCs w:val="0"/>
          <w:color w:val="auto"/>
          <w:spacing w:val="-6"/>
          <w:sz w:val="32"/>
          <w:szCs w:val="32"/>
          <w:lang w:bidi="he-IL"/>
        </w:rPr>
        <w:t>落细落实教育保障政策</w:t>
      </w:r>
      <w:r>
        <w:rPr>
          <w:rFonts w:ascii="Times New Roman" w:hAnsi="Times New Roman" w:eastAsia="方正仿宋_GBK"/>
          <w:b w:val="0"/>
          <w:bCs w:val="0"/>
          <w:color w:val="auto"/>
          <w:spacing w:val="-6"/>
          <w:sz w:val="32"/>
          <w:szCs w:val="32"/>
          <w:lang w:bidi="he-IL"/>
        </w:rPr>
        <w:t>。9月底前建立控辍保学、送教上门、教育资助对象等台账，督导落实“1+4”联防联控机制，举一反三排查整改义务教育阶段适龄儿童因非身体原因失学辍学、送教上门不落实、教育资助政策不到位等问题</w:t>
      </w:r>
      <w:r>
        <w:rPr>
          <w:rFonts w:ascii="Times New Roman" w:hAnsi="Times New Roman" w:eastAsia="方正仿宋_GBK"/>
          <w:b w:val="0"/>
          <w:bCs w:val="0"/>
          <w:color w:val="auto"/>
          <w:sz w:val="32"/>
          <w:szCs w:val="32"/>
        </w:rPr>
        <w:t>。</w:t>
      </w:r>
      <w:r>
        <w:rPr>
          <w:rFonts w:ascii="Times New Roman" w:hAnsi="Times New Roman" w:eastAsia="方正仿宋_GBK"/>
          <w:b w:val="0"/>
          <w:bCs w:val="0"/>
          <w:color w:val="auto"/>
          <w:spacing w:val="-6"/>
          <w:sz w:val="32"/>
          <w:szCs w:val="32"/>
        </w:rPr>
        <w:t>（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牵头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教管中心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；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配合部门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栗子乡中心小学</w:t>
      </w:r>
      <w:r>
        <w:rPr>
          <w:rFonts w:hint="eastAsia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校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栗子乡</w:t>
      </w:r>
      <w:r>
        <w:rPr>
          <w:rFonts w:hint="eastAsia" w:eastAsia="方正楷体_GBK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初级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中学</w:t>
      </w:r>
      <w:r>
        <w:rPr>
          <w:rFonts w:hint="eastAsia" w:eastAsia="方正楷体_GBK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校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、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u w:val="none"/>
        </w:rPr>
        <w:t>各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村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u w:val="none"/>
        </w:rPr>
        <w:t>（</w:t>
      </w:r>
      <w:r>
        <w:rPr>
          <w:rFonts w:hint="eastAsia"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社区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  <w:u w:val="none"/>
        </w:rPr>
        <w:t>）</w:t>
      </w:r>
      <w:r>
        <w:rPr>
          <w:rFonts w:ascii="Times New Roman" w:hAnsi="Times New Roman" w:eastAsia="方正仿宋_GBK"/>
          <w:b w:val="0"/>
          <w:bCs w:val="0"/>
          <w:color w:val="auto"/>
          <w:spacing w:val="-6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pacing w:val="-6"/>
          <w:sz w:val="32"/>
          <w:szCs w:val="32"/>
          <w:lang w:bidi="he-IL"/>
        </w:rPr>
        <w:t>19</w:t>
      </w:r>
      <w:r>
        <w:rPr>
          <w:rFonts w:ascii="Times New Roman" w:hAnsi="Times New Roman" w:eastAsia="方正仿宋_GBK"/>
          <w:b w:val="0"/>
          <w:bCs w:val="0"/>
          <w:spacing w:val="-6"/>
          <w:sz w:val="32"/>
          <w:szCs w:val="32"/>
          <w:lang w:bidi="he-IL"/>
        </w:rPr>
        <w:t>.</w:t>
      </w:r>
      <w:r>
        <w:rPr>
          <w:rFonts w:hint="eastAsia" w:ascii="Times New Roman" w:hAnsi="Times New Roman" w:eastAsia="方正仿宋_GBK"/>
          <w:b w:val="0"/>
          <w:bCs w:val="0"/>
          <w:spacing w:val="-6"/>
          <w:sz w:val="32"/>
          <w:szCs w:val="32"/>
          <w:lang w:bidi="he-IL"/>
        </w:rPr>
        <w:t>持续提升饮水保障水平</w:t>
      </w:r>
      <w:r>
        <w:rPr>
          <w:rFonts w:ascii="Times New Roman" w:hAnsi="Times New Roman" w:eastAsia="方正仿宋_GBK"/>
          <w:b w:val="0"/>
          <w:bCs w:val="0"/>
          <w:spacing w:val="-6"/>
          <w:sz w:val="32"/>
          <w:szCs w:val="32"/>
          <w:lang w:bidi="he-IL"/>
        </w:rPr>
        <w:t>。</w:t>
      </w:r>
      <w:r>
        <w:rPr>
          <w:rFonts w:hint="eastAsia" w:ascii="Times New Roman" w:hAnsi="Times New Roman" w:eastAsia="方正仿宋_GBK"/>
          <w:b w:val="0"/>
          <w:bCs w:val="0"/>
          <w:spacing w:val="-6"/>
          <w:sz w:val="32"/>
          <w:szCs w:val="32"/>
          <w:lang w:bidi="he-IL"/>
        </w:rPr>
        <w:t>激活农村饮水安全动态监测和响应机制，组建专门队伍，每月排查整改农户饮水安全不达标、工程管护不到位、应急措施不完善、缺水农户未得到及时帮扶等问题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。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（牵头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农服中心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</w:rPr>
        <w:t>；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配合部门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：各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村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社区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）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驻村工作队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20.抓紧抓实</w:t>
      </w:r>
      <w:r>
        <w:rPr>
          <w:rFonts w:hint="eastAsia" w:ascii="Times New Roman" w:hAnsi="Times New Roman" w:eastAsia="方正仿宋_GBK"/>
          <w:b w:val="0"/>
          <w:bCs w:val="0"/>
          <w:spacing w:val="-6"/>
          <w:sz w:val="32"/>
          <w:szCs w:val="32"/>
          <w:lang w:bidi="he-IL"/>
        </w:rPr>
        <w:t>稳岗就业工作</w:t>
      </w:r>
      <w:r>
        <w:rPr>
          <w:rFonts w:ascii="Times New Roman" w:hAnsi="Times New Roman" w:eastAsia="方正仿宋_GBK"/>
          <w:b w:val="0"/>
          <w:bCs w:val="0"/>
          <w:spacing w:val="-6"/>
          <w:sz w:val="32"/>
          <w:szCs w:val="32"/>
          <w:lang w:bidi="he-IL"/>
        </w:rPr>
        <w:t>。</w:t>
      </w:r>
      <w:r>
        <w:rPr>
          <w:rFonts w:hint="eastAsia" w:ascii="Times New Roman" w:hAnsi="Times New Roman" w:eastAsia="方正仿宋_GBK"/>
          <w:b w:val="0"/>
          <w:bCs w:val="0"/>
          <w:spacing w:val="-6"/>
          <w:sz w:val="32"/>
          <w:szCs w:val="32"/>
          <w:lang w:bidi="he-IL"/>
        </w:rPr>
        <w:t>建立问题台账，全面排查整改外出务工信息不准确、雨露计划毕业生未就业及公益性岗位管理不规范、帮扶车间带动就业不真实、跨区域务工交通补助未兑现、以工代赈项目劳务报酬发放不达标等问题。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（牵头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社保所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</w:rPr>
        <w:t>；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配合部门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经发办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</w:rPr>
        <w:t>、</w:t>
      </w:r>
      <w:r>
        <w:rPr>
          <w:rFonts w:hint="eastAsia" w:eastAsia="方正楷体_GBK"/>
          <w:b w:val="0"/>
          <w:bCs w:val="0"/>
          <w:spacing w:val="-6"/>
          <w:sz w:val="32"/>
          <w:szCs w:val="32"/>
          <w:lang w:val="en-US" w:eastAsia="zh-CN"/>
        </w:rPr>
        <w:t>规环办、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各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村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社区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ascii="Times New Roman" w:hAnsi="Times New Roman" w:eastAsia="方正仿宋_GBK"/>
          <w:b w:val="0"/>
          <w:bCs w:val="0"/>
          <w:spacing w:val="-6"/>
          <w:sz w:val="32"/>
          <w:szCs w:val="32"/>
          <w:lang w:bidi="he-IL"/>
        </w:rPr>
      </w:pPr>
      <w:r>
        <w:rPr>
          <w:rFonts w:hint="eastAsia" w:ascii="Times New Roman" w:hAnsi="Times New Roman" w:eastAsia="方正仿宋_GBK"/>
          <w:b w:val="0"/>
          <w:bCs w:val="0"/>
          <w:spacing w:val="-6"/>
          <w:sz w:val="32"/>
          <w:szCs w:val="32"/>
          <w:lang w:bidi="he-IL"/>
        </w:rPr>
        <w:t>21.促进帮扶产业提质增效。建立帮扶产业问题台账，深入排查整改产业帮扶项目联农带农机制未落实、农户对产业帮扶措施不满意、到户产业补助资金发放不到位、小额信贷“应贷未贷”、农户农产品滞销卖难等问题</w:t>
      </w:r>
      <w:r>
        <w:rPr>
          <w:rFonts w:hint="eastAsia" w:ascii="方正仿宋_GBK" w:hAnsi="方正楷体_GBK" w:eastAsia="方正仿宋_GBK" w:cs="方正楷体_GBK"/>
          <w:b w:val="0"/>
          <w:bCs w:val="0"/>
          <w:sz w:val="32"/>
          <w:szCs w:val="32"/>
        </w:rPr>
        <w:t>。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（牵头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农服中心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</w:rPr>
        <w:t>；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配合部门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经发办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</w:rPr>
        <w:t>、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各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村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 w:val="0"/>
          <w:bCs w:val="0"/>
          <w:spacing w:val="-6"/>
          <w:sz w:val="32"/>
          <w:szCs w:val="32"/>
          <w:lang w:val="en-US" w:eastAsia="zh-CN"/>
        </w:rPr>
        <w:t>社区</w:t>
      </w:r>
      <w:r>
        <w:rPr>
          <w:rFonts w:ascii="Times New Roman" w:hAnsi="Times New Roman" w:eastAsia="方正楷体_GBK"/>
          <w:b w:val="0"/>
          <w:bCs w:val="0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牵头领导：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杨 磊、王 冬、田江波、谭鹏程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；牵头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教管中心、农服中心、社保所、经发办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配合部门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其他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相关部门、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学校，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村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  <w:r>
        <w:rPr>
          <w:rFonts w:ascii="Times New Roman" w:hAnsi="Times New Roman" w:eastAsia="方正楷体_GBK"/>
          <w:b w:val="0"/>
          <w:bCs w:val="0"/>
          <w:color w:val="auto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 w:val="0"/>
          <w:kern w:val="0"/>
          <w:sz w:val="32"/>
          <w:szCs w:val="32"/>
        </w:rPr>
        <w:t>三</w:t>
      </w:r>
      <w:r>
        <w:rPr>
          <w:rFonts w:ascii="Times New Roman" w:hAnsi="Times New Roman" w:eastAsia="方正黑体_GBK"/>
          <w:b w:val="0"/>
          <w:bCs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/>
          <w:b w:val="0"/>
          <w:bCs w:val="0"/>
          <w:kern w:val="0"/>
          <w:sz w:val="32"/>
          <w:szCs w:val="32"/>
        </w:rPr>
        <w:t>工作机制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ascii="Times New Roman" w:hAnsi="Times New Roman" w:eastAsia="仿宋"/>
          <w:b w:val="0"/>
          <w:bCs w:val="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（一）蹲点包干机制。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管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领导每月到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）蹲点指导至少1次，县级帮扶单位主要负责人每月到所联系乡镇（街道）帮扶座谈至少1次，帮助解决巩固拓展脱贫攻坚成果领域的实际问题；乡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政府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班子成员到所联系村（社区）开展工作每月至少2次，全面推进落实“五大行动”相关工作。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（二）工作调度机制。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“五大行动”牵头领导每月听取工作情况汇报，研究解决相关问题；牵头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部门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每半月组织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配合部门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各村（社区）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召开调度会，分析研判“五大行动”推进情况，推动工作和政策落实；乡党委每周调度“五大行动”推进情况，重大问题及时上报联系县领导、牵头单位和县巩固专班。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ascii="方正仿宋_GBK" w:hAnsi="方正仿宋_GBK" w:eastAsia="方正仿宋_GBK" w:cs="方正仿宋_GBK"/>
          <w:b w:val="0"/>
          <w:bCs w:val="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（三）闭环管理机制。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乡政府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对照“五大行动”重点任务，逐项建立台账清单，从问题、责任、措施、时限四个维度落实量化管理，落实清单销号、闭环管理机制；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将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县巩固专班牵头汇总反馈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针对各类渠道发现的问题线索，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及时发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给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各村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）和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级相关部门，原则上</w:t>
      </w:r>
      <w:r>
        <w:rPr>
          <w:rFonts w:ascii="Times New Roman" w:hAnsi="Times New Roman" w:eastAsia="方正仿宋_GBK"/>
          <w:b w:val="0"/>
          <w:bCs w:val="0"/>
          <w:kern w:val="0"/>
          <w:sz w:val="32"/>
          <w:szCs w:val="32"/>
        </w:rPr>
        <w:t>10个工作日内核实整改到位。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（四）精准督导机制。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县督查考核办、县巩固专班抽调力量组建常态化督导组，针对每个乡镇（街道）比较突出的短板弱项，采取“四不两直”的方式，每月对各乡镇（街道）“五大行动”开展情况进行暗查暗访，不定期印发《暗访快报》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</w:rPr>
        <w:t>（五）晾晒比拼机制。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巩固专班每月调度相关重点工作，并将有关指标进行通报排名。每季度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根据县级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认可度电话调查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结果进行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通报排名。月通报和季度通报结果纳入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各村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）年底考核评估。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/>
        <w:jc w:val="both"/>
        <w:textAlignment w:val="auto"/>
        <w:rPr>
          <w:rFonts w:ascii="Times New Roman" w:hAnsi="Times New Roman" w:eastAsia="方正黑体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 w:val="0"/>
          <w:color w:val="auto"/>
          <w:kern w:val="0"/>
          <w:sz w:val="32"/>
          <w:szCs w:val="32"/>
        </w:rPr>
        <w:t>四</w:t>
      </w:r>
      <w:r>
        <w:rPr>
          <w:rFonts w:ascii="Times New Roman" w:hAnsi="Times New Roman" w:eastAsia="方正黑体_GBK"/>
          <w:b w:val="0"/>
          <w:bCs w:val="0"/>
          <w:color w:val="auto"/>
          <w:kern w:val="0"/>
          <w:sz w:val="32"/>
          <w:szCs w:val="32"/>
        </w:rPr>
        <w:t>、工作要求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/>
        <w:jc w:val="both"/>
        <w:textAlignment w:val="auto"/>
        <w:rPr>
          <w:rFonts w:ascii="Times New Roman" w:hAnsi="Times New Roman" w:eastAsia="方正仿宋_GBK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方正楷体_GBK"/>
          <w:b w:val="0"/>
          <w:bCs w:val="0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/>
          <w:b w:val="0"/>
          <w:bCs w:val="0"/>
          <w:kern w:val="0"/>
          <w:sz w:val="32"/>
          <w:szCs w:val="32"/>
        </w:rPr>
        <w:t>强化</w:t>
      </w:r>
      <w:r>
        <w:rPr>
          <w:rFonts w:ascii="Times New Roman" w:hAnsi="Times New Roman" w:eastAsia="方正楷体_GBK"/>
          <w:b w:val="0"/>
          <w:bCs w:val="0"/>
          <w:kern w:val="0"/>
          <w:sz w:val="32"/>
          <w:szCs w:val="32"/>
        </w:rPr>
        <w:t>组织领导。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级</w:t>
      </w:r>
      <w:r>
        <w:rPr>
          <w:rFonts w:ascii="Times New Roman" w:hAnsi="Times New Roman" w:eastAsia="方正仿宋_GBK"/>
          <w:b w:val="0"/>
          <w:bCs w:val="0"/>
          <w:kern w:val="0"/>
          <w:sz w:val="32"/>
          <w:szCs w:val="32"/>
        </w:rPr>
        <w:t>各部门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要心怀“国之大者”，进一步提高政治站位，杜绝“翻篇”思想，把巩固拓展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eastAsia="zh-CN"/>
        </w:rPr>
        <w:t>脱贫攻坚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成果工作作为重中之重，</w:t>
      </w:r>
      <w:r>
        <w:rPr>
          <w:rFonts w:ascii="Times New Roman" w:hAnsi="Times New Roman" w:eastAsia="方正仿宋_GBK"/>
          <w:b w:val="0"/>
          <w:bCs w:val="0"/>
          <w:kern w:val="0"/>
          <w:sz w:val="32"/>
          <w:szCs w:val="32"/>
        </w:rPr>
        <w:t>切实加强组织领导，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层层压实</w:t>
      </w:r>
      <w:r>
        <w:rPr>
          <w:rFonts w:ascii="Times New Roman" w:hAnsi="Times New Roman" w:eastAsia="方正仿宋_GBK"/>
          <w:b w:val="0"/>
          <w:bCs w:val="0"/>
          <w:kern w:val="0"/>
          <w:sz w:val="32"/>
          <w:szCs w:val="32"/>
        </w:rPr>
        <w:t>工作责任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。由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乡党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委政府分管领导统筹协调，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乡级相关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部门和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）主要负责人要亲自部署、亲自研究、亲自推动、亲自督导，扎实有效推进“五大行动”，落实“五大机制”，全面提升巩固拓展脱贫攻坚成果质效。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/>
        <w:jc w:val="both"/>
        <w:textAlignment w:val="auto"/>
        <w:rPr>
          <w:rFonts w:ascii="Times New Roman" w:hAnsi="Times New Roman" w:eastAsia="方正仿宋_GBK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u w:val="none"/>
        </w:rPr>
        <w:t>（二）强化沟通协调。</w:t>
      </w:r>
      <w:r>
        <w:rPr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乡</w:t>
      </w:r>
      <w:r>
        <w:rPr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u w:val="none"/>
        </w:rPr>
        <w:t>巩固专班要充分发挥牵头抓总的作用，协调调动发改、住建、教育、卫健、医保、就业、规资、水利、农业、统计等县级行业主管部门力量，定期共享比对相关数据，研究分析解决</w:t>
      </w:r>
      <w:r>
        <w:rPr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各村</w:t>
      </w:r>
      <w:r>
        <w:rPr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u w:val="none"/>
        </w:rPr>
        <w:t>）提出的重点难点问题。及时向联系市管领导汇报工作情况，加强与县级相关部门沟通协调。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/>
        <w:jc w:val="both"/>
        <w:textAlignment w:val="auto"/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方正楷体_GBK"/>
          <w:b w:val="0"/>
          <w:bCs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 w:val="0"/>
          <w:bCs w:val="0"/>
          <w:kern w:val="0"/>
          <w:sz w:val="32"/>
          <w:szCs w:val="32"/>
        </w:rPr>
        <w:t>三</w:t>
      </w:r>
      <w:r>
        <w:rPr>
          <w:rFonts w:ascii="Times New Roman" w:hAnsi="Times New Roman" w:eastAsia="方正楷体_GBK"/>
          <w:b w:val="0"/>
          <w:bCs w:val="0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楷体_GBK"/>
          <w:b w:val="0"/>
          <w:bCs w:val="0"/>
          <w:kern w:val="0"/>
          <w:sz w:val="32"/>
          <w:szCs w:val="32"/>
        </w:rPr>
        <w:t>强化追责问责</w:t>
      </w:r>
      <w:r>
        <w:rPr>
          <w:rFonts w:ascii="Times New Roman" w:hAnsi="Times New Roman" w:eastAsia="方正楷体_GBK"/>
          <w:b w:val="0"/>
          <w:bCs w:val="0"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对本次巩固提升工作中发现并整改到位的问题不作为问责追责依据。但被国家、市级考核评估发现“应纳未纳”“体外循环”“三保障”及饮水安全等方面问题，严重影响国家对重庆市、市对县考核评估结果的，</w:t>
      </w:r>
      <w:r>
        <w:rPr>
          <w:rFonts w:ascii="Times New Roman" w:hAnsi="Times New Roman" w:eastAsia="方正仿宋_GBK"/>
          <w:b w:val="0"/>
          <w:bCs w:val="0"/>
          <w:kern w:val="0"/>
          <w:sz w:val="32"/>
          <w:szCs w:val="32"/>
        </w:rPr>
        <w:t>在年底脱贫攻坚成效考核予以扣分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，并按照《丰都县巩固拓展脱贫攻坚成果工作十条规定》</w:t>
      </w:r>
      <w:r>
        <w:rPr>
          <w:rFonts w:ascii="Times New Roman" w:hAnsi="Times New Roman" w:eastAsia="方正仿宋_GBK"/>
          <w:b w:val="0"/>
          <w:bCs w:val="0"/>
          <w:kern w:val="0"/>
          <w:sz w:val="32"/>
          <w:szCs w:val="32"/>
        </w:rPr>
        <w:t>追责问责</w:t>
      </w: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  <w:t>。</w:t>
      </w:r>
    </w:p>
    <w:p>
      <w:pP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</w:pPr>
    </w:p>
    <w:p>
      <w:pP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464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-316865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95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DlL3B1gAAAAgBAAAPAAAAAAAAAAEAIAAAADgAAABkcnMvZG93bnJldi54bWxQ&#10;SwECFAAUAAAACACHTuJASQizEBwCAAApBAAADgAAAAAAAAABACAAAAA7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35974C64"/>
    <w:rsid w:val="03BA412A"/>
    <w:rsid w:val="081177BF"/>
    <w:rsid w:val="08826D59"/>
    <w:rsid w:val="09CB7913"/>
    <w:rsid w:val="0B493DC0"/>
    <w:rsid w:val="0C462FFF"/>
    <w:rsid w:val="0D0D15C7"/>
    <w:rsid w:val="0D4765CB"/>
    <w:rsid w:val="0D4D277F"/>
    <w:rsid w:val="0EE8195C"/>
    <w:rsid w:val="10DB7115"/>
    <w:rsid w:val="111226F4"/>
    <w:rsid w:val="11FC39F1"/>
    <w:rsid w:val="127D5BBE"/>
    <w:rsid w:val="137C39E2"/>
    <w:rsid w:val="160C28FB"/>
    <w:rsid w:val="19836A30"/>
    <w:rsid w:val="1A3A6B6C"/>
    <w:rsid w:val="1ABD08C2"/>
    <w:rsid w:val="1B291F40"/>
    <w:rsid w:val="1BC3580A"/>
    <w:rsid w:val="211148C5"/>
    <w:rsid w:val="215877D4"/>
    <w:rsid w:val="21A42D35"/>
    <w:rsid w:val="25035E49"/>
    <w:rsid w:val="26F6184D"/>
    <w:rsid w:val="296E2CBF"/>
    <w:rsid w:val="29786CF8"/>
    <w:rsid w:val="2A633537"/>
    <w:rsid w:val="2A916787"/>
    <w:rsid w:val="2AF27EBA"/>
    <w:rsid w:val="2C4261B3"/>
    <w:rsid w:val="2C892158"/>
    <w:rsid w:val="2DDF2977"/>
    <w:rsid w:val="2F590507"/>
    <w:rsid w:val="2F744A60"/>
    <w:rsid w:val="2FB2270C"/>
    <w:rsid w:val="2FF41FDE"/>
    <w:rsid w:val="30C9346B"/>
    <w:rsid w:val="325A5E7F"/>
    <w:rsid w:val="328B4E7C"/>
    <w:rsid w:val="351A463E"/>
    <w:rsid w:val="354B26A0"/>
    <w:rsid w:val="35724B61"/>
    <w:rsid w:val="35974C64"/>
    <w:rsid w:val="35A41387"/>
    <w:rsid w:val="366C6D72"/>
    <w:rsid w:val="36B27DCD"/>
    <w:rsid w:val="36B44A9A"/>
    <w:rsid w:val="37B35F69"/>
    <w:rsid w:val="384C24EB"/>
    <w:rsid w:val="38750615"/>
    <w:rsid w:val="38EC5F48"/>
    <w:rsid w:val="39162FC5"/>
    <w:rsid w:val="39E36507"/>
    <w:rsid w:val="3D473314"/>
    <w:rsid w:val="3D5567B2"/>
    <w:rsid w:val="3F7D1B6F"/>
    <w:rsid w:val="41743DB5"/>
    <w:rsid w:val="41E43749"/>
    <w:rsid w:val="42BE6BA7"/>
    <w:rsid w:val="43525542"/>
    <w:rsid w:val="437000EA"/>
    <w:rsid w:val="4475773A"/>
    <w:rsid w:val="453E7B2C"/>
    <w:rsid w:val="45F160DE"/>
    <w:rsid w:val="462F27AC"/>
    <w:rsid w:val="46A1316F"/>
    <w:rsid w:val="47C02A7A"/>
    <w:rsid w:val="485630F1"/>
    <w:rsid w:val="496B2EB9"/>
    <w:rsid w:val="49995C78"/>
    <w:rsid w:val="4A406222"/>
    <w:rsid w:val="4BB26FD9"/>
    <w:rsid w:val="4BDF33E0"/>
    <w:rsid w:val="4D520FDB"/>
    <w:rsid w:val="4F2D6EAB"/>
    <w:rsid w:val="4F300485"/>
    <w:rsid w:val="50B11FFC"/>
    <w:rsid w:val="52F97788"/>
    <w:rsid w:val="532243F1"/>
    <w:rsid w:val="53B14C7F"/>
    <w:rsid w:val="53EC7323"/>
    <w:rsid w:val="54687F97"/>
    <w:rsid w:val="564E21AC"/>
    <w:rsid w:val="57467AE9"/>
    <w:rsid w:val="580349CB"/>
    <w:rsid w:val="5AFA63EF"/>
    <w:rsid w:val="5CA35C1C"/>
    <w:rsid w:val="5D8F4F70"/>
    <w:rsid w:val="5FE07D05"/>
    <w:rsid w:val="60113810"/>
    <w:rsid w:val="62A52B0A"/>
    <w:rsid w:val="62F747F3"/>
    <w:rsid w:val="63FD58F8"/>
    <w:rsid w:val="64910ED5"/>
    <w:rsid w:val="64C40D1F"/>
    <w:rsid w:val="658B6C11"/>
    <w:rsid w:val="66A51787"/>
    <w:rsid w:val="67946B80"/>
    <w:rsid w:val="69E36F26"/>
    <w:rsid w:val="6A7D48AF"/>
    <w:rsid w:val="6AB54659"/>
    <w:rsid w:val="6B0958E8"/>
    <w:rsid w:val="6BC24763"/>
    <w:rsid w:val="6BCF6E80"/>
    <w:rsid w:val="6D064B23"/>
    <w:rsid w:val="6D114C8C"/>
    <w:rsid w:val="6D19B56A"/>
    <w:rsid w:val="6DBA345E"/>
    <w:rsid w:val="6DFC6993"/>
    <w:rsid w:val="6E585E83"/>
    <w:rsid w:val="6ECD3335"/>
    <w:rsid w:val="70045DE4"/>
    <w:rsid w:val="703A357E"/>
    <w:rsid w:val="714B7D8C"/>
    <w:rsid w:val="722A679B"/>
    <w:rsid w:val="72496980"/>
    <w:rsid w:val="72AE2BCB"/>
    <w:rsid w:val="740F66D4"/>
    <w:rsid w:val="745E5245"/>
    <w:rsid w:val="75196F57"/>
    <w:rsid w:val="76571F4C"/>
    <w:rsid w:val="768E19F0"/>
    <w:rsid w:val="7713257D"/>
    <w:rsid w:val="77AF0146"/>
    <w:rsid w:val="78AF57B6"/>
    <w:rsid w:val="79173614"/>
    <w:rsid w:val="7BB902BE"/>
    <w:rsid w:val="7EE160AB"/>
    <w:rsid w:val="7F3328A3"/>
    <w:rsid w:val="7F807189"/>
    <w:rsid w:val="E8B17F3F"/>
    <w:rsid w:val="FEB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7">
    <w:name w:val="Normal Indent"/>
    <w:basedOn w:val="1"/>
    <w:next w:val="1"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 w:line="240" w:lineRule="atLeast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spacing w:val="0"/>
      <w:kern w:val="0"/>
      <w:sz w:val="33"/>
      <w:szCs w:val="33"/>
      <w:lang w:val="en-US" w:eastAsia="zh-CN" w:bidi="ar"/>
    </w:rPr>
  </w:style>
  <w:style w:type="paragraph" w:styleId="8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9">
    <w:name w:val="index 6"/>
    <w:basedOn w:val="1"/>
    <w:next w:val="1"/>
    <w:unhideWhenUsed/>
    <w:qFormat/>
    <w:uiPriority w:val="99"/>
    <w:pPr>
      <w:spacing w:line="240" w:lineRule="atLeast"/>
      <w:jc w:val="center"/>
    </w:pPr>
    <w:rPr>
      <w:rFonts w:ascii="方正仿宋_GBK" w:eastAsia="方正仿宋_GBK"/>
      <w:sz w:val="24"/>
      <w:szCs w:val="24"/>
    </w:rPr>
  </w:style>
  <w:style w:type="paragraph" w:styleId="10">
    <w:name w:val="Body Text"/>
    <w:basedOn w:val="1"/>
    <w:next w:val="1"/>
    <w:unhideWhenUsed/>
    <w:qFormat/>
    <w:uiPriority w:val="99"/>
    <w:pPr>
      <w:ind w:left="128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11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2">
    <w:name w:val="toc 5"/>
    <w:basedOn w:val="1"/>
    <w:next w:val="1"/>
    <w:semiHidden/>
    <w:qFormat/>
    <w:uiPriority w:val="99"/>
    <w:pPr>
      <w:ind w:left="1680" w:leftChars="800"/>
    </w:pPr>
    <w:rPr>
      <w:szCs w:val="22"/>
    </w:rPr>
  </w:style>
  <w:style w:type="paragraph" w:styleId="13">
    <w:name w:val="toc 3"/>
    <w:basedOn w:val="1"/>
    <w:next w:val="1"/>
    <w:qFormat/>
    <w:uiPriority w:val="99"/>
    <w:pPr>
      <w:wordWrap w:val="0"/>
      <w:ind w:left="1193"/>
    </w:pPr>
    <w:rPr>
      <w:rFonts w:ascii="宋体" w:hAnsi="宋体"/>
      <w:szCs w:val="22"/>
    </w:rPr>
  </w:style>
  <w:style w:type="paragraph" w:styleId="14">
    <w:name w:val="Balloon Text"/>
    <w:basedOn w:val="1"/>
    <w:qFormat/>
    <w:uiPriority w:val="0"/>
    <w:rPr>
      <w:sz w:val="18"/>
      <w:szCs w:val="18"/>
    </w:rPr>
  </w:style>
  <w:style w:type="paragraph" w:styleId="1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Message Header"/>
    <w:basedOn w:val="1"/>
    <w:next w:val="1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9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0"/>
    <w:pPr>
      <w:spacing w:line="378" w:lineRule="atLeast"/>
      <w:jc w:val="left"/>
    </w:pPr>
    <w:rPr>
      <w:kern w:val="0"/>
      <w:sz w:val="24"/>
      <w:szCs w:val="22"/>
    </w:rPr>
  </w:style>
  <w:style w:type="paragraph" w:styleId="21">
    <w:name w:val="Title"/>
    <w:basedOn w:val="1"/>
    <w:next w:val="1"/>
    <w:qFormat/>
    <w:uiPriority w:val="0"/>
    <w:pPr>
      <w:widowControl w:val="0"/>
      <w:spacing w:after="0" w:line="0" w:lineRule="atLeast"/>
      <w:jc w:val="center"/>
    </w:pPr>
    <w:rPr>
      <w:rFonts w:ascii="Arial" w:hAnsi="Arial" w:eastAsia="黑体" w:cs="Times New Roman"/>
      <w:kern w:val="0"/>
      <w:sz w:val="52"/>
      <w:szCs w:val="20"/>
      <w:lang w:val="en-US" w:eastAsia="zh-CN" w:bidi="ar-SA"/>
    </w:rPr>
  </w:style>
  <w:style w:type="paragraph" w:styleId="22">
    <w:name w:val="Body Text First Indent 2"/>
    <w:basedOn w:val="11"/>
    <w:qFormat/>
    <w:uiPriority w:val="0"/>
    <w:pPr>
      <w:ind w:firstLine="420" w:firstLineChars="200"/>
    </w:p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</w:rPr>
  </w:style>
  <w:style w:type="character" w:styleId="27">
    <w:name w:val="page number"/>
    <w:basedOn w:val="25"/>
    <w:qFormat/>
    <w:uiPriority w:val="0"/>
  </w:style>
  <w:style w:type="character" w:styleId="28">
    <w:name w:val="Hyperlink"/>
    <w:basedOn w:val="25"/>
    <w:qFormat/>
    <w:uiPriority w:val="0"/>
    <w:rPr>
      <w:color w:val="0000FF"/>
      <w:u w:val="single"/>
    </w:rPr>
  </w:style>
  <w:style w:type="paragraph" w:customStyle="1" w:styleId="29">
    <w:name w:val="索引 51"/>
    <w:basedOn w:val="1"/>
    <w:next w:val="1"/>
    <w:qFormat/>
    <w:uiPriority w:val="0"/>
    <w:pPr>
      <w:suppressAutoHyphens/>
      <w:ind w:left="1680"/>
    </w:pPr>
    <w:rPr>
      <w:rFonts w:ascii="Calibri" w:hAnsi="Calibri" w:eastAsia="宋体"/>
      <w:sz w:val="21"/>
      <w:szCs w:val="24"/>
    </w:rPr>
  </w:style>
  <w:style w:type="paragraph" w:customStyle="1" w:styleId="30">
    <w:name w:val="Default"/>
    <w:basedOn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33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34">
    <w:name w:val="常用样式"/>
    <w:basedOn w:val="1"/>
    <w:qFormat/>
    <w:uiPriority w:val="99"/>
    <w:pPr>
      <w:spacing w:line="594" w:lineRule="exact"/>
      <w:ind w:firstLine="640" w:firstLineChars="200"/>
    </w:pPr>
    <w:rPr>
      <w:rFonts w:ascii="Times New Roman" w:hAnsi="Times New Roman" w:eastAsia="方正仿宋_GBK"/>
      <w:sz w:val="32"/>
      <w:szCs w:val="32"/>
    </w:rPr>
  </w:style>
  <w:style w:type="paragraph" w:customStyle="1" w:styleId="35">
    <w:name w:val="样式 10 磅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</w:style>
  <w:style w:type="paragraph" w:customStyle="1" w:styleId="37">
    <w:name w:val="BodyText"/>
    <w:basedOn w:val="1"/>
    <w:next w:val="1"/>
    <w:qFormat/>
    <w:uiPriority w:val="99"/>
  </w:style>
  <w:style w:type="character" w:customStyle="1" w:styleId="38">
    <w:name w:val="NormalCharacter"/>
    <w:qFormat/>
    <w:uiPriority w:val="99"/>
    <w:rPr>
      <w:rFonts w:ascii="Times New Roman" w:hAnsi="Times New Roman" w:eastAsia="仿宋_GB2312"/>
      <w:spacing w:val="-6"/>
      <w:kern w:val="2"/>
      <w:sz w:val="32"/>
      <w:lang w:val="en-US" w:eastAsia="zh-CN"/>
    </w:rPr>
  </w:style>
  <w:style w:type="character" w:customStyle="1" w:styleId="39">
    <w:name w:val="font21"/>
    <w:basedOn w:val="2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4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1">
    <w:name w:val="Table Paragraph"/>
    <w:basedOn w:val="1"/>
    <w:qFormat/>
    <w:uiPriority w:val="1"/>
    <w:pPr>
      <w:autoSpaceDE w:val="0"/>
      <w:autoSpaceDN w:val="0"/>
      <w:spacing w:before="29"/>
      <w:jc w:val="left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4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4">
    <w:name w:val="公文主体"/>
    <w:basedOn w:val="1"/>
    <w:qFormat/>
    <w:uiPriority w:val="0"/>
    <w:pPr>
      <w:spacing w:line="580" w:lineRule="exact"/>
      <w:ind w:firstLine="200" w:firstLineChars="200"/>
    </w:pPr>
  </w:style>
  <w:style w:type="paragraph" w:customStyle="1" w:styleId="45">
    <w:name w:val="一级标题"/>
    <w:basedOn w:val="44"/>
    <w:next w:val="44"/>
    <w:qFormat/>
    <w:uiPriority w:val="0"/>
    <w:pPr>
      <w:outlineLvl w:val="2"/>
    </w:pPr>
    <w:rPr>
      <w:rFonts w:eastAsia="黑体"/>
    </w:rPr>
  </w:style>
  <w:style w:type="paragraph" w:styleId="46">
    <w:name w:val="List Paragraph"/>
    <w:basedOn w:val="1"/>
    <w:qFormat/>
    <w:uiPriority w:val="99"/>
    <w:pPr>
      <w:ind w:firstLine="420" w:firstLineChars="200"/>
    </w:pPr>
  </w:style>
  <w:style w:type="paragraph" w:customStyle="1" w:styleId="4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48">
    <w:name w:val="font41"/>
    <w:basedOn w:val="2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4753</Words>
  <Characters>4823</Characters>
  <Lines>0</Lines>
  <Paragraphs>0</Paragraphs>
  <TotalTime>45</TotalTime>
  <ScaleCrop>false</ScaleCrop>
  <LinksUpToDate>false</LinksUpToDate>
  <CharactersWithSpaces>4920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2022-09-22T19:25:00Z</dcterms:created>
  <dc:creator>熊</dc:creator>
  <cp:lastModifiedBy>fengdu</cp:lastModifiedBy>
  <cp:lastPrinted>2022-11-16T03:46:00Z</cp:lastPrinted>
  <dcterms:modified xsi:type="dcterms:W3CDTF">2024-01-18T15:19:11Z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B2937D1E2EE6400D9248F5B475A1CB37_13</vt:lpwstr>
  </property>
</Properties>
</file>