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各村居、镇级各部门: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经镇政府同意，现将《龙孔镇2023年大气污染防治攻坚工作方案》印发给你们，请认真遵照执行。</w:t>
      </w:r>
    </w:p>
    <w:p>
      <w:pPr>
        <w:pStyle w:val="3"/>
        <w:rPr>
          <w:rFonts w:hint="eastAsia" w:ascii="Times New Roman" w:hAnsi="Times New Roman" w:eastAsia="方正小标宋_GBK" w:cs="Times New Roman"/>
          <w:bCs/>
          <w:snapToGrid w:val="0"/>
          <w:spacing w:val="-20"/>
          <w:kern w:val="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00" w:lineRule="exact"/>
        <w:ind w:firstLine="5280" w:firstLineChars="16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丰都县龙孔镇人民政府</w:t>
      </w:r>
    </w:p>
    <w:p>
      <w:pPr>
        <w:spacing w:line="500" w:lineRule="exact"/>
        <w:ind w:firstLine="5760" w:firstLineChars="1800"/>
        <w:jc w:val="both"/>
        <w:rPr>
          <w:rFonts w:hint="eastAsia" w:ascii="Times New Roman" w:hAnsi="Times New Roman" w:eastAsia="方正小标宋_GBK" w:cs="Times New Roman"/>
          <w:bCs/>
          <w:snapToGrid w:val="0"/>
          <w:spacing w:val="-2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龙孔镇202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eastAsia="方正小标宋_GBK"/>
          <w:bCs/>
          <w:iCs/>
          <w:color w:val="000000"/>
          <w:kern w:val="0"/>
          <w:sz w:val="44"/>
          <w:szCs w:val="44"/>
        </w:rPr>
        <w:t>大气污染防治攻坚工作方案</w:t>
      </w:r>
    </w:p>
    <w:p>
      <w:pPr>
        <w:pStyle w:val="3"/>
        <w:adjustRightInd w:val="0"/>
        <w:snapToGrid w:val="0"/>
        <w:spacing w:after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全面完成2023年大气污染防治工作任务，为贯彻落实县生态环境委员会办公室印发的《2023年丰都县夏秋季臭氧污染防治攻坚工作方案》的工作要求，及县生态环境局专题会议精神，为着力打好臭氧污染防治攻坚战，结合我镇实际，制定本方案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一、攻坚目标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按照市级下达我县优良天数考核要求，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1-9月，我县空气质量优良天数累计261天，超标12天，我县年底前仅余4天空间，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着眼破解空气质量优良天数超标困局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，我镇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重点聚焦冬春季颗粒物和夏秋季臭氧污染防控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，深入开展露天焚烧、露天烟熏腊制品、油烟治理等攻坚行动。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二、攻坚时间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月—202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日。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三、攻坚范围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重点区域：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（社区）、高速公路及长江沿线的可视范围内。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四、任务及措施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预警期间，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严控重点区域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烟熏腊制品、露天焚烧、露天烧烤、松材线虫病疫木焚烧等，禁止在禁放区域燃放烟花爆竹。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1．烟熏腊制品防治。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在重点区域内，严禁露天熏制腊制品，通过多渠道加强宣传引导；压实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职责，实行网格化管理，落实网格员责任，及时发现和制止露天烟熏问题；组建常态化巡逻监管队伍，全天候开展检查监管，发现问题第一时间处理；加强执法处罚，加大对典型案例的惩处和曝光。要引导群众逐步减少烟熏活动，确保在预警天气下立即响应并及时制止。（牵头责任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，配合责任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规环办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各村居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2．露天焚烧防治。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预警期间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严禁露天焚烧秸秆、杂草、枯枝、树叶等农业废弃物，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严禁松材线虫病疫木销毁野外用火，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严禁焚烧橡胶、塑料、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生活垃圾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以及其它产生有毒有害烟尘和恶臭气体的物质，通过多种渠道加强宣传引导；对重点区域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的秸秆实行应收尽收，实现资源化利用；压实村（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）职责，实行网格化管理，落实网络员责任，及时发现和处理问题；组建常态化巡逻监管队伍，及时发现制止露天焚烧问题；加强执法处罚，加大对典型案例的惩处和曝光。（牵头责任单位：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，配合责任单位：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规环办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，责任单位：各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3．餐饮油烟防治。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加强对重点区域餐饮油烟净化设施设备安装和清洗要求的检查督促，加强敏感点周边500米范围内管控，督促餐饮店重点时段每月清洗油烟净化设备并达标排放；全面配备各公共食堂的油烟净化设施设备，在此期间做到每月清洗和达标排放。（牵头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经发办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，配合责任单位：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规环办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，责任单位：有食堂的机关事业单位，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兴龙社区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4．烟花爆竹燃放防治。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在春节、元旦节、元宵节等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节日期间要加大巡查力度，严禁在禁止燃放区域燃放烟花爆竹；预警期间加强重点区域的烟花爆竹管控，落实专人值班值守。（牵头责任单位：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，责任单位：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兴龙社区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五、强化保障措施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（一）强化</w:t>
      </w: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  <w:lang w:eastAsia="zh-CN"/>
        </w:rPr>
        <w:t>全镇</w:t>
      </w: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组织领导。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龙孔镇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成立大气污染防治攻坚领导小组，由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彭飞龙任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组长，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赵峻乔、李光志、陈良柱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任副组长，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农服中心、应急办、经发办、规环办负责人，各村（社区）书记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为领导小组成员。领导小组下设办公室于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规建环办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李光志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任办公室主任，统筹调度今冬明春大气污染防治攻坚工作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负责研判调度、督查督办、通报考核等工作。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（二）压实属地管理责任。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重点防控区域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）要成立大气污染防治攻坚领导小组，由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各村书记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任组长，统筹安排本辖区大气防治攻坚工作。要压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）日常监管责任，建立网格化管理体系，落实日常监管网格责任人，同时加大通报和考核奖惩力度，确保责任落实和攻坚成效。预警期间，对巡查检查发现的露天熏制和焚烧问题，要第一时间到现场，实现“露天焚烧一经发现、15分钟熄灭”的管控要求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（三）加强日常巡查执法。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组建敏感区域联合巡查队伍，由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镇农服中心、规建环办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派人，共同组建至少2支日常巡查队，每支巡查队至少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人，负责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预警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期间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重点区域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的露天熏制腊制品、焚烧秸秆的日常巡查监管。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各村（社区）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也要组建至少2人的巡查队伍，负责本辖区露天熏制腊制品、焚烧秸秆的日常巡查监管。各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队伍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要加强执法处罚，对不听劝阻、屡教不改、暴力抗法等情节恶劣的，要及时对接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部门坚决处罚，查处和曝光典型，营造有利的工作声势。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（四）加大宣传引导力度。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深入宣传县农业农村委、县生态环境局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制定印发《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-SA"/>
        </w:rPr>
        <w:t>关于加强露天焚烧秸秆管理的通告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》，重点区域的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各村（社区）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要把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通告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张贴至每一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，通过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社区微信群、村村通广播、标语、车辆巡回等方式加大宣传，形成强大的宣传声势，营造有利的舆论氛围。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color w:val="000000"/>
          <w:kern w:val="0"/>
          <w:sz w:val="32"/>
          <w:szCs w:val="32"/>
        </w:rPr>
        <w:t>（五）强化督查通报考核。</w:t>
      </w:r>
    </w:p>
    <w:p>
      <w:pPr>
        <w:pStyle w:val="3"/>
        <w:adjustRightInd w:val="0"/>
        <w:snapToGrid w:val="0"/>
        <w:spacing w:before="0" w:after="0"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镇领导小组联合巡查队伍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开展日常性指导督查，将发现问题纳入对相关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实绩考核。预警期间，要加大对防控单位防控指令下达、人员出动、防控措施落实、防控成效等指导督查力度，并将相关情况及时发送到“丰都县今冬明春大气污染防治攻坚工作群”（微信群）。对攻坚工作不力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及时通报，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政府领导约谈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负责人，对严重不负责造成较大影响的责任人要严肃问责追责。</w:t>
      </w:r>
    </w:p>
    <w:p>
      <w:pPr>
        <w:tabs>
          <w:tab w:val="left" w:pos="4160"/>
          <w:tab w:val="left" w:pos="4800"/>
        </w:tabs>
        <w:adjustRightInd w:val="0"/>
        <w:snapToGrid w:val="0"/>
        <w:spacing w:line="600" w:lineRule="exact"/>
        <w:outlineLvl w:val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000000"/>
    <w:rsid w:val="01AA7E73"/>
    <w:rsid w:val="26E85BB7"/>
    <w:rsid w:val="45E310F8"/>
    <w:rsid w:val="50527605"/>
    <w:rsid w:val="5A82629C"/>
    <w:rsid w:val="725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outlineLvl w:val="0"/>
    </w:pPr>
    <w:rPr>
      <w:rFonts w:ascii="Calibri" w:hAnsi="Calibri" w:eastAsia="方正小标宋_GBK"/>
      <w:b/>
      <w:kern w:val="44"/>
      <w:sz w:val="4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99"/>
  </w:style>
  <w:style w:type="paragraph" w:styleId="5">
    <w:name w:val="Body Text Indent"/>
    <w:basedOn w:val="1"/>
    <w:next w:val="6"/>
    <w:qFormat/>
    <w:uiPriority w:val="0"/>
    <w:pPr>
      <w:ind w:firstLine="626"/>
    </w:pPr>
    <w:rPr>
      <w:rFonts w:ascii="仿宋_GB2312" w:eastAsia="仿宋_GB2312"/>
      <w:bCs/>
      <w:szCs w:val="24"/>
    </w:rPr>
  </w:style>
  <w:style w:type="paragraph" w:customStyle="1" w:styleId="6">
    <w:name w:val="样式 方正小标宋_GBK 二号 居中 行距: 固定值 30 磅"/>
    <w:basedOn w:val="4"/>
    <w:qFormat/>
    <w:uiPriority w:val="0"/>
    <w:pPr>
      <w:keepNext w:val="0"/>
      <w:spacing w:line="600" w:lineRule="exact"/>
      <w:jc w:val="center"/>
    </w:pPr>
    <w:rPr>
      <w:rFonts w:ascii="方正小标宋_GBK" w:cs="宋体"/>
      <w:b w:val="0"/>
      <w:kern w:val="2"/>
    </w:rPr>
  </w:style>
  <w:style w:type="paragraph" w:styleId="7">
    <w:name w:val="footer"/>
    <w:basedOn w:val="1"/>
    <w:next w:val="1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方正仿宋_GBK" w:cs="Times New Roman"/>
      <w:kern w:val="2"/>
      <w:sz w:val="18"/>
      <w:szCs w:val="18"/>
      <w:lang w:val="en-US" w:eastAsia="zh-CN" w:bidi="ar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2312" w:hAnsi="Times New Roman" w:eastAsia="方正仿宋_GB2312" w:cs="方正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2023-10-24T04:48:00Z</dcterms:created>
  <dc:creator>Administrator</dc:creator>
  <cp:lastModifiedBy>a</cp:lastModifiedBy>
  <dcterms:modified xsi:type="dcterms:W3CDTF">2024-01-04T08:40:14Z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7DCDAB01D8704898A90931E35196D6F6_12</vt:lpwstr>
  </property>
</Properties>
</file>