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8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  <w:t>龙河镇</w:t>
      </w:r>
      <w:r>
        <w:rPr>
          <w:rFonts w:ascii="方正小标宋_GBK" w:hAnsi="Times New Roman" w:eastAsia="方正小标宋_GBK" w:cs="Times New Roman"/>
          <w:sz w:val="44"/>
          <w:szCs w:val="44"/>
        </w:rPr>
        <w:t>202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年大豆玉米带状复合种植</w:t>
      </w:r>
    </w:p>
    <w:p>
      <w:pPr>
        <w:spacing w:line="6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示范推广工作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方案</w:t>
      </w:r>
    </w:p>
    <w:p>
      <w:pPr>
        <w:spacing w:line="594" w:lineRule="exact"/>
        <w:ind w:firstLine="640" w:firstLineChars="200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进一步促进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大豆玉米带状复合种植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示范推广工作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，根据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县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农业农村委有关安排部署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，特制定本方案。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实施大豆玉米带状复合种植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2000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亩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点在杉木岩村、冷浸溪村、长坡村、铁炉沟村、中合场村、金子庙村、三磊子村、洞庄坪村、冉家河村、皮家场村、石堡村、毛天坝村、红庙村、杉树坪村、石仓坝村、文庙村、柏木园村等17个村实施，具体安排见附件2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实施内容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 w:firstLine="320" w:firstLineChars="1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（一）明确种植模式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推荐大豆玉米带状复合种植行比配置：春玉米—夏大豆带状套作采用3:2（3行大豆2行玉米）、春玉米—春大豆带状间作（夏玉米—夏大豆间作）采用4:2（4行大豆2行玉米）行比配置。各村（申请）要立足自身实际，选择适宜当地的种植模式，重点通过扩行距、缩株距、增密度，充分发挥边际优势，努力做到玉米大豆协同高产，确保收益不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</w:t>
      </w:r>
      <w:r>
        <w:rPr>
          <w:rFonts w:hint="eastAsia" w:ascii="方正楷体_GBK" w:hAnsi="方正楷体_GBK" w:eastAsia="方正楷体_GBK" w:cs="方正楷体_GBK"/>
          <w:color w:val="000000"/>
          <w:sz w:val="32"/>
          <w:szCs w:val="32"/>
        </w:rPr>
        <w:t>选择适宜品种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6" w:firstLineChars="200"/>
        <w:jc w:val="left"/>
        <w:textAlignment w:val="auto"/>
        <w:rPr>
          <w:rFonts w:hint="eastAsia" w:ascii="Times New Roman" w:hAnsi="Times New Roman" w:eastAsia="方正仿宋_GBK" w:cs="Times New Roman"/>
          <w:spacing w:val="-11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pacing w:val="-11"/>
          <w:sz w:val="32"/>
          <w:szCs w:val="32"/>
          <w:lang w:val="en-US" w:eastAsia="zh-CN"/>
        </w:rPr>
        <w:t>玉米品种选用抗倒伏能力强、生育期适中的紧凑型或半紧凑型品种，大豆品种选用耐荫蔽、抗倒伏的中迟熟品种，以及历年来表现优秀的自留种。同时加大宣传推广力度，科学引导种植主体选对作物品种。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（三）注重农机配套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根据自身耕作条件和采用的技术模式选择适宜农用机具，加强农机配套技术培训指导，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组建农机社会化服务组织开展大豆带状复合种植社会化服务，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提高农机使用效率，降低耕、种、收等关键环节人工成本投入。持续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引进大豆玉米播种机开展试验示范，加大玉米收获机推广力度，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逐步提高生产机械化率。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）坚持科学施肥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根据我县土壤肥力实际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和大豆玉米带状复合种植的需肥特点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结合测土配方施肥建议卡，坚持协同、高效原则。减少大豆用氮量、保证玉米用氮量。在氮肥施用过程中，统筹考虑大豆、玉米生长发育需求，兼顾大豆磷钾肥需要。为减少施肥次数，有条件的地方可选用缓控施肥，实现底肥追肥合一，前施后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方正楷体_GBK" w:cs="Times New Roman"/>
          <w:sz w:val="32"/>
          <w:szCs w:val="32"/>
        </w:rPr>
        <w:t>）防好病虫草害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根据大豆玉米带状复合种植病虫害发生特点，遵循“预防为主、综合防治”的方针，加强田间调查，做好病虫发生动态监测，做到早防早治，统防统控。根据大豆玉米对除草剂的选择性差异，采用“封闭为主，封定结合，防小防早”的方法防除杂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0" w:leftChars="0"/>
        <w:textAlignment w:val="auto"/>
        <w:rPr>
          <w:rFonts w:hint="eastAsia"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三、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补贴程序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21"/>
          <w:szCs w:val="2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按照农业农村部和市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农业农村委安排，中央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和市级财政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将给予种植农户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适当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补贴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主要用于种子、地膜、农机具等物化投入和社会化服务环节，补贴标准按照种植亩均数量平均分配。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补贴对象。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以推荐技术模式为主的大豆玉米带状复合种植的种植户。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补贴标准。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实行先种植后补贴的方式，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对经村社、乡镇自验，县级抽验合格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的种植面积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结合中市到位资金情况按照全县种植亩均数量平均分配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兑付补贴资金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到户资金必须通过“一卡通”支付。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（三）补贴程序。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按照农户（种植大户、专业合作社等）申请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--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村社审核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验收、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公示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--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乡镇人民政府（街道办事处）审核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验收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汇总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公示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--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县农业技术服务中心审核抽验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公示、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资金拨付等程序进行补贴。各项目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村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eastAsia="zh-CN"/>
        </w:rPr>
        <w:t>（社区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于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7月15日前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做好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全面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验收，并及时上报验收材料申请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级验收，验收材料包括：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丰都县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年大豆玉米带状复合种植农户申请表、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村（社区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验收表、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汇总表、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种植过程图片、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村级公示图片、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土地流转合同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或村社证明）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购买农资发票及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其它佐证资料等。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镇产业发展服务中心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负责对报送的资料进行复核，并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组织工作人员根据村（社区）报送的面积进行全面验收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验收完成后上报验收材料申请县级验收。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（一）强化组织领导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16" w:firstLineChars="200"/>
        <w:textAlignment w:val="auto"/>
        <w:rPr>
          <w:rFonts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成立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eastAsia="zh-CN"/>
        </w:rPr>
        <w:t>龙河镇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大豆玉米带状复合种植领导小组，由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eastAsia="zh-CN"/>
        </w:rPr>
        <w:t>谭晓东副镇长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任组长，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产业发展服务中心主任程勇任副组长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产业发展服务中心职工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任成员，办公室设在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产业发展服务中心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，具体负责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方案编制、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进展调度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协调沟通、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技术培训指导和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</w:rPr>
        <w:t>监督检查等工作，确保高质高效完成复合种植任务。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（二）强化资金保障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中央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市级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财政对大豆玉米带状复合种植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主体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给予适当补贴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各村（社区）要建立农户种植台账，核查核实面积，做好本级验收，及时上报验收材料，申请镇级验收，镇级复验后上报验收材料申请县级验收。</w:t>
      </w:r>
      <w:r>
        <w:rPr>
          <w:rFonts w:hint="eastAsia" w:ascii="Times New Roman" w:hAnsi="Times New Roman" w:eastAsia="方正仿宋_GBK" w:cs="Times New Roman"/>
          <w:spacing w:val="-6"/>
          <w:sz w:val="32"/>
          <w:szCs w:val="32"/>
          <w:lang w:val="en-US" w:eastAsia="zh-CN"/>
        </w:rPr>
        <w:t>产业发展服务中心要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积极对接农业保险承保机构，</w:t>
      </w:r>
      <w:r>
        <w:rPr>
          <w:rFonts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将大豆玉米带状复合种植纳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1"/>
          <w:szCs w:val="31"/>
          <w:lang w:val="en-US" w:eastAsia="zh-CN" w:bidi="ar"/>
        </w:rPr>
        <w:t>入玉米物化保险、完全成本保险和种植收入保险范畴，优先予以保障。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（三）落实工作任务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龙河镇人民政府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负责制定全县大豆玉米带状复合种植实施方案，明确项目实施区域，分解任务指标，开展督导考核；相关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村（社区）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承担大豆玉米带状复合种植的主体责任，要严格按照下达的任务指标，全面完成推广面积。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产业发展服务中心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负责农机作业指导和培训，将适用农机具作为新产品引进试验示范；做好技术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培训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指导、数据统计、日常调度以及技术模式试验示范和总结；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责开展科学施肥和病虫害防治技术指导，制定病虫害防治技术方案，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开展科学施肥试验示范，指导各地做好病虫害防治和药械推荐工作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_GBK" w:cs="Times New Roman"/>
          <w:sz w:val="32"/>
          <w:szCs w:val="32"/>
        </w:rPr>
        <w:t>（四）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强化宣传引导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积极通过广播、电视、网络、短信等媒介和召开现场会等方式，加强对大豆玉米带状复合种植政策宣传和技术培训，引导新型农业经营主体进一步提高对大豆玉米带状复合种植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技术推广的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认识，引导社会各界关注支持大豆带状复合种植，通过典型示范、新闻报道等方式扩大宣传成效，营造良好的舆论氛围。</w:t>
      </w:r>
    </w:p>
    <w:p>
      <w:pPr>
        <w:rPr>
          <w:rFonts w:hint="default" w:ascii="Times New Roman" w:hAnsi="Times New Roman" w:eastAsia="方正仿宋_GBK" w:cs="Times New Roman"/>
          <w:sz w:val="21"/>
          <w:szCs w:val="21"/>
          <w:lang w:val="en-US" w:eastAsia="zh-CN"/>
        </w:rPr>
      </w:pPr>
    </w:p>
    <w:p>
      <w:pPr>
        <w:widowControl w:val="0"/>
        <w:autoSpaceDE w:val="0"/>
        <w:autoSpaceDN w:val="0"/>
        <w:adjustRightInd w:val="0"/>
        <w:ind w:left="1438" w:hanging="1440" w:hangingChars="500"/>
        <w:jc w:val="center"/>
        <w:rPr>
          <w:rFonts w:ascii="Times New Roman" w:hAnsi="Times New Roman" w:eastAsia="方正黑体_GBK" w:cs="Times New Roman"/>
          <w:color w:val="auto"/>
          <w:w w:val="90"/>
          <w:kern w:val="2"/>
          <w:sz w:val="32"/>
          <w:szCs w:val="32"/>
          <w:lang w:val="en-US" w:eastAsia="zh-CN" w:bidi="ar-SA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0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modern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decorative"/>
    <w:pitch w:val="default"/>
    <w:sig w:usb0="A00006FF" w:usb1="4000205B" w:usb2="00000010" w:usb3="00000000" w:csb0="2000019F" w:csb1="00000000"/>
  </w:font>
  <w:font w:name="Helvetica">
    <w:altName w:val="Arial"/>
    <w:panose1 w:val="020B0604020202020204"/>
    <w:charset w:val="00"/>
    <w:family w:val="decorative"/>
    <w:pitch w:val="default"/>
    <w:sig w:usb0="00000000" w:usb1="00000000" w:usb2="00000009" w:usb3="00000000" w:csb0="0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roman"/>
    <w:pitch w:val="default"/>
    <w:sig w:usb0="A00006FF" w:usb1="4000205B" w:usb2="00000010" w:usb3="00000000" w:csb0="2000019F" w:csb1="00000000"/>
  </w:font>
  <w:font w:name="Helvetica">
    <w:altName w:val="Arial"/>
    <w:panose1 w:val="020B0604020202020204"/>
    <w:charset w:val="00"/>
    <w:family w:val="roman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">
    <w:nsid w:val="00000002"/>
    <w:multiLevelType w:val="singleLevel"/>
    <w:tmpl w:val="00000002"/>
    <w:lvl w:ilvl="0" w:tentative="1">
      <w:start w:val="1"/>
      <w:numFmt w:val="chineseCounting"/>
      <w:suff w:val="nothing"/>
      <w:lvlText w:val="（%1）"/>
      <w:lvlJc w:val="left"/>
      <w:rPr>
        <w:rFonts w:hint="eastAsia" w:ascii="方正楷体_GBK" w:hAnsi="方正楷体_GBK" w:eastAsia="方正楷体_GBK" w:cs="方正楷体_GBK"/>
      </w:rPr>
    </w:lvl>
  </w:abstractNum>
  <w:abstractNum w:abstractNumId="3670985723">
    <w:nsid w:val="DACECBFB"/>
    <w:multiLevelType w:val="singleLevel"/>
    <w:tmpl w:val="DACECBFB"/>
    <w:lvl w:ilvl="0" w:tentative="1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670985723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3B748C"/>
    <w:rsid w:val="2E3B74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2025-05-21T02:21:00Z</dcterms:created>
  <dc:creator>Administrator</dc:creator>
  <cp:lastModifiedBy>Administrator</cp:lastModifiedBy>
  <dcterms:modified xsi:type="dcterms:W3CDTF">2025-05-21T02:22:14Z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