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29834" w14:textId="77777777" w:rsidR="00632AF3" w:rsidRDefault="00632AF3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3115E460" w14:textId="77777777" w:rsidR="00632AF3" w:rsidRDefault="00632AF3">
      <w:pPr>
        <w:pStyle w:val="a0"/>
        <w:spacing w:line="600" w:lineRule="exact"/>
        <w:rPr>
          <w:rFonts w:ascii="Times New Roman" w:hAnsi="Times New Roman"/>
          <w:spacing w:val="0"/>
        </w:rPr>
      </w:pPr>
    </w:p>
    <w:p w14:paraId="2FE6F66A" w14:textId="77777777" w:rsidR="00632AF3" w:rsidRDefault="00632AF3">
      <w:pPr>
        <w:pStyle w:val="TOC5"/>
        <w:spacing w:line="600" w:lineRule="exact"/>
        <w:rPr>
          <w:rFonts w:ascii="Times New Roman" w:hAnsi="Times New Roman"/>
        </w:rPr>
      </w:pPr>
    </w:p>
    <w:p w14:paraId="4A881B8C" w14:textId="77777777" w:rsidR="00632AF3" w:rsidRDefault="00632AF3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629597EF" w14:textId="77777777" w:rsidR="00632AF3" w:rsidRDefault="00632AF3">
      <w:pPr>
        <w:pStyle w:val="a0"/>
        <w:spacing w:line="600" w:lineRule="exact"/>
        <w:rPr>
          <w:rFonts w:ascii="Times New Roman" w:hAnsi="Times New Roman"/>
          <w:spacing w:val="0"/>
        </w:rPr>
      </w:pPr>
    </w:p>
    <w:p w14:paraId="1FF29001" w14:textId="77777777" w:rsidR="00632AF3" w:rsidRDefault="00632AF3">
      <w:pPr>
        <w:pStyle w:val="TOC5"/>
        <w:spacing w:line="600" w:lineRule="exact"/>
        <w:rPr>
          <w:rFonts w:ascii="Times New Roman" w:hAnsi="Times New Roman"/>
        </w:rPr>
      </w:pPr>
    </w:p>
    <w:p w14:paraId="378B4A95" w14:textId="77777777" w:rsidR="00632AF3" w:rsidRDefault="00000000">
      <w:pPr>
        <w:spacing w:line="600" w:lineRule="exact"/>
        <w:jc w:val="center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龙河府发〔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2020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〕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73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号</w:t>
      </w:r>
    </w:p>
    <w:p w14:paraId="75B91642" w14:textId="77777777" w:rsidR="00632AF3" w:rsidRDefault="00632AF3">
      <w:pPr>
        <w:pStyle w:val="a0"/>
        <w:spacing w:line="600" w:lineRule="exact"/>
        <w:rPr>
          <w:rFonts w:ascii="Times New Roman" w:hAnsi="Times New Roman"/>
          <w:spacing w:val="0"/>
        </w:rPr>
      </w:pPr>
    </w:p>
    <w:p w14:paraId="5897E3E7" w14:textId="77777777" w:rsidR="00632AF3" w:rsidRDefault="00632AF3">
      <w:pPr>
        <w:pStyle w:val="TOC5"/>
        <w:spacing w:line="600" w:lineRule="exact"/>
        <w:rPr>
          <w:rFonts w:ascii="Times New Roman" w:hAnsi="Times New Roman"/>
        </w:rPr>
      </w:pPr>
    </w:p>
    <w:p w14:paraId="560EED8F" w14:textId="77777777" w:rsidR="00632AF3" w:rsidRDefault="00000000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丰都县龙河镇人民政府</w:t>
      </w:r>
    </w:p>
    <w:p w14:paraId="15BC5C38" w14:textId="77777777" w:rsidR="00632AF3" w:rsidRDefault="00000000">
      <w:pPr>
        <w:spacing w:line="6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关于进一步加强秸秆禁烧网格化管理工作的</w:t>
      </w:r>
    </w:p>
    <w:p w14:paraId="762A9EF1" w14:textId="77777777" w:rsidR="00632AF3" w:rsidRDefault="00000000">
      <w:pPr>
        <w:spacing w:line="6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通     知</w:t>
      </w:r>
    </w:p>
    <w:p w14:paraId="5C207225" w14:textId="77777777" w:rsidR="00632AF3" w:rsidRDefault="00000000">
      <w:pPr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14:paraId="63C7D32D" w14:textId="77777777" w:rsidR="00632AF3" w:rsidRDefault="00000000">
      <w:pPr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各村（居）委会：</w:t>
      </w:r>
    </w:p>
    <w:p w14:paraId="03FD481B" w14:textId="77777777" w:rsidR="00632AF3" w:rsidRDefault="0000000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为深入贯彻重庆市农业农村委员会、重庆市公安局、重庆市环保局《关于加强露天焚烧秸秆管理的通告》（渝农发〔</w:t>
      </w:r>
      <w:r>
        <w:rPr>
          <w:rFonts w:ascii="Times New Roman" w:eastAsia="方正仿宋_GBK" w:hAnsi="Times New Roman"/>
          <w:sz w:val="32"/>
          <w:szCs w:val="32"/>
        </w:rPr>
        <w:t>2016</w:t>
      </w:r>
      <w:r>
        <w:rPr>
          <w:rFonts w:ascii="方正仿宋_GBK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277</w:t>
      </w:r>
      <w:r>
        <w:rPr>
          <w:rFonts w:ascii="方正仿宋_GBK" w:eastAsia="方正仿宋_GBK" w:hAnsi="Times New Roman" w:hint="eastAsia"/>
          <w:sz w:val="32"/>
          <w:szCs w:val="32"/>
        </w:rPr>
        <w:t>号）和重庆市农业行政执法总队《关于做好</w:t>
      </w:r>
      <w:r>
        <w:rPr>
          <w:rFonts w:ascii="Times New Roman" w:eastAsia="方正仿宋_GBK" w:hAnsi="Times New Roman"/>
          <w:sz w:val="32"/>
          <w:szCs w:val="32"/>
        </w:rPr>
        <w:t>2019</w:t>
      </w:r>
      <w:r>
        <w:rPr>
          <w:rFonts w:ascii="方正仿宋_GBK" w:eastAsia="方正仿宋_GBK" w:hAnsi="Times New Roman" w:hint="eastAsia"/>
          <w:sz w:val="32"/>
          <w:szCs w:val="32"/>
        </w:rPr>
        <w:t>年露天禁烧秸秆执法工作的通知》（渝农执法〔</w:t>
      </w:r>
      <w:r>
        <w:rPr>
          <w:rFonts w:ascii="Times New Roman" w:eastAsia="方正仿宋_GBK" w:hAnsi="Times New Roman"/>
          <w:sz w:val="32"/>
          <w:szCs w:val="32"/>
        </w:rPr>
        <w:t>2019</w:t>
      </w:r>
      <w:r>
        <w:rPr>
          <w:rFonts w:ascii="方正仿宋_GBK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方正仿宋_GBK" w:eastAsia="方正仿宋_GBK" w:hAnsi="Times New Roman" w:hint="eastAsia"/>
          <w:sz w:val="32"/>
          <w:szCs w:val="32"/>
        </w:rPr>
        <w:t>号）精神，全面落实秸秆禁烧网格化管理要求，强化各项监管措施落实，全力遏制露天焚烧秸秆、落叶现象发生，结合我镇实际，现将有关事项</w:t>
      </w:r>
      <w:r>
        <w:rPr>
          <w:rFonts w:ascii="方正仿宋_GBK" w:eastAsia="方正仿宋_GBK" w:hAnsi="Times New Roman" w:hint="eastAsia"/>
          <w:sz w:val="32"/>
          <w:szCs w:val="32"/>
        </w:rPr>
        <w:lastRenderedPageBreak/>
        <w:t>通知如下：</w:t>
      </w:r>
    </w:p>
    <w:p w14:paraId="26C3F6B9" w14:textId="77777777" w:rsidR="00632AF3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提高思想认识</w:t>
      </w:r>
    </w:p>
    <w:p w14:paraId="46DCD28D" w14:textId="77777777" w:rsidR="00632AF3" w:rsidRDefault="0000000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近年来露天焚烧秸秆、落叶现象较为普遍。各村</w:t>
      </w:r>
      <w:r>
        <w:rPr>
          <w:rFonts w:ascii="方正仿宋_GBK" w:eastAsia="方正仿宋_GBK" w:hAnsi="Times New Roman" w:hint="eastAsia"/>
          <w:kern w:val="0"/>
          <w:sz w:val="32"/>
          <w:szCs w:val="32"/>
        </w:rPr>
        <w:t>（居）要提高思想认识，充分认清露天焚烧秸秆的危害性及当前的严峻形势，扎扎实实开展秸秆禁烧巡查监管工作</w:t>
      </w:r>
      <w:r>
        <w:rPr>
          <w:rFonts w:ascii="方正仿宋_GBK" w:eastAsia="方正仿宋_GBK" w:hAnsi="Times New Roman" w:hint="eastAsia"/>
          <w:sz w:val="32"/>
          <w:szCs w:val="32"/>
        </w:rPr>
        <w:t>，改善空气质量。</w:t>
      </w:r>
    </w:p>
    <w:p w14:paraId="20863FAB" w14:textId="77777777" w:rsidR="00632AF3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 w:hAnsi="Times New Roman"/>
          <w:kern w:val="0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建立网格管理</w:t>
      </w:r>
    </w:p>
    <w:p w14:paraId="594551CB" w14:textId="77777777" w:rsidR="00632AF3" w:rsidRDefault="00000000">
      <w:pPr>
        <w:spacing w:line="600" w:lineRule="exact"/>
        <w:ind w:firstLineChars="147" w:firstLine="47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各村（居）要高度重视秸秆禁烧工作，周密部署，按照属地管理原则，落实好禁止秸秆、落叶等产生烟尘污染物质露天焚烧工作的监督管理职责，构建镇、村、社三级责任网络体系，严格实行网格化管理，责任细化到人，切实做到主要领导牵头抓，分管领导亲自抓，相关人员具体抓。</w:t>
      </w:r>
    </w:p>
    <w:p w14:paraId="535FCE4F" w14:textId="77777777" w:rsidR="00632AF3" w:rsidRDefault="00000000">
      <w:pPr>
        <w:spacing w:line="600" w:lineRule="exact"/>
        <w:ind w:firstLineChars="200" w:firstLine="640"/>
        <w:rPr>
          <w:rFonts w:ascii="方正黑体_GBK" w:eastAsia="方正黑体_GBK" w:hAnsi="Times New Roman"/>
          <w:kern w:val="0"/>
          <w:sz w:val="32"/>
          <w:szCs w:val="32"/>
        </w:rPr>
      </w:pPr>
      <w:r>
        <w:rPr>
          <w:rFonts w:ascii="方正黑体_GBK" w:eastAsia="方正黑体_GBK" w:hAnsi="Times New Roman" w:hint="eastAsia"/>
          <w:kern w:val="0"/>
          <w:sz w:val="32"/>
          <w:szCs w:val="32"/>
        </w:rPr>
        <w:t>三、细化工作举措</w:t>
      </w:r>
    </w:p>
    <w:p w14:paraId="1D7A8651" w14:textId="77777777" w:rsidR="00632AF3" w:rsidRDefault="00000000">
      <w:pPr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一是通过标语、会议、广播、宣传车等方式开展辖区内秸秆禁烧宣传工作，重点宣传露天焚烧秸秆的危害性及相关法律知识，确保秸秆禁烧工作做到家喻户晓、人人皆知，</w:t>
      </w:r>
      <w:r>
        <w:rPr>
          <w:rFonts w:ascii="仿宋_GB2312" w:eastAsia="仿宋_GB2312" w:hAnsi="宋体" w:hint="eastAsia"/>
          <w:color w:val="333333"/>
          <w:sz w:val="31"/>
          <w:szCs w:val="31"/>
          <w:shd w:val="clear" w:color="auto" w:fill="FFFFFF"/>
        </w:rPr>
        <w:t>让群众理解和支持秸秆禁烧工作</w:t>
      </w:r>
      <w:r>
        <w:rPr>
          <w:rFonts w:ascii="方正仿宋_GBK" w:eastAsia="方正仿宋_GBK" w:hAnsi="Times New Roman" w:hint="eastAsia"/>
          <w:kern w:val="0"/>
          <w:sz w:val="32"/>
          <w:szCs w:val="32"/>
        </w:rPr>
        <w:t>。二是建立巡查和举报机制，加强炎热天时、黄昏夜间等重点时段的巡查，确保及时发现并制止露天焚烧秸秆行为，</w:t>
      </w:r>
      <w:r>
        <w:rPr>
          <w:rFonts w:ascii="方正仿宋_GBK" w:eastAsia="方正仿宋_GBK" w:hAnsi="Times New Roman" w:hint="eastAsia"/>
          <w:sz w:val="32"/>
          <w:szCs w:val="32"/>
        </w:rPr>
        <w:t>对不听劝阻继续露天焚烧秸秆、落叶等产生烟尘污染物质的，报镇规环办、农业服务中心、派出所等相关执法部门，依法依规予以处理</w:t>
      </w:r>
      <w:r>
        <w:rPr>
          <w:rFonts w:ascii="方正仿宋_GBK" w:eastAsia="方正仿宋_GBK" w:hAnsi="Times New Roman" w:hint="eastAsia"/>
          <w:kern w:val="0"/>
          <w:sz w:val="32"/>
          <w:szCs w:val="32"/>
        </w:rPr>
        <w:t>。三是积极推广秸秆粉碎还田、转运利用、覆盖还田、生产食用菌和生产有机肥等技术，推进秸秆资源化利用。四</w:t>
      </w:r>
      <w:r>
        <w:rPr>
          <w:rFonts w:ascii="方正仿宋_GBK" w:eastAsia="方正仿宋_GBK" w:hAnsi="Times New Roman" w:hint="eastAsia"/>
          <w:kern w:val="0"/>
          <w:sz w:val="32"/>
          <w:szCs w:val="32"/>
        </w:rPr>
        <w:lastRenderedPageBreak/>
        <w:t>是各村（居）领导干部要发挥好领导作用，常态化检查所联系村社秸秆禁烧监管工作开展情况，对责任不落实、工作不到位的，及时督促整改。</w:t>
      </w:r>
    </w:p>
    <w:p w14:paraId="007F8E32" w14:textId="77777777" w:rsidR="00632AF3" w:rsidRDefault="00000000">
      <w:pPr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Times New Roman"/>
          <w:kern w:val="0"/>
          <w:sz w:val="32"/>
          <w:szCs w:val="32"/>
        </w:rPr>
      </w:pPr>
      <w:r>
        <w:rPr>
          <w:rFonts w:ascii="方正黑体_GBK" w:eastAsia="方正黑体_GBK" w:hAnsi="Times New Roman" w:hint="eastAsia"/>
          <w:kern w:val="0"/>
          <w:sz w:val="32"/>
          <w:szCs w:val="32"/>
        </w:rPr>
        <w:t>四、强化督导检查</w:t>
      </w:r>
    </w:p>
    <w:p w14:paraId="387ED38E" w14:textId="46221C88" w:rsidR="00632AF3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b/>
          <w:bCs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镇农服中心将采取</w:t>
      </w:r>
      <w:r w:rsidR="00C31F05" w:rsidRPr="00C31F05">
        <w:rPr>
          <w:rFonts w:ascii="方正仿宋_GBK" w:eastAsia="方正仿宋_GBK" w:hAnsi="Times New Roman" w:hint="eastAsia"/>
          <w:kern w:val="0"/>
          <w:sz w:val="32"/>
          <w:szCs w:val="32"/>
        </w:rPr>
        <w:t>明察暗访</w:t>
      </w:r>
      <w:r>
        <w:rPr>
          <w:rFonts w:ascii="方正仿宋_GBK" w:eastAsia="方正仿宋_GBK" w:hAnsi="Times New Roman" w:hint="eastAsia"/>
          <w:kern w:val="0"/>
          <w:sz w:val="32"/>
          <w:szCs w:val="32"/>
        </w:rPr>
        <w:t>，不定时间、不打招呼的方式开展督导检查，及时发现并查处燃烧火点，留存视频影像资料，建立台账，并将平时检查情况作为年底综合目标考核的重要依据。</w:t>
      </w:r>
      <w:r>
        <w:rPr>
          <w:rFonts w:ascii="方正仿宋_GBK" w:eastAsia="方正仿宋_GBK" w:hAnsi="Times New Roman" w:hint="eastAsia"/>
          <w:sz w:val="32"/>
          <w:szCs w:val="32"/>
        </w:rPr>
        <w:t>凡因工作不力，监管不到位，被中市环保督察通报的，将严格按照有关规定和程序追责问责。</w:t>
      </w:r>
    </w:p>
    <w:p w14:paraId="7486BBAF" w14:textId="77777777" w:rsidR="00632AF3" w:rsidRDefault="00000000">
      <w:pPr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</w:p>
    <w:p w14:paraId="6FDB30B7" w14:textId="77777777" w:rsidR="00632AF3" w:rsidRDefault="00000000">
      <w:pPr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</w:t>
      </w:r>
    </w:p>
    <w:p w14:paraId="46E8DE55" w14:textId="77777777" w:rsidR="00632AF3" w:rsidRDefault="00000000">
      <w:pPr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</w:p>
    <w:p w14:paraId="6EA63479" w14:textId="77777777" w:rsidR="00632AF3" w:rsidRDefault="00000000">
      <w:pPr>
        <w:spacing w:line="600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</w:p>
    <w:p w14:paraId="7937FEBD" w14:textId="77777777" w:rsidR="00632AF3" w:rsidRDefault="00000000">
      <w:pPr>
        <w:spacing w:line="600" w:lineRule="exact"/>
        <w:ind w:firstLineChars="200" w:firstLine="640"/>
        <w:rPr>
          <w:rFonts w:ascii="方正仿宋_GBK" w:eastAsia="方正仿宋_GBK" w:hAnsi="Tahoma" w:cs="Tahoma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  <w:shd w:val="clear" w:color="auto" w:fill="FFFFFF"/>
        </w:rPr>
        <w:t xml:space="preserve"> </w:t>
      </w:r>
    </w:p>
    <w:p w14:paraId="7434915E" w14:textId="77777777" w:rsidR="00632AF3" w:rsidRDefault="00000000">
      <w:pPr>
        <w:spacing w:line="600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  <w:shd w:val="clear" w:color="auto" w:fill="FFFFFF"/>
        </w:rPr>
        <w:t xml:space="preserve">                    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方正仿宋_GBK" w:eastAsia="方正仿宋_GBK" w:hint="eastAsia"/>
          <w:kern w:val="0"/>
          <w:sz w:val="32"/>
          <w:szCs w:val="32"/>
          <w:shd w:val="clear" w:color="auto" w:fill="FFFFFF"/>
        </w:rPr>
        <w:t>丰都县龙河镇人民政府</w:t>
      </w:r>
    </w:p>
    <w:p w14:paraId="1FB9B4F8" w14:textId="77777777" w:rsidR="00632AF3" w:rsidRDefault="00000000">
      <w:pPr>
        <w:spacing w:line="600" w:lineRule="exact"/>
        <w:ind w:firstLineChars="200" w:firstLine="64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                        2020</w:t>
      </w:r>
      <w:r>
        <w:rPr>
          <w:rFonts w:ascii="方正仿宋_GBK" w:eastAsia="方正仿宋_GBK" w:hint="eastAsia"/>
          <w:kern w:val="0"/>
          <w:sz w:val="32"/>
          <w:szCs w:val="32"/>
          <w:shd w:val="clear" w:color="auto" w:fill="FFFFFF"/>
        </w:rPr>
        <w:t>年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</w:rPr>
        <w:t>9</w:t>
      </w:r>
      <w:r>
        <w:rPr>
          <w:rFonts w:ascii="方正仿宋_GBK" w:eastAsia="方正仿宋_GBK" w:hint="eastAsia"/>
          <w:kern w:val="0"/>
          <w:sz w:val="32"/>
          <w:szCs w:val="32"/>
          <w:shd w:val="clear" w:color="auto" w:fill="FFFFFF"/>
        </w:rPr>
        <w:t>月</w:t>
      </w:r>
      <w:r>
        <w:rPr>
          <w:rFonts w:eastAsia="方正仿宋_GBK" w:hint="eastAsia"/>
          <w:kern w:val="0"/>
          <w:sz w:val="32"/>
          <w:szCs w:val="32"/>
          <w:shd w:val="clear" w:color="auto" w:fill="FFFFFF"/>
        </w:rPr>
        <w:t>20</w:t>
      </w:r>
      <w:r>
        <w:rPr>
          <w:rFonts w:ascii="方正仿宋_GBK" w:eastAsia="方正仿宋_GBK" w:hint="eastAsia"/>
          <w:kern w:val="0"/>
          <w:sz w:val="32"/>
          <w:szCs w:val="32"/>
          <w:shd w:val="clear" w:color="auto" w:fill="FFFFFF"/>
        </w:rPr>
        <w:t>日</w:t>
      </w:r>
    </w:p>
    <w:p w14:paraId="32603E46" w14:textId="77777777" w:rsidR="00632AF3" w:rsidRDefault="00632AF3">
      <w:pPr>
        <w:rPr>
          <w:rFonts w:ascii="方正仿宋_GBK" w:eastAsia="方正仿宋_GBK" w:hAnsi="方正仿宋_GBK" w:cs="方正仿宋_GBK"/>
          <w:sz w:val="32"/>
          <w:szCs w:val="32"/>
        </w:rPr>
      </w:pPr>
    </w:p>
    <w:p w14:paraId="3141D567" w14:textId="77777777" w:rsidR="00632AF3" w:rsidRDefault="00000000">
      <w:pPr>
        <w:pStyle w:val="a0"/>
        <w:ind w:firstLineChars="200" w:firstLine="616"/>
      </w:pPr>
      <w:r>
        <w:rPr>
          <w:rFonts w:ascii="方正仿宋_GBK" w:eastAsia="方正仿宋_GBK" w:hAnsi="方正仿宋_GBK" w:cs="方正仿宋_GBK" w:hint="eastAsia"/>
        </w:rPr>
        <w:t>（此件公开发布）</w:t>
      </w:r>
    </w:p>
    <w:sectPr w:rsidR="00632AF3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19558" w14:textId="77777777" w:rsidR="00142047" w:rsidRDefault="00142047">
      <w:r>
        <w:separator/>
      </w:r>
    </w:p>
  </w:endnote>
  <w:endnote w:type="continuationSeparator" w:id="0">
    <w:p w14:paraId="591C910E" w14:textId="77777777" w:rsidR="00142047" w:rsidRDefault="0014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38F" w14:textId="77777777" w:rsidR="00632AF3" w:rsidRDefault="00000000">
    <w:pPr>
      <w:pStyle w:val="a4"/>
    </w:pPr>
    <w:r>
      <w:pict w14:anchorId="35CB12E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25165824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4AA1E145" w14:textId="77777777" w:rsidR="00632AF3" w:rsidRDefault="00000000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147C2" w14:textId="77777777" w:rsidR="00142047" w:rsidRDefault="00142047">
      <w:r>
        <w:separator/>
      </w:r>
    </w:p>
  </w:footnote>
  <w:footnote w:type="continuationSeparator" w:id="0">
    <w:p w14:paraId="228A035A" w14:textId="77777777" w:rsidR="00142047" w:rsidRDefault="0014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35136"/>
    <w:multiLevelType w:val="multilevel"/>
    <w:tmpl w:val="6C73513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54973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20"/>
  <w:drawingGridVerticalSpacing w:val="158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598"/>
    <w:rsid w:val="BCFF6CF6"/>
    <w:rsid w:val="00142047"/>
    <w:rsid w:val="004D586B"/>
    <w:rsid w:val="005C6598"/>
    <w:rsid w:val="00632AF3"/>
    <w:rsid w:val="0072214F"/>
    <w:rsid w:val="00C31F05"/>
    <w:rsid w:val="56595EBE"/>
    <w:rsid w:val="7C9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E959CB"/>
  <w15:docId w15:val="{33D4D265-C7DC-40A0-902D-D5856640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uiPriority w:val="99"/>
    <w:unhideWhenUsed/>
    <w:qFormat/>
    <w:pPr>
      <w:spacing w:line="240" w:lineRule="atLeast"/>
    </w:pPr>
    <w:rPr>
      <w:rFonts w:eastAsia="仿宋_GB2312"/>
      <w:spacing w:val="-6"/>
      <w:sz w:val="32"/>
      <w:szCs w:val="32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1">
    <w:name w:val="Body text|1"/>
    <w:basedOn w:val="a"/>
    <w:qFormat/>
    <w:pPr>
      <w:spacing w:line="449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font151">
    <w:name w:val="font151"/>
    <w:basedOn w:val="a1"/>
    <w:qFormat/>
    <w:rPr>
      <w:rFonts w:ascii="方正黑体_GBK" w:eastAsia="方正黑体_GBK" w:hAnsi="方正黑体_GBK" w:cs="方正黑体_GBK" w:hint="eastAsia"/>
      <w:color w:val="000000"/>
      <w:sz w:val="22"/>
      <w:szCs w:val="22"/>
      <w:u w:val="single"/>
    </w:rPr>
  </w:style>
  <w:style w:type="character" w:customStyle="1" w:styleId="font141">
    <w:name w:val="font141"/>
    <w:basedOn w:val="a1"/>
    <w:qFormat/>
    <w:rPr>
      <w:rFonts w:ascii="方正黑体_GBK" w:eastAsia="方正黑体_GBK" w:hAnsi="方正黑体_GBK" w:cs="方正黑体_GBK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Sir Wang</cp:lastModifiedBy>
  <cp:revision>2</cp:revision>
  <cp:lastPrinted>2020-12-08T11:29:00Z</cp:lastPrinted>
  <dcterms:created xsi:type="dcterms:W3CDTF">2020-12-07T16:56:00Z</dcterms:created>
  <dcterms:modified xsi:type="dcterms:W3CDTF">2024-05-23T08:14:00Z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