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丰都县高家镇人民政府</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0" w:firstLineChars="200"/>
        <w:rPr>
          <w:rStyle w:val="13"/>
          <w:rFonts w:hint="default" w:ascii="黑体" w:hAnsi="黑体" w:eastAsia="黑体" w:cs="黑体"/>
          <w:b w:val="0"/>
          <w:bCs/>
          <w:sz w:val="32"/>
          <w:szCs w:val="32"/>
          <w:shd w:val="clear" w:color="auto" w:fill="FFFFFF"/>
        </w:rPr>
      </w:pPr>
      <w:r>
        <w:rPr>
          <w:rStyle w:val="13"/>
          <w:rFonts w:ascii="黑体" w:hAnsi="黑体" w:eastAsia="黑体" w:cs="黑体"/>
          <w:b w:val="0"/>
          <w:bCs/>
          <w:sz w:val="32"/>
          <w:szCs w:val="32"/>
          <w:shd w:val="clear" w:color="auto" w:fill="FFFFFF"/>
        </w:rPr>
        <w:t>一、部门基本情况</w:t>
      </w:r>
    </w:p>
    <w:p>
      <w:pPr>
        <w:pStyle w:val="9"/>
        <w:shd w:val="clear" w:color="auto" w:fill="FFFFFF"/>
        <w:spacing w:before="0" w:beforeAutospacing="0" w:after="0" w:afterAutospacing="0" w:line="596" w:lineRule="exact"/>
        <w:ind w:firstLine="600" w:firstLineChars="200"/>
        <w:rPr>
          <w:rFonts w:hint="default" w:ascii="方正仿宋_GBK" w:hAnsi="方正仿宋_GBK" w:eastAsia="方正仿宋_GBK" w:cs="方正仿宋_GBK"/>
          <w:b w:val="0"/>
          <w:bCs/>
          <w:color w:val="000000"/>
          <w:kern w:val="2"/>
          <w:sz w:val="30"/>
          <w:szCs w:val="30"/>
        </w:rPr>
      </w:pPr>
      <w:r>
        <w:rPr>
          <w:rFonts w:ascii="方正仿宋_GBK" w:hAnsi="方正仿宋_GBK" w:eastAsia="方正仿宋_GBK" w:cs="方正仿宋_GBK"/>
          <w:b w:val="0"/>
          <w:bCs/>
          <w:color w:val="000000"/>
          <w:kern w:val="2"/>
          <w:sz w:val="30"/>
          <w:szCs w:val="30"/>
        </w:rPr>
        <w:t>镇党委政府围绕贯彻落实党和政府各项方针政策，其主要职责是：制定和组织实施经济、科技和社会发展计划，制定资源开发技术改造和产业结构调整方案，组织指导好各业生产，搞好商品流通，协调好本镇与外地区的经济交流与合作，抓好招商引资、项目开发，不断培育市场体系，组织经济运行，促进经济发展；制定并组织实施村镇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按计划组织本级财政收入和地方税的征收，完成国家财政计划，不断培植税源，管好财政资金，增强</w:t>
      </w:r>
      <w:r>
        <w:rPr>
          <w:rFonts w:ascii="方正仿宋_GBK" w:hAnsi="方正仿宋_GBK" w:eastAsia="方正仿宋_GBK" w:cs="方正仿宋_GBK"/>
          <w:b w:val="0"/>
          <w:bCs/>
          <w:color w:val="000000"/>
          <w:kern w:val="2"/>
          <w:sz w:val="30"/>
          <w:szCs w:val="30"/>
        </w:rPr>
        <w:tab/>
      </w:r>
      <w:r>
        <w:rPr>
          <w:rFonts w:ascii="方正仿宋_GBK" w:hAnsi="方正仿宋_GBK" w:eastAsia="方正仿宋_GBK" w:cs="方正仿宋_GBK"/>
          <w:b w:val="0"/>
          <w:bCs/>
          <w:color w:val="000000"/>
          <w:kern w:val="2"/>
          <w:sz w:val="30"/>
          <w:szCs w:val="30"/>
        </w:rPr>
        <w:t>财政实力；抓好精神文明建设，丰富群众文化生活，提倡移风易俗，反对封建迷信，破除陈规陋习，树立社会主义新风尚，进一步强化城镇管理和社区服务工作。</w:t>
      </w:r>
    </w:p>
    <w:p>
      <w:pPr>
        <w:pStyle w:val="9"/>
        <w:shd w:val="clear" w:color="auto" w:fill="FFFFFF"/>
        <w:spacing w:before="0" w:beforeAutospacing="0" w:after="0" w:afterAutospacing="0" w:line="596" w:lineRule="exact"/>
        <w:ind w:firstLine="640" w:firstLineChars="200"/>
        <w:rPr>
          <w:rFonts w:hint="default" w:ascii="楷体" w:hAnsi="楷体" w:eastAsia="楷体" w:cs="楷体"/>
          <w:b w:val="0"/>
          <w:bCs/>
          <w:sz w:val="32"/>
          <w:szCs w:val="32"/>
        </w:rPr>
      </w:pPr>
      <w:r>
        <w:rPr>
          <w:rStyle w:val="13"/>
          <w:rFonts w:ascii="楷体" w:hAnsi="楷体" w:eastAsia="楷体" w:cs="楷体"/>
          <w:b w:val="0"/>
          <w:bCs/>
          <w:sz w:val="32"/>
          <w:szCs w:val="32"/>
          <w:shd w:val="clear" w:color="auto" w:fill="FFFFFF"/>
        </w:rPr>
        <w:t>（二）机构设置</w:t>
      </w:r>
    </w:p>
    <w:p>
      <w:pPr>
        <w:pStyle w:val="15"/>
        <w:autoSpaceDE w:val="0"/>
        <w:spacing w:before="0" w:beforeAutospacing="0"/>
        <w:ind w:firstLine="600" w:firstLineChars="200"/>
        <w:rPr>
          <w:rFonts w:ascii="Times New Roman" w:hAnsi="Times New Roman" w:eastAsia="方正仿宋_GBK"/>
          <w:b w:val="0"/>
          <w:bCs/>
          <w:color w:val="000000"/>
          <w:kern w:val="2"/>
          <w:sz w:val="30"/>
          <w:szCs w:val="30"/>
        </w:rPr>
      </w:pPr>
      <w:r>
        <w:rPr>
          <w:rFonts w:hint="eastAsia" w:ascii="方正仿宋_GBK" w:hAnsi="方正仿宋_GBK" w:eastAsia="方正仿宋_GBK" w:cs="方正仿宋_GBK"/>
          <w:b w:val="0"/>
          <w:bCs/>
          <w:color w:val="000000"/>
          <w:kern w:val="2"/>
          <w:sz w:val="30"/>
          <w:szCs w:val="30"/>
        </w:rPr>
        <w:t>高家镇人民政府设置党政内设机</w:t>
      </w:r>
      <w:r>
        <w:rPr>
          <w:rFonts w:hint="eastAsia" w:ascii="Times New Roman" w:hAnsi="Times New Roman" w:eastAsia="方正仿宋_GBK"/>
          <w:b w:val="0"/>
          <w:bCs/>
          <w:color w:val="000000"/>
          <w:kern w:val="2"/>
          <w:sz w:val="30"/>
          <w:szCs w:val="30"/>
        </w:rPr>
        <w:t>构5</w:t>
      </w:r>
      <w:r>
        <w:rPr>
          <w:rFonts w:hint="eastAsia" w:ascii="方正仿宋_GBK" w:hAnsi="方正仿宋_GBK" w:eastAsia="方正仿宋_GBK" w:cs="方正仿宋_GBK"/>
          <w:b w:val="0"/>
          <w:bCs/>
          <w:color w:val="000000"/>
          <w:kern w:val="2"/>
          <w:sz w:val="30"/>
          <w:szCs w:val="30"/>
        </w:rPr>
        <w:t>个：基层治理综合指挥室、党的建设办公室、经济发展办公室、民生服务办公室、平安法治办公室。事业机</w:t>
      </w:r>
      <w:r>
        <w:rPr>
          <w:rFonts w:hint="eastAsia" w:ascii="Times New Roman" w:hAnsi="Times New Roman" w:eastAsia="方正仿宋_GBK"/>
          <w:b w:val="0"/>
          <w:bCs/>
          <w:color w:val="000000"/>
          <w:kern w:val="2"/>
          <w:sz w:val="30"/>
          <w:szCs w:val="30"/>
        </w:rPr>
        <w:t>构5个</w:t>
      </w:r>
      <w:r>
        <w:rPr>
          <w:rFonts w:hint="eastAsia" w:ascii="方正仿宋_GBK" w:hAnsi="方正仿宋_GBK" w:eastAsia="方正仿宋_GBK" w:cs="方正仿宋_GBK"/>
          <w:b w:val="0"/>
          <w:bCs/>
          <w:color w:val="000000"/>
          <w:kern w:val="2"/>
          <w:sz w:val="30"/>
          <w:szCs w:val="30"/>
        </w:rPr>
        <w:t>：便民服务中心（退役军人服务站）、综合行政执法大队、新时代文明实践服务中心、产业发展服务中心和村镇建设服务中心。高家镇人民政府核定编制人数共</w:t>
      </w:r>
      <w:r>
        <w:rPr>
          <w:rFonts w:ascii="Times New Roman" w:hAnsi="Times New Roman" w:eastAsia="方正仿宋_GBK"/>
          <w:b w:val="0"/>
          <w:bCs/>
          <w:color w:val="000000"/>
          <w:kern w:val="2"/>
          <w:sz w:val="30"/>
          <w:szCs w:val="30"/>
        </w:rPr>
        <w:t>116</w:t>
      </w:r>
      <w:r>
        <w:rPr>
          <w:rFonts w:hint="eastAsia" w:ascii="方正仿宋_GBK" w:hAnsi="方正仿宋_GBK" w:eastAsia="方正仿宋_GBK" w:cs="方正仿宋_GBK"/>
          <w:b w:val="0"/>
          <w:bCs/>
          <w:color w:val="000000"/>
          <w:kern w:val="2"/>
          <w:sz w:val="30"/>
          <w:szCs w:val="30"/>
        </w:rPr>
        <w:t>名，其中机关行政编制</w:t>
      </w:r>
      <w:r>
        <w:rPr>
          <w:rFonts w:ascii="Times New Roman" w:hAnsi="Times New Roman" w:eastAsia="方正仿宋_GBK"/>
          <w:b w:val="0"/>
          <w:bCs/>
          <w:color w:val="000000"/>
          <w:kern w:val="2"/>
          <w:sz w:val="30"/>
          <w:szCs w:val="30"/>
        </w:rPr>
        <w:t>53</w:t>
      </w:r>
      <w:r>
        <w:rPr>
          <w:rFonts w:hint="eastAsia" w:ascii="方正仿宋_GBK" w:hAnsi="方正仿宋_GBK" w:eastAsia="方正仿宋_GBK" w:cs="方正仿宋_GBK"/>
          <w:b w:val="0"/>
          <w:bCs/>
          <w:color w:val="000000"/>
          <w:kern w:val="2"/>
          <w:sz w:val="30"/>
          <w:szCs w:val="30"/>
        </w:rPr>
        <w:t>名、机关后勤服务人员事业编制</w:t>
      </w:r>
      <w:r>
        <w:rPr>
          <w:rFonts w:hint="eastAsia" w:ascii="Times New Roman" w:hAnsi="Times New Roman" w:eastAsia="方正仿宋_GBK"/>
          <w:b w:val="0"/>
          <w:bCs/>
          <w:color w:val="000000"/>
          <w:kern w:val="2"/>
          <w:sz w:val="30"/>
          <w:szCs w:val="30"/>
        </w:rPr>
        <w:t>3</w:t>
      </w:r>
      <w:r>
        <w:rPr>
          <w:rFonts w:hint="eastAsia" w:ascii="方正仿宋_GBK" w:hAnsi="方正仿宋_GBK" w:eastAsia="方正仿宋_GBK" w:cs="方正仿宋_GBK"/>
          <w:b w:val="0"/>
          <w:bCs/>
          <w:color w:val="000000"/>
          <w:kern w:val="2"/>
          <w:sz w:val="30"/>
          <w:szCs w:val="30"/>
        </w:rPr>
        <w:t>名、事业编制</w:t>
      </w:r>
      <w:r>
        <w:rPr>
          <w:rFonts w:ascii="Times New Roman" w:hAnsi="Times New Roman" w:eastAsia="方正仿宋_GBK"/>
          <w:b w:val="0"/>
          <w:bCs/>
          <w:color w:val="000000"/>
          <w:kern w:val="2"/>
          <w:sz w:val="30"/>
          <w:szCs w:val="30"/>
        </w:rPr>
        <w:t>59</w:t>
      </w:r>
      <w:r>
        <w:rPr>
          <w:rFonts w:hint="eastAsia" w:ascii="方正仿宋_GBK" w:hAnsi="方正仿宋_GBK" w:eastAsia="方正仿宋_GBK" w:cs="方正仿宋_GBK"/>
          <w:b w:val="0"/>
          <w:bCs/>
          <w:color w:val="000000"/>
          <w:kern w:val="2"/>
          <w:sz w:val="30"/>
          <w:szCs w:val="30"/>
        </w:rPr>
        <w:t>名。现有在职人员合计</w:t>
      </w:r>
      <w:r>
        <w:rPr>
          <w:rFonts w:ascii="Times New Roman" w:hAnsi="Times New Roman" w:eastAsia="方正仿宋_GBK"/>
          <w:b w:val="0"/>
          <w:bCs/>
          <w:color w:val="000000"/>
          <w:kern w:val="2"/>
          <w:sz w:val="30"/>
          <w:szCs w:val="30"/>
        </w:rPr>
        <w:t>1</w:t>
      </w:r>
      <w:r>
        <w:rPr>
          <w:rFonts w:hint="eastAsia" w:ascii="Times New Roman" w:hAnsi="Times New Roman" w:eastAsia="方正仿宋_GBK"/>
          <w:b w:val="0"/>
          <w:bCs/>
          <w:color w:val="000000"/>
          <w:kern w:val="2"/>
          <w:sz w:val="30"/>
          <w:szCs w:val="30"/>
        </w:rPr>
        <w:t>00</w:t>
      </w:r>
      <w:r>
        <w:rPr>
          <w:rFonts w:hint="eastAsia" w:ascii="方正仿宋_GBK" w:hAnsi="方正仿宋_GBK" w:eastAsia="方正仿宋_GBK" w:cs="方正仿宋_GBK"/>
          <w:b w:val="0"/>
          <w:bCs/>
          <w:color w:val="000000"/>
          <w:kern w:val="2"/>
          <w:sz w:val="30"/>
          <w:szCs w:val="30"/>
        </w:rPr>
        <w:t>人，其中行政</w:t>
      </w:r>
      <w:r>
        <w:rPr>
          <w:rFonts w:hint="eastAsia" w:ascii="Times New Roman" w:hAnsi="Times New Roman" w:eastAsia="方正仿宋_GBK"/>
          <w:b w:val="0"/>
          <w:bCs/>
          <w:color w:val="000000"/>
          <w:kern w:val="2"/>
          <w:sz w:val="30"/>
          <w:szCs w:val="30"/>
        </w:rPr>
        <w:t>46人</w:t>
      </w:r>
      <w:r>
        <w:rPr>
          <w:rFonts w:hint="eastAsia" w:ascii="方正仿宋_GBK" w:hAnsi="方正仿宋_GBK" w:eastAsia="方正仿宋_GBK" w:cs="方正仿宋_GBK"/>
          <w:b w:val="0"/>
          <w:bCs/>
          <w:color w:val="000000"/>
          <w:kern w:val="2"/>
          <w:sz w:val="30"/>
          <w:szCs w:val="30"/>
        </w:rPr>
        <w:t>（包括工勤</w:t>
      </w:r>
      <w:r>
        <w:rPr>
          <w:rFonts w:hint="eastAsia" w:ascii="Times New Roman" w:hAnsi="Times New Roman" w:eastAsia="方正仿宋_GBK"/>
          <w:b w:val="0"/>
          <w:bCs/>
          <w:color w:val="000000"/>
          <w:kern w:val="2"/>
          <w:sz w:val="30"/>
          <w:szCs w:val="30"/>
        </w:rPr>
        <w:t>3</w:t>
      </w:r>
      <w:r>
        <w:rPr>
          <w:rFonts w:hint="eastAsia" w:ascii="方正仿宋_GBK" w:hAnsi="方正仿宋_GBK" w:eastAsia="方正仿宋_GBK" w:cs="方正仿宋_GBK"/>
          <w:b w:val="0"/>
          <w:bCs/>
          <w:color w:val="000000"/>
          <w:kern w:val="2"/>
          <w:sz w:val="30"/>
          <w:szCs w:val="30"/>
        </w:rPr>
        <w:t>人），事业</w:t>
      </w:r>
      <w:r>
        <w:rPr>
          <w:rFonts w:ascii="Times New Roman" w:hAnsi="Times New Roman" w:eastAsia="方正仿宋_GBK"/>
          <w:b w:val="0"/>
          <w:bCs/>
          <w:color w:val="000000"/>
          <w:kern w:val="2"/>
          <w:sz w:val="30"/>
          <w:szCs w:val="30"/>
        </w:rPr>
        <w:t>5</w:t>
      </w:r>
      <w:r>
        <w:rPr>
          <w:rFonts w:hint="eastAsia" w:ascii="Times New Roman" w:hAnsi="Times New Roman" w:eastAsia="方正仿宋_GBK"/>
          <w:b w:val="0"/>
          <w:bCs/>
          <w:color w:val="000000"/>
          <w:kern w:val="2"/>
          <w:sz w:val="30"/>
          <w:szCs w:val="30"/>
        </w:rPr>
        <w:t>4</w:t>
      </w:r>
      <w:r>
        <w:rPr>
          <w:rFonts w:hint="eastAsia" w:ascii="方正仿宋_GBK" w:hAnsi="方正仿宋_GBK" w:eastAsia="方正仿宋_GBK" w:cs="方正仿宋_GBK"/>
          <w:b w:val="0"/>
          <w:bCs/>
          <w:color w:val="000000"/>
          <w:kern w:val="2"/>
          <w:sz w:val="30"/>
          <w:szCs w:val="30"/>
        </w:rPr>
        <w:t>人。</w:t>
      </w:r>
    </w:p>
    <w:p>
      <w:pPr>
        <w:pStyle w:val="9"/>
        <w:shd w:val="clear" w:color="auto" w:fill="FFFFFF"/>
        <w:spacing w:before="0" w:beforeAutospacing="0" w:after="0" w:afterAutospacing="0" w:line="596" w:lineRule="exact"/>
        <w:ind w:firstLine="640" w:firstLineChars="200"/>
        <w:rPr>
          <w:rStyle w:val="13"/>
          <w:rFonts w:hint="default" w:ascii="黑体" w:hAnsi="黑体" w:eastAsia="黑体" w:cs="黑体"/>
          <w:b w:val="0"/>
          <w:bCs/>
          <w:sz w:val="32"/>
          <w:szCs w:val="32"/>
          <w:shd w:val="clear" w:color="auto" w:fill="FFFFFF"/>
        </w:rPr>
      </w:pPr>
      <w:r>
        <w:rPr>
          <w:rStyle w:val="13"/>
          <w:rFonts w:ascii="黑体" w:hAnsi="黑体" w:eastAsia="黑体" w:cs="黑体"/>
          <w:b w:val="0"/>
          <w:bCs/>
          <w:sz w:val="32"/>
          <w:szCs w:val="32"/>
          <w:shd w:val="clear" w:color="auto" w:fill="FFFFFF"/>
        </w:rPr>
        <w:t>二、部门决算收支情况说明</w:t>
      </w:r>
    </w:p>
    <w:p>
      <w:pPr>
        <w:pStyle w:val="14"/>
        <w:autoSpaceDE w:val="0"/>
        <w:spacing w:line="596" w:lineRule="exact"/>
        <w:ind w:firstLine="643"/>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b w:val="0"/>
          <w:bCs/>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年度收、支总计均为</w:t>
      </w:r>
      <w:r>
        <w:rPr>
          <w:rFonts w:hint="default" w:ascii="Times New Roman" w:hAnsi="Times New Roman" w:eastAsia="方正仿宋_GBK"/>
          <w:b w:val="0"/>
          <w:bCs/>
          <w:sz w:val="32"/>
          <w:szCs w:val="32"/>
          <w:shd w:val="clear" w:color="auto" w:fill="FFFFFF"/>
        </w:rPr>
        <w:t>8148.40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收、支与2023年度相比，增加416.01万元，增长5.4%</w:t>
      </w:r>
      <w:r>
        <w:rPr>
          <w:rFonts w:ascii="方正仿宋_GBK" w:hAnsi="方正仿宋_GBK" w:eastAsia="方正仿宋_GBK" w:cs="方正仿宋_GBK"/>
          <w:b w:val="0"/>
          <w:bCs/>
          <w:sz w:val="32"/>
          <w:szCs w:val="32"/>
          <w:shd w:val="clear" w:color="auto" w:fill="FFFFFF"/>
        </w:rPr>
        <w:t>，主要原</w:t>
      </w:r>
      <w:r>
        <w:rPr>
          <w:rFonts w:hint="default" w:ascii="Times New Roman" w:hAnsi="Times New Roman" w:eastAsia="方正仿宋_GBK"/>
          <w:b w:val="0"/>
          <w:bCs/>
          <w:sz w:val="32"/>
          <w:szCs w:val="32"/>
          <w:shd w:val="clear" w:color="auto" w:fill="FFFFFF"/>
        </w:rPr>
        <w:t>因是</w:t>
      </w:r>
      <w:r>
        <w:rPr>
          <w:rFonts w:ascii="Times New Roman" w:hAnsi="Times New Roman" w:eastAsia="方正仿宋_GBK"/>
          <w:b w:val="0"/>
          <w:bCs/>
          <w:sz w:val="32"/>
          <w:szCs w:val="32"/>
          <w:shd w:val="clear" w:color="auto" w:fill="FFFFFF"/>
        </w:rPr>
        <w:t>本年度上级专项资金增多，主要有沿江污水管网工程，箱涵污水管网工程、旧房整治项目等。</w:t>
      </w:r>
    </w:p>
    <w:p>
      <w:pPr>
        <w:pStyle w:val="9"/>
        <w:shd w:val="clear" w:color="auto" w:fill="FFFFFF"/>
        <w:spacing w:before="0" w:beforeAutospacing="0" w:after="0" w:afterAutospacing="0" w:line="596" w:lineRule="exact"/>
        <w:ind w:firstLine="642" w:firstLineChars="200"/>
        <w:jc w:val="both"/>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8146.18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与2023年度相比，增加740.41万元，增长10.0%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本年度上级专项资金增多，主要有沿江污水管网工程，箱涵污水管网工程、旧房整治项目等。</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8146.18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2.22</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8146.11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与2023年度相比，增加415.94万元，增长5.4%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本年度上级专项资金增多，主要有沿江污水管网工程，箱涵污水管网工程、旧房整治项目等。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3541.42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4604.69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与2023年度相比，增加0.07万元，增长3.2%</w:t>
      </w:r>
      <w:r>
        <w:rPr>
          <w:rFonts w:ascii="方正仿宋_GBK" w:hAnsi="方正仿宋_GBK" w:eastAsia="方正仿宋_GBK" w:cs="方正仿宋_GBK"/>
          <w:sz w:val="32"/>
          <w:szCs w:val="32"/>
          <w:shd w:val="clear" w:color="auto" w:fill="FFFFFF"/>
        </w:rPr>
        <w:t>，主要原因是根据会计规范要求做了以前年度会计更正处理。</w:t>
      </w:r>
    </w:p>
    <w:p>
      <w:pPr>
        <w:pStyle w:val="14"/>
        <w:autoSpaceDE w:val="0"/>
        <w:spacing w:line="596" w:lineRule="exact"/>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年度财政拨款收、支总计均为</w:t>
      </w:r>
      <w:r>
        <w:rPr>
          <w:rFonts w:hint="default" w:ascii="Times New Roman" w:hAnsi="Times New Roman" w:eastAsia="方正仿宋_GBK"/>
          <w:b w:val="0"/>
          <w:bCs w:val="0"/>
          <w:sz w:val="32"/>
          <w:szCs w:val="32"/>
          <w:shd w:val="clear" w:color="auto" w:fill="FFFFFF"/>
        </w:rPr>
        <w:t>8148.40</w:t>
      </w:r>
      <w:r>
        <w:rPr>
          <w:rFonts w:ascii="方正仿宋_GBK" w:hAnsi="方正仿宋_GBK" w:eastAsia="方正仿宋_GBK" w:cs="方正仿宋_GBK"/>
          <w:b w:val="0"/>
          <w:bCs w:val="0"/>
          <w:sz w:val="32"/>
          <w:szCs w:val="32"/>
          <w:shd w:val="clear" w:color="auto" w:fill="FFFFFF"/>
        </w:rPr>
        <w:t>万元。与</w:t>
      </w:r>
      <w:r>
        <w:rPr>
          <w:rFonts w:hint="default" w:ascii="Times New Roman" w:hAnsi="Times New Roman" w:eastAsia="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w:t>
      </w:r>
      <w:r>
        <w:rPr>
          <w:rFonts w:hint="default" w:ascii="Times New Roman" w:hAnsi="Times New Roman" w:eastAsia="方正仿宋_GBK"/>
          <w:b w:val="0"/>
          <w:bCs w:val="0"/>
          <w:sz w:val="32"/>
          <w:szCs w:val="32"/>
          <w:shd w:val="clear" w:color="auto" w:fill="FFFFFF"/>
        </w:rPr>
        <w:t>财政拨款收、支总计各增加416.01万元，增长5.4%</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b w:val="0"/>
          <w:bCs w:val="0"/>
          <w:sz w:val="32"/>
          <w:szCs w:val="32"/>
          <w:shd w:val="clear" w:color="auto" w:fill="FFFFFF"/>
        </w:rPr>
        <w:t>本年度上级专项资金增多，主要有沿江污水管网工程，箱涵污水管网工程、旧房整治项目等。</w:t>
      </w:r>
    </w:p>
    <w:p>
      <w:pPr>
        <w:pStyle w:val="14"/>
        <w:autoSpaceDE w:val="0"/>
        <w:spacing w:line="596" w:lineRule="exact"/>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8055.43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与2023年度相比，增加791.65万元，增长10.9%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本年度上级专项资金增多，主要有沿江污水管网工程，箱涵污水管网工程、旧房整治项目等。</w:t>
      </w:r>
      <w:r>
        <w:rPr>
          <w:rFonts w:hint="default" w:ascii="Times New Roman" w:hAnsi="Times New Roman" w:eastAsia="方正仿宋_GBK"/>
          <w:sz w:val="32"/>
          <w:szCs w:val="32"/>
          <w:shd w:val="clear" w:color="auto" w:fill="FFFFFF"/>
        </w:rPr>
        <w:t>较年初预算数增加3296.81万元，增长69.3%</w:t>
      </w:r>
      <w:r>
        <w:rPr>
          <w:rFonts w:ascii="方正仿宋_GBK" w:hAnsi="方正仿宋_GBK" w:eastAsia="方正仿宋_GBK" w:cs="方正仿宋_GBK"/>
          <w:sz w:val="32"/>
          <w:szCs w:val="32"/>
          <w:shd w:val="clear" w:color="auto" w:fill="FFFFFF"/>
        </w:rPr>
        <w:t>。主要原因是网格员、污水管网工程、农村危旧房改造、农村道路建设、乡村振兴建设、文化服务体系建设、农村公益性岗位、自然灾害等上级经费的增加。此外，年初财政拨款结转和结余</w:t>
      </w:r>
      <w:r>
        <w:rPr>
          <w:rFonts w:hint="default" w:ascii="Times New Roman" w:hAnsi="Times New Roman" w:eastAsia="方正仿宋_GBK"/>
          <w:sz w:val="32"/>
          <w:szCs w:val="32"/>
          <w:shd w:val="clear" w:color="auto" w:fill="FFFFFF"/>
        </w:rPr>
        <w:t>2.22</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8055.36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与2023年度相比，增加479.36万元，增长6.3%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本年度上级专项资金增多，主要有沿江污水管网工程，箱涵污水管网工程、旧房整治项目等。</w:t>
      </w:r>
      <w:r>
        <w:rPr>
          <w:rFonts w:hint="default" w:ascii="Times New Roman" w:hAnsi="Times New Roman" w:eastAsia="方正仿宋_GBK"/>
          <w:sz w:val="32"/>
          <w:szCs w:val="32"/>
          <w:shd w:val="clear" w:color="auto" w:fill="FFFFFF"/>
        </w:rPr>
        <w:t>较年初预算数增加3296.74万元，增长69.3%</w:t>
      </w:r>
      <w:r>
        <w:rPr>
          <w:rFonts w:ascii="方正仿宋_GBK" w:hAnsi="方正仿宋_GBK" w:eastAsia="方正仿宋_GBK" w:cs="方正仿宋_GBK"/>
          <w:sz w:val="32"/>
          <w:szCs w:val="32"/>
          <w:shd w:val="clear" w:color="auto" w:fill="FFFFFF"/>
        </w:rPr>
        <w:t>。主要原因是网格员、污水管网工程、农村危旧房改造、农村道路建设、乡村振兴建设、文化服务体系建设、农村公益性岗位、自然灾害等上级经费的增加。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2183.10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较年初预算数增加1070.36万元，增长96.2%</w:t>
      </w:r>
      <w:r>
        <w:rPr>
          <w:rFonts w:ascii="方正仿宋_GBK" w:hAnsi="方正仿宋_GBK" w:eastAsia="方正仿宋_GBK" w:cs="方正仿宋_GBK"/>
          <w:sz w:val="32"/>
          <w:szCs w:val="32"/>
          <w:shd w:val="clear" w:color="auto" w:fill="FFFFFF"/>
        </w:rPr>
        <w:t>，主要原因是年中人员调整涉及经费调整，增加了普查经费、党建经费、食品安全协管员经费、流动人口协管员经费等。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hint="default" w:ascii="Times New Roman" w:hAnsi="Times New Roman" w:eastAsia="方正仿宋_GBK"/>
          <w:sz w:val="32"/>
          <w:szCs w:val="32"/>
          <w:shd w:val="clear" w:color="auto" w:fill="FFFFFF"/>
        </w:rPr>
        <w:t>8.00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无后续教育类专项经费增加。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无后续科学技术类专项经费增加。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hint="default" w:ascii="Times New Roman" w:hAnsi="Times New Roman" w:eastAsia="方正仿宋_GBK"/>
          <w:sz w:val="32"/>
          <w:szCs w:val="32"/>
          <w:shd w:val="clear" w:color="auto" w:fill="FFFFFF"/>
        </w:rPr>
        <w:t>269.70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较年初预算数增加79.15万元，增长41.5%</w:t>
      </w:r>
      <w:r>
        <w:rPr>
          <w:rFonts w:ascii="方正仿宋_GBK" w:hAnsi="方正仿宋_GBK" w:eastAsia="方正仿宋_GBK" w:cs="方正仿宋_GBK"/>
          <w:sz w:val="32"/>
          <w:szCs w:val="32"/>
          <w:shd w:val="clear" w:color="auto" w:fill="FFFFFF"/>
        </w:rPr>
        <w:t>，主要原因是增加了“三馆一站”免费开放经费、旅游酒店建设经费等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（5）社会保障和就业支出</w:t>
      </w:r>
      <w:r>
        <w:rPr>
          <w:rFonts w:hint="default" w:ascii="Times New Roman" w:hAnsi="Times New Roman" w:eastAsia="方正仿宋_GBK"/>
          <w:sz w:val="32"/>
          <w:szCs w:val="32"/>
          <w:shd w:val="clear" w:color="auto" w:fill="FFFFFF"/>
        </w:rPr>
        <w:t>1357.73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较年初预算数增加217.63万元，增长19.1%</w:t>
      </w:r>
      <w:r>
        <w:rPr>
          <w:rFonts w:ascii="方正仿宋_GBK" w:hAnsi="方正仿宋_GBK" w:eastAsia="方正仿宋_GBK" w:cs="方正仿宋_GBK"/>
          <w:sz w:val="32"/>
          <w:szCs w:val="32"/>
          <w:shd w:val="clear" w:color="auto" w:fill="FFFFFF"/>
        </w:rPr>
        <w:t>，主要原因是增加了涉农公益</w:t>
      </w:r>
      <w:r>
        <w:rPr>
          <w:rFonts w:hint="eastAsia" w:ascii="方正仿宋_GBK" w:hAnsi="方正仿宋_GBK" w:eastAsia="方正仿宋_GBK" w:cs="方正仿宋_GBK"/>
          <w:sz w:val="32"/>
          <w:szCs w:val="32"/>
          <w:shd w:val="clear" w:color="auto" w:fill="FFFFFF"/>
          <w:lang w:eastAsia="zh-CN"/>
        </w:rPr>
        <w:t>性</w:t>
      </w:r>
      <w:r>
        <w:rPr>
          <w:rFonts w:ascii="方正仿宋_GBK" w:hAnsi="方正仿宋_GBK" w:eastAsia="方正仿宋_GBK" w:cs="方正仿宋_GBK"/>
          <w:sz w:val="32"/>
          <w:szCs w:val="32"/>
          <w:shd w:val="clear" w:color="auto" w:fill="FFFFFF"/>
        </w:rPr>
        <w:t>岗位经费、网格经费等</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hint="default" w:ascii="Times New Roman" w:hAnsi="Times New Roman" w:eastAsia="方正仿宋_GBK"/>
          <w:sz w:val="32"/>
          <w:szCs w:val="32"/>
          <w:shd w:val="clear" w:color="auto" w:fill="FFFFFF"/>
        </w:rPr>
        <w:t>143.11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较年初预算数减少6.79万元，下降4.5%</w:t>
      </w:r>
      <w:r>
        <w:rPr>
          <w:rFonts w:ascii="方正仿宋_GBK" w:hAnsi="方正仿宋_GBK" w:eastAsia="方正仿宋_GBK" w:cs="方正仿宋_GBK"/>
          <w:sz w:val="32"/>
          <w:szCs w:val="32"/>
          <w:shd w:val="clear" w:color="auto" w:fill="FFFFFF"/>
        </w:rPr>
        <w:t>，主要原因是本年度人员有所减少。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hint="default" w:ascii="Times New Roman" w:hAnsi="Times New Roman" w:eastAsia="方正仿宋_GBK"/>
          <w:sz w:val="32"/>
          <w:szCs w:val="32"/>
          <w:shd w:val="clear" w:color="auto" w:fill="FFFFFF"/>
        </w:rPr>
        <w:t>90.00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较年初预算数增加87.00万元，增长2900.0%</w:t>
      </w:r>
      <w:r>
        <w:rPr>
          <w:rFonts w:ascii="方正仿宋_GBK" w:hAnsi="方正仿宋_GBK" w:eastAsia="方正仿宋_GBK" w:cs="方正仿宋_GBK"/>
          <w:sz w:val="32"/>
          <w:szCs w:val="32"/>
          <w:shd w:val="clear" w:color="auto" w:fill="FFFFFF"/>
        </w:rPr>
        <w:t>，主要原因是增加了污水管网项目、垃圾分类体系建设项目等。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（8）城乡社区支出</w:t>
      </w:r>
      <w:r>
        <w:rPr>
          <w:rFonts w:hint="default" w:ascii="Times New Roman" w:hAnsi="Times New Roman" w:eastAsia="方正仿宋_GBK"/>
          <w:sz w:val="32"/>
          <w:szCs w:val="32"/>
          <w:shd w:val="clear" w:color="auto" w:fill="FFFFFF"/>
        </w:rPr>
        <w:t>870.71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较年初预算数增加341.57万元，增长64.6%</w:t>
      </w:r>
      <w:r>
        <w:rPr>
          <w:rFonts w:ascii="方正仿宋_GBK" w:hAnsi="方正仿宋_GBK" w:eastAsia="方正仿宋_GBK" w:cs="方正仿宋_GBK"/>
          <w:sz w:val="32"/>
          <w:szCs w:val="32"/>
          <w:shd w:val="clear" w:color="auto" w:fill="FFFFFF"/>
        </w:rPr>
        <w:t>，主要原因是增加了环境综合整治资金、农村生活垃圾环境治理等资金。</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hint="default" w:ascii="Times New Roman" w:hAnsi="Times New Roman" w:eastAsia="方正仿宋_GBK"/>
          <w:sz w:val="32"/>
          <w:szCs w:val="32"/>
          <w:shd w:val="clear" w:color="auto" w:fill="FFFFFF"/>
        </w:rPr>
        <w:t>2041.57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较年初预算数增加1078.86万元，增长112.1%</w:t>
      </w:r>
      <w:r>
        <w:rPr>
          <w:rFonts w:ascii="方正仿宋_GBK" w:hAnsi="方正仿宋_GBK" w:eastAsia="方正仿宋_GBK" w:cs="方正仿宋_GBK"/>
          <w:sz w:val="32"/>
          <w:szCs w:val="32"/>
          <w:shd w:val="clear" w:color="auto" w:fill="FFFFFF"/>
        </w:rPr>
        <w:t>，主要原因是增加了乡村振兴、林业有害生物防治、旧房整治提升等专项经费。</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hint="default" w:ascii="Times New Roman" w:hAnsi="Times New Roman" w:eastAsia="方正仿宋_GBK"/>
          <w:sz w:val="32"/>
          <w:szCs w:val="32"/>
          <w:shd w:val="clear" w:color="auto" w:fill="FFFFFF"/>
        </w:rPr>
        <w:t>366.20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较年初预算数增加95.04万元，增长35.1%</w:t>
      </w:r>
      <w:r>
        <w:rPr>
          <w:rFonts w:ascii="方正仿宋_GBK" w:hAnsi="方正仿宋_GBK" w:eastAsia="方正仿宋_GBK" w:cs="方正仿宋_GBK"/>
          <w:sz w:val="32"/>
          <w:szCs w:val="32"/>
          <w:shd w:val="clear" w:color="auto" w:fill="FFFFFF"/>
        </w:rPr>
        <w:t>，主要原因是增加了农村道路安保工程、畅通工程等农村道路建设项目经费。</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242.33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较年初预算数增加53.83万元，增长28.6%</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ascii="Times New Roman" w:hAnsi="Times New Roman" w:eastAsia="方正仿宋_GBK"/>
          <w:sz w:val="32"/>
          <w:szCs w:val="32"/>
          <w:shd w:val="clear" w:color="auto" w:fill="FFFFFF"/>
        </w:rPr>
        <w:t>增加了林业有害生物防治资金。</w:t>
      </w:r>
    </w:p>
    <w:p>
      <w:pPr>
        <w:spacing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216.49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较年初预算数增加72.67万元，增长50.5%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主要原因是增加了旧房整治提升、危房办理整治资金等。</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256.41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较年初预算数增加247.41万元，增长2749.0%</w:t>
      </w:r>
      <w:r>
        <w:rPr>
          <w:rFonts w:ascii="方正仿宋_GBK" w:hAnsi="方正仿宋_GBK" w:eastAsia="方正仿宋_GBK" w:cs="方正仿宋_GBK"/>
          <w:sz w:val="32"/>
          <w:szCs w:val="32"/>
          <w:shd w:val="clear" w:color="auto" w:fill="FFFFFF"/>
        </w:rPr>
        <w:t>，主要原因是增加了川祖路面塌陷、自然灾害救灾金等上级专项金。</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与2023年度相比，增加0.07万元，增长3.2%</w:t>
      </w:r>
      <w:r>
        <w:rPr>
          <w:rFonts w:ascii="方正仿宋_GBK" w:hAnsi="方正仿宋_GBK" w:eastAsia="方正仿宋_GBK" w:cs="方正仿宋_GBK"/>
          <w:sz w:val="32"/>
          <w:szCs w:val="32"/>
          <w:shd w:val="clear" w:color="auto" w:fill="FFFFFF"/>
        </w:rPr>
        <w:t>，主要原因是根据会计规范要求做了以前年度会计更正处理。</w:t>
      </w:r>
    </w:p>
    <w:p>
      <w:pPr>
        <w:pStyle w:val="14"/>
        <w:autoSpaceDE w:val="0"/>
        <w:spacing w:line="596" w:lineRule="exact"/>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3541.42</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3040.04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与2023年度相比，减少66.51万元，下降2.1%</w:t>
      </w:r>
      <w:r>
        <w:rPr>
          <w:rFonts w:ascii="方正仿宋_GBK" w:hAnsi="方正仿宋_GBK" w:eastAsia="方正仿宋_GBK" w:cs="方正仿宋_GBK"/>
          <w:sz w:val="32"/>
          <w:szCs w:val="32"/>
          <w:shd w:val="clear" w:color="auto" w:fill="FFFFFF"/>
        </w:rPr>
        <w:t>，主要原因是年中人员调整，调出和退休人员增多。人员经费用途主要包括</w:t>
      </w:r>
      <w:r>
        <w:rPr>
          <w:rFonts w:ascii="方正仿宋_GBK" w:hAnsi="方正仿宋_GBK" w:eastAsia="方正仿宋_GBK" w:cs="方正仿宋_GBK"/>
          <w:color w:val="000000"/>
          <w:kern w:val="2"/>
          <w:sz w:val="30"/>
          <w:szCs w:val="30"/>
        </w:rPr>
        <w:t>基本工资、津贴补贴、奖金、社会保障缴费、其他工资福利待遇、对个人和家庭的补助等费用。</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501.38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与2023年度相比，减少419.07万元，下降45.5%</w:t>
      </w:r>
      <w:r>
        <w:rPr>
          <w:rFonts w:ascii="方正仿宋_GBK" w:hAnsi="方正仿宋_GBK" w:eastAsia="方正仿宋_GBK" w:cs="方正仿宋_GBK"/>
          <w:sz w:val="32"/>
          <w:szCs w:val="32"/>
          <w:shd w:val="clear" w:color="auto" w:fill="FFFFFF"/>
        </w:rPr>
        <w:t>，主要原因是厉行节约压缩开支。公用经费用途主要包括</w:t>
      </w:r>
      <w:r>
        <w:rPr>
          <w:rFonts w:ascii="方正仿宋_GBK" w:hAnsi="方正仿宋_GBK" w:eastAsia="方正仿宋_GBK" w:cs="方正仿宋_GBK"/>
          <w:color w:val="000000"/>
          <w:kern w:val="2"/>
          <w:sz w:val="30"/>
          <w:szCs w:val="30"/>
        </w:rPr>
        <w:t>办公费、邮电费、差旅费、会议费、培训费、公务接待费、公务车辆运行维护费、其他商品和服务支出等费用。</w:t>
      </w:r>
    </w:p>
    <w:p>
      <w:pPr>
        <w:pStyle w:val="14"/>
        <w:autoSpaceDE w:val="0"/>
        <w:spacing w:line="596" w:lineRule="exact"/>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年度政府性基金预算财政拨款年初结转结余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万元，年末结转结余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万元。本年收入</w:t>
      </w:r>
      <w:r>
        <w:rPr>
          <w:rFonts w:hint="default" w:ascii="Times New Roman" w:hAnsi="Times New Roman" w:eastAsia="方正仿宋_GBK"/>
          <w:b w:val="0"/>
          <w:bCs w:val="0"/>
          <w:sz w:val="32"/>
          <w:szCs w:val="32"/>
          <w:shd w:val="clear" w:color="auto" w:fill="FFFFFF"/>
        </w:rPr>
        <w:t>90.75</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与2023年度相比，减少51.24万元，下降36.1%</w:t>
      </w:r>
      <w:r>
        <w:rPr>
          <w:rFonts w:ascii="方正仿宋_GBK" w:hAnsi="方正仿宋_GBK" w:eastAsia="方正仿宋_GBK" w:cs="方正仿宋_GBK"/>
          <w:b w:val="0"/>
          <w:bCs w:val="0"/>
          <w:sz w:val="32"/>
          <w:szCs w:val="32"/>
          <w:shd w:val="clear" w:color="auto" w:fill="FFFFFF"/>
        </w:rPr>
        <w:t>，主要原因是三峡移民后续、农村道路建设等上级专项经费在本年度减少。本年支出</w:t>
      </w:r>
      <w:r>
        <w:rPr>
          <w:rFonts w:hint="default" w:ascii="Times New Roman" w:hAnsi="Times New Roman" w:eastAsia="方正仿宋_GBK"/>
          <w:b w:val="0"/>
          <w:bCs w:val="0"/>
          <w:sz w:val="32"/>
          <w:szCs w:val="32"/>
          <w:shd w:val="clear" w:color="auto" w:fill="FFFFFF"/>
        </w:rPr>
        <w:t>90.75</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与2023年度相比，减少63.43万元，下降41.1%</w:t>
      </w:r>
      <w:r>
        <w:rPr>
          <w:rFonts w:ascii="方正仿宋_GBK" w:hAnsi="方正仿宋_GBK" w:eastAsia="方正仿宋_GBK" w:cs="方正仿宋_GBK"/>
          <w:b w:val="0"/>
          <w:bCs w:val="0"/>
          <w:sz w:val="32"/>
          <w:szCs w:val="32"/>
          <w:shd w:val="clear" w:color="auto" w:fill="FFFFFF"/>
        </w:rPr>
        <w:t>，主要原因是三峡移民后续、农村道路建设等上级专项经费在本年度减少。</w:t>
      </w:r>
    </w:p>
    <w:p>
      <w:pPr>
        <w:pStyle w:val="14"/>
        <w:autoSpaceDE w:val="0"/>
        <w:spacing w:line="596" w:lineRule="exact"/>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highlight w:val="none"/>
          <w:shd w:val="clear" w:color="auto" w:fill="FFFFFF"/>
        </w:rPr>
        <w:t>本</w:t>
      </w:r>
      <w:r>
        <w:rPr>
          <w:rFonts w:ascii="Times New Roman" w:hAnsi="Times New Roman" w:eastAsia="方正仿宋_GBK"/>
          <w:b w:val="0"/>
          <w:bCs w:val="0"/>
          <w:sz w:val="32"/>
          <w:szCs w:val="32"/>
          <w:highlight w:val="none"/>
          <w:shd w:val="clear" w:color="auto" w:fill="FFFFFF"/>
        </w:rPr>
        <w:t>部门</w:t>
      </w:r>
      <w:r>
        <w:rPr>
          <w:rFonts w:hint="default" w:ascii="Times New Roman" w:hAnsi="Times New Roman" w:eastAsia="方正仿宋_GBK"/>
          <w:b w:val="0"/>
          <w:bCs w:val="0"/>
          <w:sz w:val="32"/>
          <w:szCs w:val="32"/>
          <w:highlight w:val="none"/>
          <w:shd w:val="clear" w:color="auto" w:fill="FFFFFF"/>
        </w:rPr>
        <w:t>2</w:t>
      </w:r>
      <w:r>
        <w:rPr>
          <w:rFonts w:hint="default" w:ascii="Times New Roman" w:hAnsi="Times New Roman" w:eastAsia="方正仿宋_GBK"/>
          <w:b w:val="0"/>
          <w:bCs w:val="0"/>
          <w:sz w:val="32"/>
          <w:szCs w:val="32"/>
          <w:shd w:val="clear" w:color="auto" w:fill="FFFFFF"/>
        </w:rPr>
        <w:t>024年度无国有资本经营预算财政拨款支出。</w:t>
      </w:r>
    </w:p>
    <w:p>
      <w:pPr>
        <w:pStyle w:val="9"/>
        <w:shd w:val="clear" w:color="auto" w:fill="FFFFFF"/>
        <w:spacing w:before="0" w:beforeAutospacing="0" w:after="0" w:afterAutospacing="0" w:line="596" w:lineRule="exact"/>
        <w:ind w:firstLine="640" w:firstLineChars="200"/>
        <w:rPr>
          <w:rStyle w:val="13"/>
          <w:rFonts w:hint="default" w:ascii="黑体" w:hAnsi="黑体" w:eastAsia="黑体" w:cs="黑体"/>
          <w:b w:val="0"/>
          <w:bCs w:val="0"/>
          <w:sz w:val="32"/>
          <w:szCs w:val="32"/>
          <w:shd w:val="clear" w:color="auto" w:fill="FFFFFF"/>
        </w:rPr>
      </w:pPr>
      <w:r>
        <w:rPr>
          <w:rStyle w:val="13"/>
          <w:rFonts w:ascii="黑体" w:hAnsi="黑体" w:eastAsia="黑体" w:cs="黑体"/>
          <w:b w:val="0"/>
          <w:bCs w:val="0"/>
          <w:sz w:val="32"/>
          <w:szCs w:val="32"/>
          <w:shd w:val="clear" w:color="auto" w:fill="FFFFFF"/>
        </w:rPr>
        <w:t>三、财政拨款“三公”经费情况说明</w:t>
      </w:r>
    </w:p>
    <w:p>
      <w:pPr>
        <w:pStyle w:val="14"/>
        <w:autoSpaceDE w:val="0"/>
        <w:spacing w:line="596" w:lineRule="exact"/>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年度“三公”经费支出共计</w:t>
      </w:r>
      <w:r>
        <w:rPr>
          <w:rFonts w:hint="default" w:ascii="Times New Roman" w:hAnsi="Times New Roman" w:eastAsia="方正仿宋_GBK"/>
          <w:b w:val="0"/>
          <w:bCs w:val="0"/>
          <w:sz w:val="32"/>
          <w:szCs w:val="32"/>
          <w:shd w:val="clear" w:color="auto" w:fill="FFFFFF"/>
        </w:rPr>
        <w:t>84.13</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较年初预算数增加71.13万元，增长547.2%</w:t>
      </w:r>
      <w:r>
        <w:rPr>
          <w:rFonts w:ascii="方正仿宋_GBK" w:hAnsi="方正仿宋_GBK" w:eastAsia="方正仿宋_GBK" w:cs="方正仿宋_GBK"/>
          <w:b w:val="0"/>
          <w:bCs w:val="0"/>
          <w:sz w:val="32"/>
          <w:szCs w:val="32"/>
          <w:shd w:val="clear" w:color="auto" w:fill="FFFFFF"/>
        </w:rPr>
        <w:t>，主要原因是本年度</w:t>
      </w:r>
      <w:r>
        <w:rPr>
          <w:rFonts w:ascii="方正仿宋_GBK" w:hAnsi="方正仿宋_GBK" w:eastAsia="方正仿宋_GBK" w:cs="方正仿宋_GBK"/>
          <w:b w:val="0"/>
          <w:bCs w:val="0"/>
          <w:color w:val="000000"/>
          <w:kern w:val="2"/>
          <w:sz w:val="30"/>
          <w:szCs w:val="30"/>
        </w:rPr>
        <w:t>森林防火、信访出差等事项导致公务用车使用增多。</w:t>
      </w:r>
      <w:r>
        <w:rPr>
          <w:rFonts w:hint="default" w:ascii="Times New Roman" w:hAnsi="Times New Roman" w:eastAsia="方正仿宋_GBK"/>
          <w:b w:val="0"/>
          <w:bCs w:val="0"/>
          <w:sz w:val="32"/>
          <w:szCs w:val="32"/>
          <w:shd w:val="clear" w:color="auto" w:fill="FFFFFF"/>
        </w:rPr>
        <w:t>较上年支出数减少4.95万元，下降5.6%</w:t>
      </w:r>
      <w:r>
        <w:rPr>
          <w:rFonts w:ascii="方正仿宋_GBK" w:hAnsi="方正仿宋_GBK" w:eastAsia="方正仿宋_GBK" w:cs="方正仿宋_GBK"/>
          <w:b w:val="0"/>
          <w:bCs w:val="0"/>
          <w:sz w:val="32"/>
          <w:szCs w:val="32"/>
          <w:shd w:val="clear" w:color="auto" w:fill="FFFFFF"/>
        </w:rPr>
        <w:t>，主要原因是厉行节约压缩开支。</w:t>
      </w:r>
    </w:p>
    <w:p>
      <w:pPr>
        <w:pStyle w:val="14"/>
        <w:autoSpaceDE w:val="0"/>
        <w:spacing w:line="596" w:lineRule="exact"/>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highlight w:val="none"/>
        </w:rPr>
      </w:pPr>
      <w:r>
        <w:rPr>
          <w:rFonts w:hint="default" w:ascii="Times New Roman" w:hAnsi="Times New Roman" w:eastAsia="方正仿宋_GBK"/>
          <w:b w:val="0"/>
          <w:bCs w:val="0"/>
          <w:sz w:val="32"/>
          <w:szCs w:val="32"/>
          <w:shd w:val="clear" w:color="auto" w:fill="FFFFFF"/>
        </w:rPr>
        <w:t>202</w:t>
      </w:r>
      <w:r>
        <w:rPr>
          <w:rFonts w:hint="default" w:ascii="Times New Roman" w:hAnsi="Times New Roman" w:eastAsia="方正仿宋_GBK"/>
          <w:b w:val="0"/>
          <w:bCs w:val="0"/>
          <w:sz w:val="32"/>
          <w:szCs w:val="32"/>
          <w:highlight w:val="none"/>
          <w:shd w:val="clear" w:color="auto" w:fill="FFFFFF"/>
        </w:rPr>
        <w:t>4</w:t>
      </w:r>
      <w:r>
        <w:rPr>
          <w:rFonts w:ascii="方正仿宋_GBK" w:hAnsi="方正仿宋_GBK" w:eastAsia="方正仿宋_GBK" w:cs="方正仿宋_GBK"/>
          <w:b w:val="0"/>
          <w:bCs w:val="0"/>
          <w:sz w:val="32"/>
          <w:szCs w:val="32"/>
          <w:highlight w:val="none"/>
          <w:shd w:val="clear" w:color="auto" w:fill="FFFFFF"/>
        </w:rPr>
        <w:t>年度本部门因公出国（境）费用</w:t>
      </w:r>
      <w:r>
        <w:rPr>
          <w:rFonts w:hint="default" w:ascii="Times New Roman" w:hAnsi="Times New Roman" w:eastAsia="方正仿宋_GBK"/>
          <w:b w:val="0"/>
          <w:bCs w:val="0"/>
          <w:sz w:val="32"/>
          <w:szCs w:val="32"/>
          <w:highlight w:val="none"/>
          <w:shd w:val="clear" w:color="auto" w:fill="FFFFFF"/>
        </w:rPr>
        <w:t>0.00</w:t>
      </w:r>
      <w:r>
        <w:rPr>
          <w:rFonts w:ascii="方正仿宋_GBK" w:hAnsi="方正仿宋_GBK" w:eastAsia="方正仿宋_GBK" w:cs="方正仿宋_GBK"/>
          <w:b w:val="0"/>
          <w:bCs w:val="0"/>
          <w:sz w:val="32"/>
          <w:szCs w:val="32"/>
          <w:highlight w:val="none"/>
          <w:shd w:val="clear" w:color="auto" w:fill="FFFFFF"/>
        </w:rPr>
        <w:t>万元，费用支出</w:t>
      </w:r>
      <w:r>
        <w:rPr>
          <w:rFonts w:hint="default" w:ascii="Times New Roman" w:hAnsi="Times New Roman" w:eastAsia="方正仿宋_GBK"/>
          <w:b w:val="0"/>
          <w:bCs w:val="0"/>
          <w:sz w:val="32"/>
          <w:szCs w:val="32"/>
          <w:highlight w:val="none"/>
          <w:shd w:val="clear" w:color="auto" w:fill="FFFFFF"/>
        </w:rPr>
        <w:t>较年初预算数无增减</w:t>
      </w:r>
      <w:r>
        <w:rPr>
          <w:rFonts w:ascii="Times New Roman" w:hAnsi="Times New Roman" w:eastAsia="方正仿宋_GBK"/>
          <w:b w:val="0"/>
          <w:bCs w:val="0"/>
          <w:sz w:val="32"/>
          <w:szCs w:val="32"/>
          <w:highlight w:val="none"/>
          <w:shd w:val="clear" w:color="auto" w:fill="FFFFFF"/>
        </w:rPr>
        <w:t>，</w:t>
      </w:r>
      <w:bookmarkStart w:id="0" w:name="_Hlk208907622"/>
      <w:r>
        <w:rPr>
          <w:rFonts w:ascii="Times New Roman" w:hAnsi="Times New Roman" w:eastAsia="方正仿宋_GBK"/>
          <w:b w:val="0"/>
          <w:bCs w:val="0"/>
          <w:sz w:val="32"/>
          <w:szCs w:val="32"/>
          <w:highlight w:val="none"/>
          <w:shd w:val="clear" w:color="auto" w:fill="FFFFFF"/>
        </w:rPr>
        <w:t>与上年决算数持平</w:t>
      </w:r>
      <w:bookmarkEnd w:id="0"/>
      <w:r>
        <w:rPr>
          <w:rFonts w:ascii="Times New Roman" w:hAnsi="Times New Roman" w:eastAsia="方正仿宋_GBK"/>
          <w:b w:val="0"/>
          <w:bCs w:val="0"/>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highlight w:val="none"/>
        </w:rPr>
      </w:pPr>
      <w:r>
        <w:rPr>
          <w:rFonts w:ascii="方正仿宋_GBK" w:hAnsi="方正仿宋_GBK" w:eastAsia="方正仿宋_GBK" w:cs="方正仿宋_GBK"/>
          <w:b w:val="0"/>
          <w:bCs w:val="0"/>
          <w:sz w:val="32"/>
          <w:szCs w:val="32"/>
          <w:highlight w:val="none"/>
          <w:shd w:val="clear" w:color="auto" w:fill="FFFFFF"/>
        </w:rPr>
        <w:t>公务用车购置费</w:t>
      </w:r>
      <w:r>
        <w:rPr>
          <w:rFonts w:hint="default" w:ascii="Times New Roman" w:hAnsi="Times New Roman" w:eastAsia="方正仿宋_GBK"/>
          <w:b w:val="0"/>
          <w:bCs w:val="0"/>
          <w:sz w:val="32"/>
          <w:szCs w:val="32"/>
          <w:highlight w:val="none"/>
          <w:shd w:val="clear" w:color="auto" w:fill="FFFFFF"/>
        </w:rPr>
        <w:t>0.00</w:t>
      </w:r>
      <w:r>
        <w:rPr>
          <w:rFonts w:ascii="方正仿宋_GBK" w:hAnsi="方正仿宋_GBK" w:eastAsia="方正仿宋_GBK" w:cs="方正仿宋_GBK"/>
          <w:b w:val="0"/>
          <w:bCs w:val="0"/>
          <w:sz w:val="32"/>
          <w:szCs w:val="32"/>
          <w:highlight w:val="none"/>
          <w:shd w:val="clear" w:color="auto" w:fill="FFFFFF"/>
        </w:rPr>
        <w:t>万元，费用支出</w:t>
      </w:r>
      <w:r>
        <w:rPr>
          <w:rFonts w:hint="default" w:ascii="Times New Roman" w:hAnsi="Times New Roman" w:eastAsia="方正仿宋_GBK"/>
          <w:b w:val="0"/>
          <w:bCs w:val="0"/>
          <w:sz w:val="32"/>
          <w:szCs w:val="32"/>
          <w:highlight w:val="none"/>
          <w:shd w:val="clear" w:color="auto" w:fill="FFFFFF"/>
        </w:rPr>
        <w:t>较年初预算数无增减</w:t>
      </w:r>
      <w:r>
        <w:rPr>
          <w:rFonts w:ascii="方正仿宋_GBK" w:hAnsi="方正仿宋_GBK" w:eastAsia="方正仿宋_GBK" w:cs="方正仿宋_GBK"/>
          <w:b w:val="0"/>
          <w:bCs w:val="0"/>
          <w:sz w:val="32"/>
          <w:szCs w:val="32"/>
          <w:highlight w:val="none"/>
          <w:shd w:val="clear" w:color="auto" w:fill="FFFFFF"/>
        </w:rPr>
        <w:t>，</w:t>
      </w:r>
      <w:r>
        <w:rPr>
          <w:rFonts w:ascii="Times New Roman" w:hAnsi="Times New Roman" w:eastAsia="方正仿宋_GBK"/>
          <w:b w:val="0"/>
          <w:bCs w:val="0"/>
          <w:sz w:val="32"/>
          <w:szCs w:val="32"/>
          <w:highlight w:val="none"/>
          <w:shd w:val="clear" w:color="auto" w:fill="FFFFFF"/>
        </w:rPr>
        <w:t>与上年决算数持平。</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公务用车运行维护费</w:t>
      </w:r>
      <w:r>
        <w:rPr>
          <w:rFonts w:hint="default" w:ascii="Times New Roman" w:hAnsi="Times New Roman" w:eastAsia="方正仿宋_GBK"/>
          <w:b w:val="0"/>
          <w:bCs w:val="0"/>
          <w:sz w:val="32"/>
          <w:szCs w:val="32"/>
          <w:shd w:val="clear" w:color="auto" w:fill="FFFFFF"/>
        </w:rPr>
        <w:t>68.42</w:t>
      </w:r>
      <w:r>
        <w:rPr>
          <w:rFonts w:ascii="方正仿宋_GBK" w:hAnsi="方正仿宋_GBK" w:eastAsia="方正仿宋_GBK" w:cs="方正仿宋_GBK"/>
          <w:b w:val="0"/>
          <w:bCs w:val="0"/>
          <w:sz w:val="32"/>
          <w:szCs w:val="32"/>
          <w:shd w:val="clear" w:color="auto" w:fill="FFFFFF"/>
        </w:rPr>
        <w:t>万元，主要用于</w:t>
      </w:r>
      <w:r>
        <w:rPr>
          <w:rFonts w:ascii="方正仿宋_GBK" w:hAnsi="方正仿宋_GBK" w:eastAsia="方正仿宋_GBK" w:cs="方正仿宋_GBK"/>
          <w:b w:val="0"/>
          <w:bCs w:val="0"/>
          <w:color w:val="000000"/>
          <w:kern w:val="2"/>
          <w:sz w:val="30"/>
          <w:szCs w:val="30"/>
        </w:rPr>
        <w:t>因公出行、项目检查等工作所需车辆的燃料费、维修费、过桥过路费、保险费等。</w:t>
      </w:r>
      <w:r>
        <w:rPr>
          <w:rFonts w:ascii="方正仿宋_GBK" w:hAnsi="方正仿宋_GBK"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较年初预算数增加60.42万元，增长755.3%</w:t>
      </w:r>
      <w:r>
        <w:rPr>
          <w:rFonts w:ascii="方正仿宋_GBK" w:hAnsi="方正仿宋_GBK" w:eastAsia="方正仿宋_GBK" w:cs="方正仿宋_GBK"/>
          <w:b w:val="0"/>
          <w:bCs w:val="0"/>
          <w:sz w:val="32"/>
          <w:szCs w:val="32"/>
          <w:shd w:val="clear" w:color="auto" w:fill="FFFFFF"/>
        </w:rPr>
        <w:t>，主要原因是</w:t>
      </w:r>
      <w:r>
        <w:rPr>
          <w:rFonts w:ascii="方正仿宋_GBK" w:hAnsi="方正仿宋_GBK" w:eastAsia="方正仿宋_GBK" w:cs="方正仿宋_GBK"/>
          <w:b w:val="0"/>
          <w:bCs w:val="0"/>
          <w:color w:val="000000"/>
          <w:kern w:val="2"/>
          <w:sz w:val="30"/>
          <w:szCs w:val="30"/>
        </w:rPr>
        <w:t>森林防火、信访出差等事项导致公务用车使用增多。</w:t>
      </w:r>
      <w:r>
        <w:rPr>
          <w:rFonts w:hint="default" w:ascii="Times New Roman" w:hAnsi="Times New Roman" w:eastAsia="方正仿宋_GBK"/>
          <w:b w:val="0"/>
          <w:bCs w:val="0"/>
          <w:sz w:val="32"/>
          <w:szCs w:val="32"/>
          <w:shd w:val="clear" w:color="auto" w:fill="FFFFFF"/>
        </w:rPr>
        <w:t>较上年支出数减少4.36万元，下降6.0%</w:t>
      </w:r>
      <w:r>
        <w:rPr>
          <w:rFonts w:ascii="方正仿宋_GBK" w:hAnsi="方正仿宋_GBK" w:eastAsia="方正仿宋_GBK" w:cs="方正仿宋_GBK"/>
          <w:b w:val="0"/>
          <w:bCs w:val="0"/>
          <w:sz w:val="32"/>
          <w:szCs w:val="32"/>
          <w:shd w:val="clear" w:color="auto" w:fill="FFFFFF"/>
        </w:rPr>
        <w:t>，主要原因是厉行节约压缩开支。</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hint="default" w:ascii="Times New Roman" w:hAnsi="Times New Roman" w:eastAsia="方正仿宋_GBK"/>
          <w:b w:val="0"/>
          <w:bCs w:val="0"/>
          <w:sz w:val="32"/>
          <w:szCs w:val="32"/>
          <w:shd w:val="clear" w:color="auto" w:fill="FFFFFF"/>
        </w:rPr>
        <w:t>15.71</w:t>
      </w:r>
      <w:r>
        <w:rPr>
          <w:rFonts w:ascii="方正仿宋_GBK" w:hAnsi="方正仿宋_GBK" w:eastAsia="方正仿宋_GBK" w:cs="方正仿宋_GBK"/>
          <w:b w:val="0"/>
          <w:bCs w:val="0"/>
          <w:sz w:val="32"/>
          <w:szCs w:val="32"/>
          <w:shd w:val="clear" w:color="auto" w:fill="FFFFFF"/>
        </w:rPr>
        <w:t>万元，主要用于接待</w:t>
      </w:r>
      <w:r>
        <w:rPr>
          <w:rFonts w:ascii="方正仿宋_GBK" w:hAnsi="方正仿宋_GBK" w:eastAsia="方正仿宋_GBK" w:cs="方正仿宋_GBK"/>
          <w:b w:val="0"/>
          <w:bCs w:val="0"/>
          <w:color w:val="000000"/>
          <w:kern w:val="2"/>
          <w:sz w:val="30"/>
          <w:szCs w:val="30"/>
        </w:rPr>
        <w:t>招商引资工作、接受相关部门指导工作发生的接待支出。</w:t>
      </w:r>
      <w:r>
        <w:rPr>
          <w:rFonts w:ascii="方正仿宋_GBK" w:hAnsi="方正仿宋_GBK"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较年初预算数增加10.71万元，增长214.2%</w:t>
      </w:r>
      <w:r>
        <w:rPr>
          <w:rFonts w:ascii="方正仿宋_GBK" w:hAnsi="方正仿宋_GBK" w:eastAsia="方正仿宋_GBK" w:cs="方正仿宋_GBK"/>
          <w:b w:val="0"/>
          <w:bCs w:val="0"/>
          <w:sz w:val="32"/>
          <w:szCs w:val="32"/>
          <w:shd w:val="clear" w:color="auto" w:fill="FFFFFF"/>
        </w:rPr>
        <w:t>，主要原因是本年度接待调研次数、</w:t>
      </w:r>
      <w:r>
        <w:rPr>
          <w:rFonts w:ascii="方正仿宋_GBK" w:hAnsi="方正仿宋_GBK" w:eastAsia="方正仿宋_GBK" w:cs="方正仿宋_GBK"/>
          <w:b w:val="0"/>
          <w:bCs w:val="0"/>
          <w:color w:val="000000"/>
          <w:kern w:val="2"/>
          <w:sz w:val="30"/>
          <w:szCs w:val="30"/>
        </w:rPr>
        <w:t>接受相关部门指导工作次数较年初预算增加。</w:t>
      </w:r>
      <w:r>
        <w:rPr>
          <w:rFonts w:hint="default" w:ascii="Times New Roman" w:hAnsi="Times New Roman" w:eastAsia="方正仿宋_GBK"/>
          <w:b w:val="0"/>
          <w:bCs w:val="0"/>
          <w:sz w:val="32"/>
          <w:szCs w:val="32"/>
          <w:shd w:val="clear" w:color="auto" w:fill="FFFFFF"/>
        </w:rPr>
        <w:t>较上年支出数减少0.59万元，下降3.6%</w:t>
      </w:r>
      <w:r>
        <w:rPr>
          <w:rFonts w:ascii="方正仿宋_GBK" w:hAnsi="方正仿宋_GBK" w:eastAsia="方正仿宋_GBK" w:cs="方正仿宋_GBK"/>
          <w:b w:val="0"/>
          <w:bCs w:val="0"/>
          <w:sz w:val="32"/>
          <w:szCs w:val="32"/>
          <w:shd w:val="clear" w:color="auto" w:fill="FFFFFF"/>
        </w:rPr>
        <w:t>，主要原因是厉行节约压缩开支。</w:t>
      </w:r>
    </w:p>
    <w:p>
      <w:pPr>
        <w:pStyle w:val="14"/>
        <w:autoSpaceDE w:val="0"/>
        <w:spacing w:line="596" w:lineRule="exact"/>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w:t>
      </w:r>
      <w:r>
        <w:rPr>
          <w:rFonts w:ascii="方正仿宋_GBK" w:hAnsi="方正仿宋_GBK" w:eastAsia="方正仿宋_GBK" w:cs="方正仿宋_GBK"/>
          <w:b w:val="0"/>
          <w:bCs w:val="0"/>
          <w:sz w:val="32"/>
          <w:szCs w:val="32"/>
          <w:highlight w:val="none"/>
          <w:shd w:val="clear" w:color="auto" w:fill="FFFFFF"/>
        </w:rPr>
        <w:t>本部门因公出国（境）共计</w:t>
      </w:r>
      <w:r>
        <w:rPr>
          <w:rFonts w:hint="default" w:ascii="Times New Roman" w:hAnsi="Times New Roman" w:eastAsia="方正仿宋_GBK"/>
          <w:b w:val="0"/>
          <w:bCs w:val="0"/>
          <w:sz w:val="32"/>
          <w:szCs w:val="32"/>
          <w:highlight w:val="none"/>
          <w:shd w:val="clear" w:color="auto" w:fill="FFFFFF"/>
        </w:rPr>
        <w:t>0</w:t>
      </w:r>
      <w:r>
        <w:rPr>
          <w:rFonts w:ascii="方正仿宋_GBK" w:hAnsi="方正仿宋_GBK" w:eastAsia="方正仿宋_GBK" w:cs="方正仿宋_GBK"/>
          <w:b w:val="0"/>
          <w:bCs w:val="0"/>
          <w:sz w:val="32"/>
          <w:szCs w:val="32"/>
          <w:highlight w:val="none"/>
          <w:shd w:val="clear" w:color="auto" w:fill="FFFFFF"/>
        </w:rPr>
        <w:t>个团组，</w:t>
      </w:r>
      <w:r>
        <w:rPr>
          <w:rFonts w:hint="default" w:ascii="Times New Roman" w:hAnsi="Times New Roman" w:eastAsia="方正仿宋_GBK"/>
          <w:b w:val="0"/>
          <w:bCs w:val="0"/>
          <w:sz w:val="32"/>
          <w:szCs w:val="32"/>
          <w:highlight w:val="none"/>
          <w:shd w:val="clear" w:color="auto" w:fill="FFFFFF"/>
        </w:rPr>
        <w:t>0</w:t>
      </w:r>
      <w:r>
        <w:rPr>
          <w:rFonts w:ascii="方正仿宋_GBK" w:hAnsi="方正仿宋_GBK" w:eastAsia="方正仿宋_GBK" w:cs="方正仿宋_GBK"/>
          <w:b w:val="0"/>
          <w:bCs w:val="0"/>
          <w:sz w:val="32"/>
          <w:szCs w:val="32"/>
          <w:highlight w:val="none"/>
          <w:shd w:val="clear" w:color="auto" w:fill="FFFFFF"/>
        </w:rPr>
        <w:t>人；公务用车购置</w:t>
      </w:r>
      <w:r>
        <w:rPr>
          <w:rFonts w:hint="default" w:ascii="Times New Roman" w:hAnsi="Times New Roman" w:eastAsia="方正仿宋_GBK"/>
          <w:b w:val="0"/>
          <w:bCs w:val="0"/>
          <w:sz w:val="32"/>
          <w:szCs w:val="32"/>
          <w:highlight w:val="none"/>
          <w:shd w:val="clear" w:color="auto" w:fill="FFFFFF"/>
        </w:rPr>
        <w:t>0</w:t>
      </w:r>
      <w:r>
        <w:rPr>
          <w:rFonts w:ascii="方正仿宋_GBK" w:hAnsi="方正仿宋_GBK" w:eastAsia="方正仿宋_GBK" w:cs="方正仿宋_GBK"/>
          <w:b w:val="0"/>
          <w:bCs w:val="0"/>
          <w:sz w:val="32"/>
          <w:szCs w:val="32"/>
          <w:highlight w:val="none"/>
          <w:shd w:val="clear" w:color="auto" w:fill="FFFFFF"/>
        </w:rPr>
        <w:t>辆，公</w:t>
      </w:r>
      <w:r>
        <w:rPr>
          <w:rFonts w:ascii="方正仿宋_GBK" w:hAnsi="方正仿宋_GBK" w:eastAsia="方正仿宋_GBK" w:cs="方正仿宋_GBK"/>
          <w:b w:val="0"/>
          <w:bCs w:val="0"/>
          <w:sz w:val="32"/>
          <w:szCs w:val="32"/>
          <w:shd w:val="clear" w:color="auto" w:fill="FFFFFF"/>
        </w:rPr>
        <w:t>务车保有量为</w:t>
      </w:r>
      <w:r>
        <w:rPr>
          <w:rFonts w:hint="default" w:ascii="Times New Roman" w:hAnsi="Times New Roman" w:eastAsia="方正仿宋_GBK"/>
          <w:b w:val="0"/>
          <w:bCs w:val="0"/>
          <w:sz w:val="32"/>
          <w:szCs w:val="32"/>
          <w:shd w:val="clear" w:color="auto" w:fill="FFFFFF"/>
        </w:rPr>
        <w:t>14</w:t>
      </w:r>
      <w:r>
        <w:rPr>
          <w:rFonts w:ascii="方正仿宋_GBK" w:hAnsi="方正仿宋_GBK" w:eastAsia="方正仿宋_GBK" w:cs="方正仿宋_GBK"/>
          <w:b w:val="0"/>
          <w:bCs w:val="0"/>
          <w:sz w:val="32"/>
          <w:szCs w:val="32"/>
          <w:shd w:val="clear" w:color="auto" w:fill="FFFFFF"/>
        </w:rPr>
        <w:t>辆；国内公务接待</w:t>
      </w:r>
      <w:r>
        <w:rPr>
          <w:rFonts w:hint="default" w:ascii="Times New Roman" w:hAnsi="Times New Roman" w:eastAsia="方正仿宋_GBK"/>
          <w:b w:val="0"/>
          <w:bCs w:val="0"/>
          <w:sz w:val="32"/>
          <w:szCs w:val="32"/>
          <w:shd w:val="clear" w:color="auto" w:fill="FFFFFF"/>
        </w:rPr>
        <w:t>245</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2450</w:t>
      </w:r>
      <w:r>
        <w:rPr>
          <w:rFonts w:ascii="方正仿宋_GBK" w:hAnsi="方正仿宋_GBK" w:eastAsia="方正仿宋_GBK" w:cs="方正仿宋_GBK"/>
          <w:b w:val="0"/>
          <w:bCs w:val="0"/>
          <w:sz w:val="32"/>
          <w:szCs w:val="32"/>
          <w:shd w:val="clear" w:color="auto" w:fill="FFFFFF"/>
        </w:rPr>
        <w:t>人，其中：国内外事接待</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人；国（境）外公务接待</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年本单位人均接待费</w:t>
      </w:r>
      <w:r>
        <w:rPr>
          <w:rFonts w:hint="default" w:ascii="Times New Roman" w:hAnsi="Times New Roman" w:eastAsia="方正仿宋_GBK"/>
          <w:b w:val="0"/>
          <w:bCs w:val="0"/>
          <w:sz w:val="32"/>
          <w:szCs w:val="32"/>
          <w:shd w:val="clear" w:color="auto" w:fill="FFFFFF"/>
        </w:rPr>
        <w:t>64.11</w:t>
      </w:r>
      <w:r>
        <w:rPr>
          <w:rFonts w:ascii="方正仿宋_GBK" w:hAnsi="方正仿宋_GBK" w:eastAsia="方正仿宋_GBK" w:cs="方正仿宋_GBK"/>
          <w:b w:val="0"/>
          <w:bCs w:val="0"/>
          <w:sz w:val="32"/>
          <w:szCs w:val="32"/>
          <w:shd w:val="clear" w:color="auto" w:fill="FFFFFF"/>
        </w:rPr>
        <w:t>元，车均购置费</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万元，车均维护费</w:t>
      </w:r>
      <w:r>
        <w:rPr>
          <w:rFonts w:hint="default" w:ascii="Times New Roman" w:hAnsi="Times New Roman" w:eastAsia="方正仿宋_GBK"/>
          <w:b w:val="0"/>
          <w:bCs w:val="0"/>
          <w:sz w:val="32"/>
          <w:szCs w:val="32"/>
          <w:shd w:val="clear" w:color="auto" w:fill="FFFFFF"/>
        </w:rPr>
        <w:t>4.89</w:t>
      </w:r>
      <w:r>
        <w:rPr>
          <w:rFonts w:ascii="方正仿宋_GBK" w:hAnsi="方正仿宋_GBK" w:eastAsia="方正仿宋_GBK" w:cs="方正仿宋_GBK"/>
          <w:b w:val="0"/>
          <w:bCs w:val="0"/>
          <w:sz w:val="32"/>
          <w:szCs w:val="32"/>
          <w:shd w:val="clear" w:color="auto" w:fill="FFFFFF"/>
        </w:rPr>
        <w:t>万元。</w:t>
      </w:r>
    </w:p>
    <w:p>
      <w:pPr>
        <w:pStyle w:val="9"/>
        <w:shd w:val="clear" w:color="auto" w:fill="FFFFFF"/>
        <w:spacing w:before="0" w:beforeAutospacing="0" w:after="0" w:afterAutospacing="0" w:line="596" w:lineRule="exact"/>
        <w:ind w:firstLine="640" w:firstLineChars="200"/>
        <w:rPr>
          <w:rStyle w:val="13"/>
          <w:rFonts w:hint="default" w:ascii="黑体" w:hAnsi="黑体" w:eastAsia="黑体" w:cs="黑体"/>
          <w:b w:val="0"/>
          <w:bCs w:val="0"/>
          <w:sz w:val="32"/>
          <w:szCs w:val="32"/>
          <w:shd w:val="clear" w:color="auto" w:fill="FFFFFF"/>
        </w:rPr>
      </w:pPr>
      <w:r>
        <w:rPr>
          <w:rStyle w:val="13"/>
          <w:rFonts w:ascii="黑体" w:hAnsi="黑体" w:eastAsia="黑体" w:cs="黑体"/>
          <w:b w:val="0"/>
          <w:bCs w:val="0"/>
          <w:sz w:val="32"/>
          <w:szCs w:val="32"/>
          <w:shd w:val="clear" w:color="auto" w:fill="FFFFFF"/>
        </w:rPr>
        <w:t>四、其他需要说明的事项</w:t>
      </w:r>
    </w:p>
    <w:p>
      <w:pPr>
        <w:pStyle w:val="9"/>
        <w:shd w:val="clear" w:color="auto" w:fill="FFFFFF"/>
        <w:spacing w:before="0" w:beforeAutospacing="0" w:after="0" w:afterAutospacing="0" w:line="596" w:lineRule="exact"/>
        <w:ind w:firstLine="640" w:firstLineChars="200"/>
        <w:jc w:val="both"/>
        <w:rPr>
          <w:rFonts w:hint="default" w:ascii="楷体" w:hAnsi="楷体" w:eastAsia="楷体" w:cs="楷体"/>
          <w:b w:val="0"/>
          <w:bCs w:val="0"/>
          <w:sz w:val="32"/>
          <w:szCs w:val="32"/>
          <w:shd w:val="clear" w:color="auto" w:fill="FFFFFF"/>
        </w:rPr>
      </w:pPr>
      <w:r>
        <w:rPr>
          <w:rFonts w:ascii="楷体" w:hAnsi="楷体" w:eastAsia="楷体" w:cs="楷体"/>
          <w:b w:val="0"/>
          <w:bCs w:val="0"/>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FF000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hint="default" w:ascii="Times New Roman" w:hAnsi="Times New Roman" w:eastAsia="方正仿宋_GBK"/>
          <w:b w:val="0"/>
          <w:bCs w:val="0"/>
          <w:sz w:val="32"/>
          <w:szCs w:val="32"/>
          <w:shd w:val="clear" w:color="auto" w:fill="FFFFFF"/>
        </w:rPr>
        <w:t>0.34</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与2023年度相比，减少2.14万元，下降86.3%</w:t>
      </w:r>
      <w:r>
        <w:rPr>
          <w:rFonts w:ascii="方正仿宋_GBK" w:hAnsi="方正仿宋_GBK" w:eastAsia="方正仿宋_GBK" w:cs="方正仿宋_GBK"/>
          <w:b w:val="0"/>
          <w:bCs w:val="0"/>
          <w:sz w:val="32"/>
          <w:szCs w:val="32"/>
          <w:shd w:val="clear" w:color="auto" w:fill="FFFFFF"/>
        </w:rPr>
        <w:t>，主要原因是</w:t>
      </w:r>
      <w:r>
        <w:rPr>
          <w:rFonts w:ascii="方正仿宋_GBK" w:hAnsi="方正仿宋_GBK" w:eastAsia="方正仿宋_GBK" w:cs="方正仿宋_GBK"/>
          <w:b w:val="0"/>
          <w:bCs w:val="0"/>
          <w:color w:val="000000"/>
          <w:kern w:val="2"/>
          <w:sz w:val="30"/>
          <w:szCs w:val="30"/>
        </w:rPr>
        <w:t>本年度会议次数较上年度减少。</w:t>
      </w:r>
      <w:r>
        <w:rPr>
          <w:rFonts w:ascii="方正仿宋_GBK" w:hAnsi="方正仿宋_GBK" w:eastAsia="方正仿宋_GBK" w:cs="方正仿宋_GBK"/>
          <w:b w:val="0"/>
          <w:bCs w:val="0"/>
          <w:sz w:val="32"/>
          <w:szCs w:val="32"/>
          <w:shd w:val="clear" w:color="auto" w:fill="FFFFFF"/>
        </w:rPr>
        <w:t>本年度培训费支出</w:t>
      </w:r>
      <w:r>
        <w:rPr>
          <w:rFonts w:hint="default" w:ascii="Times New Roman" w:hAnsi="Times New Roman" w:eastAsia="方正仿宋_GBK"/>
          <w:b w:val="0"/>
          <w:bCs w:val="0"/>
          <w:sz w:val="32"/>
          <w:szCs w:val="32"/>
          <w:shd w:val="clear" w:color="auto" w:fill="FFFFFF"/>
        </w:rPr>
        <w:t>4.87</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与2023年度相比，减少0.08万元，下降1.6%</w:t>
      </w:r>
      <w:r>
        <w:rPr>
          <w:rFonts w:ascii="方正仿宋_GBK" w:hAnsi="方正仿宋_GBK" w:eastAsia="方正仿宋_GBK" w:cs="方正仿宋_GBK"/>
          <w:b w:val="0"/>
          <w:bCs w:val="0"/>
          <w:sz w:val="32"/>
          <w:szCs w:val="32"/>
          <w:shd w:val="clear" w:color="auto" w:fill="FFFFFF"/>
        </w:rPr>
        <w:t>，主要原因是</w:t>
      </w:r>
      <w:r>
        <w:rPr>
          <w:rFonts w:ascii="方正仿宋_GBK" w:hAnsi="方正仿宋_GBK" w:eastAsia="方正仿宋_GBK" w:cs="方正仿宋_GBK"/>
          <w:b w:val="0"/>
          <w:bCs w:val="0"/>
          <w:color w:val="000000"/>
          <w:kern w:val="2"/>
          <w:sz w:val="30"/>
          <w:szCs w:val="30"/>
        </w:rPr>
        <w:t>本年度培训次数减少。</w:t>
      </w:r>
      <w:r>
        <w:rPr>
          <w:rFonts w:ascii="方正仿宋_GBK" w:hAnsi="方正仿宋_GBK" w:eastAsia="方正仿宋_GBK" w:cs="方正仿宋_GBK"/>
          <w:b w:val="0"/>
          <w:bCs w:val="0"/>
          <w:sz w:val="32"/>
          <w:szCs w:val="32"/>
          <w:shd w:val="clear" w:color="auto" w:fill="FFFFFF"/>
        </w:rPr>
        <w:t>本年度差旅费支出</w:t>
      </w:r>
      <w:r>
        <w:rPr>
          <w:rFonts w:hint="default" w:ascii="Times New Roman" w:hAnsi="Times New Roman" w:eastAsia="方正仿宋_GBK"/>
          <w:b w:val="0"/>
          <w:bCs w:val="0"/>
          <w:sz w:val="32"/>
          <w:szCs w:val="32"/>
          <w:shd w:val="clear" w:color="auto" w:fill="FFFFFF"/>
        </w:rPr>
        <w:t>52.49</w:t>
      </w:r>
      <w:r>
        <w:rPr>
          <w:rFonts w:ascii="方正仿宋_GBK" w:hAnsi="方正仿宋_GBK" w:eastAsia="方正仿宋_GBK" w:cs="方正仿宋_GBK"/>
          <w:b w:val="0"/>
          <w:bCs w:val="0"/>
          <w:sz w:val="32"/>
          <w:szCs w:val="32"/>
        </w:rPr>
        <w:t>万元，</w:t>
      </w:r>
      <w:r>
        <w:rPr>
          <w:rFonts w:hint="default" w:ascii="Times New Roman" w:hAnsi="Times New Roman" w:eastAsia="方正仿宋_GBK"/>
          <w:b w:val="0"/>
          <w:bCs w:val="0"/>
          <w:sz w:val="32"/>
          <w:szCs w:val="32"/>
          <w:shd w:val="clear" w:color="auto" w:fill="FFFFFF"/>
        </w:rPr>
        <w:t>与2023年度相比，减少107.05万元，下降67.1%</w:t>
      </w:r>
      <w:r>
        <w:rPr>
          <w:rFonts w:ascii="方正仿宋_GBK" w:hAnsi="方正仿宋_GBK" w:eastAsia="方正仿宋_GBK" w:cs="方正仿宋_GBK"/>
          <w:b w:val="0"/>
          <w:bCs w:val="0"/>
          <w:sz w:val="32"/>
          <w:szCs w:val="32"/>
          <w:shd w:val="clear" w:color="auto" w:fill="FFFFFF"/>
        </w:rPr>
        <w:t>，主要原因是厉行节约压缩开支。</w:t>
      </w:r>
    </w:p>
    <w:p>
      <w:pPr>
        <w:pStyle w:val="14"/>
        <w:autoSpaceDE w:val="0"/>
        <w:spacing w:line="596" w:lineRule="exact"/>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highlight w:val="none"/>
          <w:shd w:val="clear" w:color="auto" w:fill="FFFFFF"/>
        </w:rPr>
        <w:t>年度本部门机关运行经费支出</w:t>
      </w:r>
      <w:r>
        <w:rPr>
          <w:rFonts w:hint="default" w:ascii="Times New Roman" w:hAnsi="Times New Roman" w:eastAsia="方正仿宋_GBK"/>
          <w:b w:val="0"/>
          <w:bCs w:val="0"/>
          <w:sz w:val="32"/>
          <w:szCs w:val="32"/>
          <w:highlight w:val="none"/>
          <w:shd w:val="clear" w:color="auto" w:fill="FFFFFF"/>
        </w:rPr>
        <w:t>176.66</w:t>
      </w:r>
      <w:r>
        <w:rPr>
          <w:rFonts w:ascii="方正仿宋_GBK" w:hAnsi="方正仿宋_GBK" w:eastAsia="方正仿宋_GBK" w:cs="方正仿宋_GBK"/>
          <w:b w:val="0"/>
          <w:bCs w:val="0"/>
          <w:sz w:val="32"/>
          <w:szCs w:val="32"/>
          <w:highlight w:val="none"/>
          <w:shd w:val="clear" w:color="auto" w:fill="FFFFFF"/>
        </w:rPr>
        <w:t>万元，机关运行经费主要用于开支</w:t>
      </w:r>
      <w:r>
        <w:rPr>
          <w:rFonts w:ascii="方正仿宋_GBK" w:hAnsi="方正仿宋_GBK" w:eastAsia="方正仿宋_GBK" w:cs="方正仿宋_GBK"/>
          <w:b w:val="0"/>
          <w:bCs w:val="0"/>
          <w:color w:val="000000"/>
          <w:kern w:val="2"/>
          <w:sz w:val="30"/>
          <w:szCs w:val="30"/>
        </w:rPr>
        <w:t>办公费、印刷费、手续费、日常维护费、水电费、物管费、邮电费、差旅费、租赁费、公务用车运行维护费等。</w:t>
      </w:r>
      <w:r>
        <w:rPr>
          <w:rFonts w:ascii="方正仿宋_GBK" w:hAnsi="方正仿宋_GBK" w:eastAsia="方正仿宋_GBK" w:cs="方正仿宋_GBK"/>
          <w:b w:val="0"/>
          <w:bCs w:val="0"/>
          <w:sz w:val="32"/>
          <w:szCs w:val="32"/>
          <w:shd w:val="clear" w:color="auto" w:fill="FFFFFF"/>
        </w:rPr>
        <w:t>机关运行经费</w:t>
      </w:r>
      <w:r>
        <w:rPr>
          <w:rFonts w:hint="default" w:ascii="Times New Roman" w:hAnsi="Times New Roman" w:eastAsia="方正仿宋_GBK"/>
          <w:b w:val="0"/>
          <w:bCs w:val="0"/>
          <w:sz w:val="32"/>
          <w:szCs w:val="32"/>
          <w:shd w:val="clear" w:color="auto" w:fill="FFFFFF"/>
        </w:rPr>
        <w:t>较上年支出数增加24.19万元，增长15.9%</w:t>
      </w:r>
      <w:r>
        <w:rPr>
          <w:rFonts w:ascii="方正仿宋_GBK" w:hAnsi="方正仿宋_GBK" w:eastAsia="方正仿宋_GBK" w:cs="方正仿宋_GBK"/>
          <w:b w:val="0"/>
          <w:bCs w:val="0"/>
          <w:sz w:val="32"/>
          <w:szCs w:val="32"/>
          <w:shd w:val="clear" w:color="auto" w:fill="FFFFFF"/>
        </w:rPr>
        <w:t>，主要原因是本年度支付了部分上年度为支付的事项。</w:t>
      </w:r>
    </w:p>
    <w:p>
      <w:pPr>
        <w:pStyle w:val="14"/>
        <w:autoSpaceDE w:val="0"/>
        <w:spacing w:line="596" w:lineRule="exact"/>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FF0000"/>
          <w:sz w:val="32"/>
          <w:szCs w:val="32"/>
          <w:highlight w:val="none"/>
        </w:rPr>
      </w:pPr>
      <w:r>
        <w:rPr>
          <w:rFonts w:ascii="方正仿宋_GBK" w:hAnsi="方正仿宋_GBK" w:eastAsia="方正仿宋_GBK" w:cs="方正仿宋_GBK"/>
          <w:b w:val="0"/>
          <w:bCs w:val="0"/>
          <w:sz w:val="32"/>
          <w:szCs w:val="32"/>
          <w:shd w:val="clear" w:color="auto" w:fill="FFFFFF"/>
        </w:rPr>
        <w:t>截至</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w:t>
      </w:r>
      <w:r>
        <w:rPr>
          <w:rFonts w:hint="default" w:ascii="Times New Roman" w:hAnsi="Times New Roman" w:eastAsia="方正仿宋_GBK"/>
          <w:b w:val="0"/>
          <w:bCs w:val="0"/>
          <w:sz w:val="32"/>
          <w:szCs w:val="32"/>
          <w:shd w:val="clear" w:color="auto" w:fill="FFFFFF"/>
        </w:rPr>
        <w:t>12</w:t>
      </w:r>
      <w:r>
        <w:rPr>
          <w:rFonts w:ascii="方正仿宋_GBK" w:hAnsi="方正仿宋_GBK" w:eastAsia="方正仿宋_GBK" w:cs="方正仿宋_GBK"/>
          <w:b w:val="0"/>
          <w:bCs w:val="0"/>
          <w:sz w:val="32"/>
          <w:szCs w:val="32"/>
          <w:highlight w:val="none"/>
          <w:shd w:val="clear" w:color="auto" w:fill="FFFFFF"/>
        </w:rPr>
        <w:t>月</w:t>
      </w:r>
      <w:r>
        <w:rPr>
          <w:rFonts w:hint="default" w:ascii="Times New Roman" w:hAnsi="Times New Roman" w:eastAsia="方正仿宋_GBK"/>
          <w:b w:val="0"/>
          <w:bCs w:val="0"/>
          <w:sz w:val="32"/>
          <w:szCs w:val="32"/>
          <w:highlight w:val="none"/>
          <w:shd w:val="clear" w:color="auto" w:fill="FFFFFF"/>
        </w:rPr>
        <w:t>31</w:t>
      </w:r>
      <w:r>
        <w:rPr>
          <w:rFonts w:ascii="方正仿宋_GBK" w:hAnsi="方正仿宋_GBK" w:eastAsia="方正仿宋_GBK" w:cs="方正仿宋_GBK"/>
          <w:b w:val="0"/>
          <w:bCs w:val="0"/>
          <w:sz w:val="32"/>
          <w:szCs w:val="32"/>
          <w:highlight w:val="none"/>
          <w:shd w:val="clear" w:color="auto" w:fill="FFFFFF"/>
        </w:rPr>
        <w:t>日，本部门共有车辆</w:t>
      </w:r>
      <w:r>
        <w:rPr>
          <w:rFonts w:hint="default" w:ascii="Times New Roman" w:hAnsi="Times New Roman" w:eastAsia="方正仿宋_GBK"/>
          <w:b w:val="0"/>
          <w:bCs w:val="0"/>
          <w:sz w:val="32"/>
          <w:szCs w:val="32"/>
          <w:highlight w:val="none"/>
          <w:shd w:val="clear" w:color="auto" w:fill="FFFFFF"/>
        </w:rPr>
        <w:t>14</w:t>
      </w:r>
      <w:r>
        <w:rPr>
          <w:rFonts w:ascii="方正仿宋_GBK" w:hAnsi="方正仿宋_GBK" w:eastAsia="方正仿宋_GBK" w:cs="方正仿宋_GBK"/>
          <w:b w:val="0"/>
          <w:bCs w:val="0"/>
          <w:sz w:val="32"/>
          <w:szCs w:val="32"/>
          <w:highlight w:val="none"/>
          <w:shd w:val="clear" w:color="auto" w:fill="FFFFFF"/>
        </w:rPr>
        <w:t>辆，其中，副部（省）级及以上领导用车</w:t>
      </w:r>
      <w:r>
        <w:rPr>
          <w:rFonts w:hint="default" w:ascii="Times New Roman" w:hAnsi="Times New Roman" w:eastAsia="方正仿宋_GBK"/>
          <w:b w:val="0"/>
          <w:bCs w:val="0"/>
          <w:sz w:val="32"/>
          <w:szCs w:val="32"/>
          <w:highlight w:val="none"/>
          <w:shd w:val="clear" w:color="auto" w:fill="FFFFFF"/>
        </w:rPr>
        <w:t>0</w:t>
      </w:r>
      <w:r>
        <w:rPr>
          <w:rFonts w:ascii="方正仿宋_GBK" w:hAnsi="方正仿宋_GBK" w:eastAsia="方正仿宋_GBK" w:cs="方正仿宋_GBK"/>
          <w:b w:val="0"/>
          <w:bCs w:val="0"/>
          <w:sz w:val="32"/>
          <w:szCs w:val="32"/>
          <w:highlight w:val="none"/>
          <w:shd w:val="clear" w:color="auto" w:fill="FFFFFF"/>
        </w:rPr>
        <w:t>辆、主要负责人用车</w:t>
      </w:r>
      <w:r>
        <w:rPr>
          <w:rFonts w:hint="default" w:ascii="Times New Roman" w:hAnsi="Times New Roman" w:eastAsia="方正仿宋_GBK"/>
          <w:b w:val="0"/>
          <w:bCs w:val="0"/>
          <w:sz w:val="32"/>
          <w:szCs w:val="32"/>
          <w:highlight w:val="none"/>
          <w:shd w:val="clear" w:color="auto" w:fill="FFFFFF"/>
        </w:rPr>
        <w:t>0</w:t>
      </w:r>
      <w:r>
        <w:rPr>
          <w:rFonts w:ascii="方正仿宋_GBK" w:hAnsi="方正仿宋_GBK" w:eastAsia="方正仿宋_GBK" w:cs="方正仿宋_GBK"/>
          <w:b w:val="0"/>
          <w:bCs w:val="0"/>
          <w:sz w:val="32"/>
          <w:szCs w:val="32"/>
          <w:highlight w:val="none"/>
          <w:shd w:val="clear" w:color="auto" w:fill="FFFFFF"/>
        </w:rPr>
        <w:t>辆、机要通信用车</w:t>
      </w:r>
      <w:r>
        <w:rPr>
          <w:rFonts w:hint="default" w:ascii="Times New Roman" w:hAnsi="Times New Roman" w:eastAsia="方正仿宋_GBK"/>
          <w:b w:val="0"/>
          <w:bCs w:val="0"/>
          <w:sz w:val="32"/>
          <w:szCs w:val="32"/>
          <w:highlight w:val="none"/>
          <w:shd w:val="clear" w:color="auto" w:fill="FFFFFF"/>
        </w:rPr>
        <w:t>0</w:t>
      </w:r>
      <w:r>
        <w:rPr>
          <w:rFonts w:ascii="方正仿宋_GBK" w:hAnsi="方正仿宋_GBK" w:eastAsia="方正仿宋_GBK" w:cs="方正仿宋_GBK"/>
          <w:b w:val="0"/>
          <w:bCs w:val="0"/>
          <w:sz w:val="32"/>
          <w:szCs w:val="32"/>
          <w:highlight w:val="none"/>
          <w:shd w:val="clear" w:color="auto" w:fill="FFFFFF"/>
        </w:rPr>
        <w:t>辆、应急保障用车</w:t>
      </w:r>
      <w:r>
        <w:rPr>
          <w:rFonts w:hint="default" w:ascii="Times New Roman" w:hAnsi="Times New Roman" w:eastAsia="方正仿宋_GBK"/>
          <w:b w:val="0"/>
          <w:bCs w:val="0"/>
          <w:sz w:val="32"/>
          <w:szCs w:val="32"/>
          <w:highlight w:val="none"/>
          <w:shd w:val="clear" w:color="auto" w:fill="FFFFFF"/>
        </w:rPr>
        <w:t>4</w:t>
      </w:r>
      <w:r>
        <w:rPr>
          <w:rFonts w:ascii="方正仿宋_GBK" w:hAnsi="方正仿宋_GBK" w:eastAsia="方正仿宋_GBK" w:cs="方正仿宋_GBK"/>
          <w:b w:val="0"/>
          <w:bCs w:val="0"/>
          <w:sz w:val="32"/>
          <w:szCs w:val="32"/>
          <w:highlight w:val="none"/>
          <w:shd w:val="clear" w:color="auto" w:fill="FFFFFF"/>
        </w:rPr>
        <w:t>辆、执法执勤用车</w:t>
      </w:r>
      <w:r>
        <w:rPr>
          <w:rFonts w:hint="default" w:ascii="Times New Roman" w:hAnsi="Times New Roman" w:eastAsia="方正仿宋_GBK"/>
          <w:b w:val="0"/>
          <w:bCs w:val="0"/>
          <w:sz w:val="32"/>
          <w:szCs w:val="32"/>
          <w:highlight w:val="none"/>
          <w:shd w:val="clear" w:color="auto" w:fill="FFFFFF"/>
        </w:rPr>
        <w:t>0</w:t>
      </w:r>
      <w:r>
        <w:rPr>
          <w:rFonts w:ascii="方正仿宋_GBK" w:hAnsi="方正仿宋_GBK" w:eastAsia="方正仿宋_GBK" w:cs="方正仿宋_GBK"/>
          <w:b w:val="0"/>
          <w:bCs w:val="0"/>
          <w:sz w:val="32"/>
          <w:szCs w:val="32"/>
          <w:highlight w:val="none"/>
          <w:shd w:val="clear" w:color="auto" w:fill="FFFFFF"/>
        </w:rPr>
        <w:t>辆，特种专业技术用车</w:t>
      </w:r>
      <w:r>
        <w:rPr>
          <w:rFonts w:hint="default" w:ascii="Times New Roman" w:hAnsi="Times New Roman" w:eastAsia="方正仿宋_GBK"/>
          <w:b w:val="0"/>
          <w:bCs w:val="0"/>
          <w:sz w:val="32"/>
          <w:szCs w:val="32"/>
          <w:highlight w:val="none"/>
          <w:shd w:val="clear" w:color="auto" w:fill="FFFFFF"/>
        </w:rPr>
        <w:t>10</w:t>
      </w:r>
      <w:r>
        <w:rPr>
          <w:rFonts w:ascii="方正仿宋_GBK" w:hAnsi="方正仿宋_GBK" w:eastAsia="方正仿宋_GBK" w:cs="方正仿宋_GBK"/>
          <w:b w:val="0"/>
          <w:bCs w:val="0"/>
          <w:sz w:val="32"/>
          <w:szCs w:val="32"/>
          <w:highlight w:val="none"/>
          <w:shd w:val="clear" w:color="auto" w:fill="FFFFFF"/>
        </w:rPr>
        <w:t>辆，离退休干部用车</w:t>
      </w:r>
      <w:r>
        <w:rPr>
          <w:rFonts w:hint="default" w:ascii="Times New Roman" w:hAnsi="Times New Roman" w:eastAsia="方正仿宋_GBK"/>
          <w:b w:val="0"/>
          <w:bCs w:val="0"/>
          <w:sz w:val="32"/>
          <w:szCs w:val="32"/>
          <w:highlight w:val="none"/>
          <w:shd w:val="clear" w:color="auto" w:fill="FFFFFF"/>
        </w:rPr>
        <w:t>0</w:t>
      </w:r>
      <w:r>
        <w:rPr>
          <w:rFonts w:ascii="方正仿宋_GBK" w:hAnsi="方正仿宋_GBK" w:eastAsia="方正仿宋_GBK" w:cs="方正仿宋_GBK"/>
          <w:b w:val="0"/>
          <w:bCs w:val="0"/>
          <w:sz w:val="32"/>
          <w:szCs w:val="32"/>
          <w:highlight w:val="none"/>
          <w:shd w:val="clear" w:color="auto" w:fill="FFFFFF"/>
        </w:rPr>
        <w:t>辆。单价</w:t>
      </w:r>
      <w:r>
        <w:rPr>
          <w:rFonts w:hint="default" w:ascii="Times New Roman" w:hAnsi="Times New Roman" w:eastAsia="方正仿宋_GBK"/>
          <w:b w:val="0"/>
          <w:bCs w:val="0"/>
          <w:sz w:val="32"/>
          <w:szCs w:val="32"/>
          <w:highlight w:val="none"/>
          <w:shd w:val="clear" w:color="auto" w:fill="FFFFFF"/>
        </w:rPr>
        <w:t>100</w:t>
      </w:r>
      <w:r>
        <w:rPr>
          <w:rFonts w:ascii="方正仿宋_GBK" w:hAnsi="方正仿宋_GBK" w:eastAsia="方正仿宋_GBK" w:cs="方正仿宋_GBK"/>
          <w:b w:val="0"/>
          <w:bCs w:val="0"/>
          <w:sz w:val="32"/>
          <w:szCs w:val="32"/>
          <w:highlight w:val="none"/>
          <w:shd w:val="clear" w:color="auto" w:fill="FFFFFF"/>
        </w:rPr>
        <w:t>万元（含）以上专用设备</w:t>
      </w:r>
      <w:r>
        <w:rPr>
          <w:rFonts w:hint="default" w:ascii="Times New Roman" w:hAnsi="Times New Roman" w:eastAsia="方正仿宋_GBK"/>
          <w:b w:val="0"/>
          <w:bCs w:val="0"/>
          <w:sz w:val="32"/>
          <w:szCs w:val="32"/>
          <w:highlight w:val="none"/>
          <w:shd w:val="clear" w:color="auto" w:fill="FFFFFF"/>
        </w:rPr>
        <w:t>0</w:t>
      </w:r>
      <w:r>
        <w:rPr>
          <w:rFonts w:ascii="方正仿宋_GBK" w:hAnsi="方正仿宋_GBK" w:eastAsia="方正仿宋_GBK" w:cs="方正仿宋_GBK"/>
          <w:b w:val="0"/>
          <w:bCs w:val="0"/>
          <w:sz w:val="32"/>
          <w:szCs w:val="32"/>
          <w:highlight w:val="none"/>
          <w:shd w:val="clear" w:color="auto" w:fill="FFFFFF"/>
        </w:rPr>
        <w:t>台（套）。</w:t>
      </w:r>
    </w:p>
    <w:p>
      <w:pPr>
        <w:pStyle w:val="14"/>
        <w:autoSpaceDE w:val="0"/>
        <w:spacing w:line="596" w:lineRule="exact"/>
        <w:ind w:firstLine="643"/>
        <w:rPr>
          <w:rFonts w:ascii="楷体" w:hAnsi="楷体" w:eastAsia="楷体" w:cs="楷体"/>
          <w:b w:val="0"/>
          <w:bCs w:val="0"/>
          <w:sz w:val="32"/>
          <w:szCs w:val="32"/>
          <w:highlight w:val="none"/>
          <w:shd w:val="clear" w:color="auto" w:fill="FFFFFF"/>
        </w:rPr>
      </w:pPr>
      <w:r>
        <w:rPr>
          <w:rFonts w:hint="eastAsia" w:ascii="楷体" w:hAnsi="楷体" w:eastAsia="楷体" w:cs="楷体"/>
          <w:b w:val="0"/>
          <w:bCs w:val="0"/>
          <w:sz w:val="32"/>
          <w:szCs w:val="32"/>
          <w:highlight w:val="none"/>
          <w:shd w:val="clear" w:color="auto" w:fill="FFFFFF"/>
        </w:rPr>
        <w:t>（四）政府采购支出情况说明</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shd w:val="clear" w:color="auto" w:fill="FFFFFF"/>
        </w:rPr>
      </w:pPr>
      <w:r>
        <w:rPr>
          <w:rFonts w:ascii="Times New Roman" w:hAnsi="Times New Roman" w:eastAsia="方正仿宋_GBK"/>
          <w:b w:val="0"/>
          <w:bCs w:val="0"/>
          <w:sz w:val="32"/>
          <w:szCs w:val="32"/>
          <w:highlight w:val="none"/>
          <w:shd w:val="clear" w:color="auto" w:fill="FFFFFF"/>
        </w:rPr>
        <w:t>2024</w:t>
      </w:r>
      <w:r>
        <w:rPr>
          <w:rFonts w:ascii="方正仿宋_GBK" w:hAnsi="方正仿宋_GBK" w:eastAsia="方正仿宋_GBK" w:cs="方正仿宋_GBK"/>
          <w:b w:val="0"/>
          <w:bCs w:val="0"/>
          <w:sz w:val="32"/>
          <w:szCs w:val="32"/>
          <w:highlight w:val="none"/>
          <w:shd w:val="clear" w:color="auto" w:fill="FFFFFF"/>
        </w:rPr>
        <w:t>年度本</w:t>
      </w:r>
      <w:r>
        <w:rPr>
          <w:rFonts w:hint="eastAsia" w:ascii="方正仿宋_GBK" w:hAnsi="方正仿宋_GBK" w:eastAsia="方正仿宋_GBK" w:cs="方正仿宋_GBK"/>
          <w:b w:val="0"/>
          <w:bCs w:val="0"/>
          <w:sz w:val="32"/>
          <w:szCs w:val="32"/>
          <w:highlight w:val="none"/>
          <w:shd w:val="clear" w:color="auto" w:fill="FFFFFF"/>
        </w:rPr>
        <w:t>部门</w:t>
      </w:r>
      <w:r>
        <w:rPr>
          <w:rFonts w:ascii="方正仿宋_GBK" w:hAnsi="方正仿宋_GBK" w:eastAsia="方正仿宋_GBK" w:cs="方正仿宋_GBK"/>
          <w:b w:val="0"/>
          <w:bCs w:val="0"/>
          <w:sz w:val="32"/>
          <w:szCs w:val="32"/>
          <w:highlight w:val="none"/>
          <w:shd w:val="clear" w:color="auto" w:fill="FFFFFF"/>
        </w:rPr>
        <w:t>政府采购支出总额</w:t>
      </w:r>
      <w:r>
        <w:rPr>
          <w:rFonts w:ascii="Times New Roman" w:hAnsi="Times New Roman" w:eastAsia="方正仿宋_GBK"/>
          <w:b w:val="0"/>
          <w:bCs w:val="0"/>
          <w:sz w:val="32"/>
          <w:szCs w:val="32"/>
          <w:highlight w:val="none"/>
          <w:shd w:val="clear" w:color="auto" w:fill="FFFFFF"/>
        </w:rPr>
        <w:t>12.76</w:t>
      </w:r>
      <w:r>
        <w:rPr>
          <w:rFonts w:ascii="方正仿宋_GBK" w:hAnsi="方正仿宋_GBK" w:eastAsia="方正仿宋_GBK" w:cs="方正仿宋_GBK"/>
          <w:b w:val="0"/>
          <w:bCs w:val="0"/>
          <w:sz w:val="32"/>
          <w:szCs w:val="32"/>
          <w:highlight w:val="none"/>
          <w:shd w:val="clear" w:color="auto" w:fill="FFFFFF"/>
        </w:rPr>
        <w:t>万元，其中：政府采购货物支出</w:t>
      </w:r>
      <w:r>
        <w:rPr>
          <w:rFonts w:ascii="Times New Roman" w:hAnsi="Times New Roman" w:eastAsia="方正仿宋_GBK"/>
          <w:b w:val="0"/>
          <w:bCs w:val="0"/>
          <w:sz w:val="32"/>
          <w:szCs w:val="32"/>
          <w:highlight w:val="none"/>
          <w:shd w:val="clear" w:color="auto" w:fill="FFFFFF"/>
        </w:rPr>
        <w:t>12.76</w:t>
      </w:r>
      <w:r>
        <w:rPr>
          <w:rFonts w:ascii="方正仿宋_GBK" w:hAnsi="方正仿宋_GBK" w:eastAsia="方正仿宋_GBK" w:cs="方正仿宋_GBK"/>
          <w:b w:val="0"/>
          <w:bCs w:val="0"/>
          <w:sz w:val="32"/>
          <w:szCs w:val="32"/>
          <w:highlight w:val="none"/>
          <w:shd w:val="clear" w:color="auto" w:fill="FFFFFF"/>
        </w:rPr>
        <w:t>万元</w:t>
      </w:r>
      <w:r>
        <w:rPr>
          <w:rFonts w:ascii="方正仿宋_GBK" w:hAnsi="方正仿宋_GBK" w:eastAsia="方正仿宋_GBK" w:cs="方正仿宋_GBK"/>
          <w:b w:val="0"/>
          <w:bCs w:val="0"/>
          <w:sz w:val="32"/>
          <w:szCs w:val="32"/>
          <w:shd w:val="clear" w:color="auto" w:fill="FFFFFF"/>
        </w:rPr>
        <w:t>、政府采购工程支出</w:t>
      </w:r>
      <w:r>
        <w:rPr>
          <w:rFonts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万元、政府采购服务支出</w:t>
      </w:r>
      <w:r>
        <w:rPr>
          <w:rFonts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万元。授予中小企业合同金额</w:t>
      </w:r>
      <w:r>
        <w:rPr>
          <w:rFonts w:ascii="Times New Roman" w:hAnsi="Times New Roman" w:eastAsia="方正仿宋_GBK"/>
          <w:b w:val="0"/>
          <w:bCs w:val="0"/>
          <w:sz w:val="32"/>
          <w:szCs w:val="32"/>
          <w:shd w:val="clear" w:color="auto" w:fill="FFFFFF"/>
        </w:rPr>
        <w:t>12.76</w:t>
      </w:r>
      <w:r>
        <w:rPr>
          <w:rFonts w:ascii="方正仿宋_GBK" w:hAnsi="方正仿宋_GBK" w:eastAsia="方正仿宋_GBK" w:cs="方正仿宋_GBK"/>
          <w:b w:val="0"/>
          <w:bCs w:val="0"/>
          <w:sz w:val="32"/>
          <w:szCs w:val="32"/>
        </w:rPr>
        <w:t>万</w:t>
      </w:r>
      <w:r>
        <w:rPr>
          <w:rFonts w:ascii="方正仿宋_GBK" w:hAnsi="方正仿宋_GBK" w:eastAsia="方正仿宋_GBK" w:cs="方正仿宋_GBK"/>
          <w:b w:val="0"/>
          <w:bCs w:val="0"/>
          <w:sz w:val="32"/>
          <w:szCs w:val="32"/>
          <w:shd w:val="clear" w:color="auto" w:fill="FFFFFF"/>
        </w:rPr>
        <w:t>元，占政府采购支出总额的</w:t>
      </w:r>
      <w:r>
        <w:rPr>
          <w:rFonts w:ascii="Times New Roman" w:hAnsi="Times New Roman" w:eastAsia="方正仿宋_GBK"/>
          <w:b w:val="0"/>
          <w:bCs w:val="0"/>
          <w:sz w:val="32"/>
          <w:szCs w:val="32"/>
          <w:shd w:val="clear" w:color="auto" w:fill="FFFFFF"/>
        </w:rPr>
        <w:t>100.0%</w:t>
      </w:r>
      <w:r>
        <w:rPr>
          <w:rFonts w:ascii="方正仿宋_GBK" w:hAnsi="方正仿宋_GBK" w:eastAsia="方正仿宋_GBK" w:cs="方正仿宋_GBK"/>
          <w:b w:val="0"/>
          <w:bCs w:val="0"/>
          <w:sz w:val="32"/>
          <w:szCs w:val="32"/>
          <w:shd w:val="clear" w:color="auto" w:fill="FFFFFF"/>
        </w:rPr>
        <w:t>，其中：授予小微企业合同金额</w:t>
      </w:r>
      <w:r>
        <w:rPr>
          <w:rFonts w:ascii="Times New Roman" w:hAnsi="Times New Roman" w:eastAsia="方正仿宋_GBK"/>
          <w:b w:val="0"/>
          <w:bCs w:val="0"/>
          <w:sz w:val="32"/>
          <w:szCs w:val="32"/>
          <w:shd w:val="clear" w:color="auto" w:fill="FFFFFF"/>
        </w:rPr>
        <w:t>12.60</w:t>
      </w:r>
      <w:r>
        <w:rPr>
          <w:rFonts w:ascii="方正仿宋_GBK" w:hAnsi="方正仿宋_GBK" w:eastAsia="方正仿宋_GBK" w:cs="方正仿宋_GBK"/>
          <w:b w:val="0"/>
          <w:bCs w:val="0"/>
          <w:sz w:val="32"/>
          <w:szCs w:val="32"/>
          <w:shd w:val="clear" w:color="auto" w:fill="FFFFFF"/>
        </w:rPr>
        <w:t>万元，占政府采购支出总额的</w:t>
      </w:r>
      <w:r>
        <w:rPr>
          <w:rFonts w:ascii="Times New Roman" w:hAnsi="Times New Roman" w:eastAsia="方正仿宋_GBK"/>
          <w:b w:val="0"/>
          <w:bCs w:val="0"/>
          <w:sz w:val="32"/>
          <w:szCs w:val="32"/>
          <w:shd w:val="clear" w:color="auto" w:fill="FFFFFF"/>
        </w:rPr>
        <w:t>98.7 %</w:t>
      </w:r>
      <w:r>
        <w:rPr>
          <w:rFonts w:ascii="方正仿宋_GBK" w:hAnsi="方正仿宋_GBK" w:eastAsia="方正仿宋_GBK" w:cs="方正仿宋_GBK"/>
          <w:b w:val="0"/>
          <w:bCs w:val="0"/>
          <w:sz w:val="32"/>
          <w:szCs w:val="32"/>
          <w:shd w:val="clear" w:color="auto" w:fill="FFFFFF"/>
        </w:rPr>
        <w:t>。主要用于采购</w:t>
      </w:r>
      <w:r>
        <w:rPr>
          <w:rFonts w:hint="eastAsia" w:ascii="方正仿宋_GBK" w:hAnsi="方正仿宋_GBK" w:eastAsia="方正仿宋_GBK" w:cs="方正仿宋_GBK"/>
          <w:b w:val="0"/>
          <w:bCs w:val="0"/>
          <w:sz w:val="32"/>
          <w:szCs w:val="32"/>
          <w:shd w:val="clear" w:color="auto" w:fill="FFFFFF"/>
        </w:rPr>
        <w:t>电脑、打印机、空调、打印复印纸等。</w:t>
      </w:r>
    </w:p>
    <w:p>
      <w:pPr>
        <w:pStyle w:val="15"/>
        <w:spacing w:before="0" w:beforeAutospacing="0" w:after="0" w:afterAutospacing="0" w:line="596" w:lineRule="exact"/>
        <w:ind w:firstLine="640" w:firstLineChars="200"/>
        <w:rPr>
          <w:rStyle w:val="13"/>
          <w:rFonts w:ascii="黑体" w:hAnsi="黑体" w:eastAsia="黑体" w:cs="黑体"/>
          <w:b w:val="0"/>
          <w:bCs w:val="0"/>
          <w:sz w:val="32"/>
          <w:szCs w:val="32"/>
          <w:shd w:val="clear" w:color="auto" w:fill="FFFFFF"/>
        </w:rPr>
      </w:pPr>
      <w:r>
        <w:rPr>
          <w:rStyle w:val="13"/>
          <w:rFonts w:hint="eastAsia" w:ascii="黑体" w:hAnsi="黑体" w:eastAsia="黑体" w:cs="黑体"/>
          <w:b w:val="0"/>
          <w:bCs w:val="0"/>
          <w:sz w:val="32"/>
          <w:szCs w:val="32"/>
          <w:shd w:val="clear" w:color="auto" w:fill="FFFFFF"/>
        </w:rPr>
        <w:t>五、2024年度预算绩效管理情况说明</w:t>
      </w:r>
    </w:p>
    <w:p>
      <w:pPr>
        <w:pStyle w:val="15"/>
        <w:autoSpaceDE w:val="0"/>
        <w:spacing w:before="0" w:beforeAutospacing="0" w:after="0" w:afterAutospacing="0" w:line="596" w:lineRule="exact"/>
        <w:ind w:firstLine="640" w:firstLineChars="200"/>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（一）部门自评情况</w:t>
      </w:r>
    </w:p>
    <w:p>
      <w:pPr>
        <w:pStyle w:val="15"/>
        <w:spacing w:before="0" w:beforeAutospacing="0" w:after="0" w:afterAutospacing="0" w:line="596" w:lineRule="exact"/>
        <w:ind w:firstLine="640" w:firstLineChars="200"/>
        <w:rPr>
          <w:rFonts w:ascii="Times New Roman" w:hAnsi="Times New Roman" w:eastAsia="方正仿宋_GBK"/>
          <w:b w:val="0"/>
          <w:bCs w:val="0"/>
          <w:sz w:val="32"/>
          <w:szCs w:val="32"/>
          <w:highlight w:val="none"/>
          <w:shd w:val="clear" w:color="auto" w:fill="FFFFFF"/>
        </w:rPr>
      </w:pPr>
      <w:r>
        <w:rPr>
          <w:rFonts w:hint="eastAsia" w:ascii="Times New Roman" w:hAnsi="Times New Roman" w:eastAsia="方正仿宋_GBK"/>
          <w:b w:val="0"/>
          <w:bCs w:val="0"/>
          <w:sz w:val="32"/>
          <w:szCs w:val="32"/>
          <w:highlight w:val="none"/>
          <w:shd w:val="clear" w:color="auto" w:fill="FFFFFF"/>
        </w:rPr>
        <w:t>根据预算绩效管理要求，我部门对部门整体和131个项目开展了绩效自评，涉及财政拨款项目支出资金4604.69万元。</w:t>
      </w:r>
    </w:p>
    <w:p>
      <w:pPr>
        <w:pStyle w:val="15"/>
        <w:spacing w:before="0" w:beforeAutospacing="0" w:after="0" w:afterAutospacing="0" w:line="596" w:lineRule="exact"/>
        <w:ind w:firstLine="642" w:firstLineChars="200"/>
        <w:rPr>
          <w:rFonts w:ascii="方正仿宋_GBK" w:hAnsi="方正仿宋_GBK" w:eastAsia="方正仿宋_GBK" w:cs="方正仿宋_GBK"/>
          <w:b/>
          <w:bCs/>
          <w:sz w:val="32"/>
          <w:szCs w:val="32"/>
          <w:shd w:val="clear" w:color="auto" w:fill="FFFFFF"/>
        </w:rPr>
      </w:pPr>
    </w:p>
    <w:p>
      <w:pPr>
        <w:pStyle w:val="15"/>
        <w:spacing w:before="0" w:beforeAutospacing="0" w:after="0" w:afterAutospacing="0" w:line="596" w:lineRule="exact"/>
        <w:ind w:firstLine="642" w:firstLineChars="200"/>
        <w:rPr>
          <w:rFonts w:ascii="方正仿宋_GBK" w:hAnsi="方正仿宋_GBK" w:eastAsia="方正仿宋_GBK" w:cs="方正仿宋_GBK"/>
          <w:b/>
          <w:bCs/>
          <w:sz w:val="32"/>
          <w:szCs w:val="32"/>
          <w:shd w:val="clear" w:color="auto" w:fill="FFFFFF"/>
        </w:rPr>
      </w:pPr>
    </w:p>
    <w:tbl>
      <w:tblPr>
        <w:tblStyle w:val="10"/>
        <w:tblW w:w="11068" w:type="dxa"/>
        <w:jc w:val="center"/>
        <w:tblLayout w:type="fixed"/>
        <w:tblCellMar>
          <w:top w:w="0" w:type="dxa"/>
          <w:left w:w="108" w:type="dxa"/>
          <w:bottom w:w="0" w:type="dxa"/>
          <w:right w:w="108" w:type="dxa"/>
        </w:tblCellMar>
      </w:tblPr>
      <w:tblGrid>
        <w:gridCol w:w="1277"/>
        <w:gridCol w:w="616"/>
        <w:gridCol w:w="850"/>
        <w:gridCol w:w="992"/>
        <w:gridCol w:w="1034"/>
        <w:gridCol w:w="862"/>
        <w:gridCol w:w="1043"/>
        <w:gridCol w:w="709"/>
        <w:gridCol w:w="799"/>
        <w:gridCol w:w="992"/>
        <w:gridCol w:w="902"/>
        <w:gridCol w:w="992"/>
      </w:tblGrid>
      <w:tr>
        <w:tblPrEx>
          <w:tblCellMar>
            <w:top w:w="0" w:type="dxa"/>
            <w:left w:w="108" w:type="dxa"/>
            <w:bottom w:w="0" w:type="dxa"/>
            <w:right w:w="108" w:type="dxa"/>
          </w:tblCellMar>
        </w:tblPrEx>
        <w:trPr>
          <w:trHeight w:val="584" w:hRule="atLeast"/>
          <w:jc w:val="center"/>
        </w:trPr>
        <w:tc>
          <w:tcPr>
            <w:tcW w:w="11068"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微软雅黑"/>
                <w:b/>
                <w:bCs/>
                <w:color w:val="000000"/>
                <w:sz w:val="36"/>
                <w:szCs w:val="36"/>
              </w:rPr>
            </w:pPr>
            <w:r>
              <w:rPr>
                <w:rFonts w:ascii="微软雅黑" w:hAnsi="微软雅黑" w:eastAsia="微软雅黑" w:cs="微软雅黑"/>
                <w:b/>
                <w:bCs/>
                <w:color w:val="000000"/>
                <w:sz w:val="32"/>
                <w:szCs w:val="32"/>
              </w:rPr>
              <w:t>2024年度部门整体绩效自评表</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int="default"/>
                <w:b/>
                <w:bCs/>
                <w:color w:val="000000"/>
                <w:sz w:val="16"/>
                <w:szCs w:val="16"/>
              </w:rPr>
            </w:pPr>
            <w:r>
              <w:rPr>
                <w:rFonts w:cs="宋体"/>
                <w:b/>
                <w:bCs/>
                <w:color w:val="000000"/>
                <w:sz w:val="16"/>
                <w:szCs w:val="16"/>
              </w:rPr>
              <w:t>项目名称：</w:t>
            </w:r>
          </w:p>
        </w:tc>
        <w:tc>
          <w:tcPr>
            <w:tcW w:w="1466" w:type="dxa"/>
            <w:gridSpan w:val="2"/>
            <w:tcBorders>
              <w:top w:val="nil"/>
              <w:left w:val="nil"/>
              <w:bottom w:val="single" w:color="auto" w:sz="4" w:space="0"/>
              <w:right w:val="single" w:color="auto" w:sz="4" w:space="0"/>
            </w:tcBorders>
            <w:shd w:val="clear" w:color="auto" w:fill="auto"/>
            <w:noWrap/>
            <w:vAlign w:val="center"/>
          </w:tcPr>
          <w:p>
            <w:pPr>
              <w:spacing w:line="240" w:lineRule="atLeast"/>
              <w:rPr>
                <w:rFonts w:hint="default"/>
                <w:color w:val="000000"/>
                <w:sz w:val="16"/>
                <w:szCs w:val="16"/>
              </w:rPr>
            </w:pPr>
            <w:r>
              <w:rPr>
                <w:rFonts w:cs="宋体"/>
                <w:color w:val="000000"/>
                <w:sz w:val="16"/>
                <w:szCs w:val="16"/>
              </w:rPr>
              <w:t>丰都县高家镇整体监控</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olor w:val="000000"/>
                <w:sz w:val="16"/>
                <w:szCs w:val="16"/>
              </w:rPr>
            </w:pPr>
            <w:r>
              <w:rPr>
                <w:rFonts w:cs="宋体"/>
                <w:color w:val="000000"/>
                <w:sz w:val="16"/>
                <w:szCs w:val="16"/>
              </w:rPr>
              <w:t>50023000024P000074</w:t>
            </w:r>
          </w:p>
        </w:tc>
        <w:tc>
          <w:tcPr>
            <w:tcW w:w="10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olor w:val="000000"/>
                <w:sz w:val="16"/>
                <w:szCs w:val="16"/>
              </w:rPr>
            </w:pPr>
            <w:r>
              <w:rPr>
                <w:rFonts w:cs="宋体"/>
                <w:color w:val="000000"/>
                <w:sz w:val="16"/>
                <w:szCs w:val="16"/>
              </w:rPr>
              <w:t>98.68</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b/>
                <w:bCs/>
                <w:color w:val="000000"/>
                <w:sz w:val="16"/>
                <w:szCs w:val="16"/>
              </w:rPr>
            </w:pPr>
          </w:p>
        </w:tc>
        <w:tc>
          <w:tcPr>
            <w:tcW w:w="1894"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olor w:val="000000"/>
                <w:sz w:val="16"/>
                <w:szCs w:val="16"/>
              </w:rPr>
            </w:pPr>
            <w:r>
              <w:rPr>
                <w:rFonts w:cs="宋体"/>
                <w:color w:val="000000"/>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int="default"/>
                <w:b/>
                <w:bCs/>
                <w:color w:val="000000"/>
                <w:sz w:val="16"/>
                <w:szCs w:val="16"/>
              </w:rPr>
            </w:pPr>
            <w:r>
              <w:rPr>
                <w:rFonts w:cs="宋体"/>
                <w:b/>
                <w:bCs/>
                <w:color w:val="000000"/>
                <w:sz w:val="16"/>
                <w:szCs w:val="16"/>
              </w:rPr>
              <w:t>项目主管部门：</w:t>
            </w:r>
          </w:p>
        </w:tc>
        <w:tc>
          <w:tcPr>
            <w:tcW w:w="1466"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rPr>
                <w:rFonts w:hint="default"/>
                <w:color w:val="000000"/>
                <w:sz w:val="16"/>
                <w:szCs w:val="16"/>
              </w:rPr>
            </w:pPr>
            <w:r>
              <w:rPr>
                <w:rFonts w:cs="宋体"/>
                <w:color w:val="000000"/>
                <w:sz w:val="16"/>
                <w:szCs w:val="16"/>
              </w:rPr>
              <w:t>917-丰都县高家镇</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olor w:val="000000"/>
                <w:sz w:val="16"/>
                <w:szCs w:val="16"/>
              </w:rPr>
            </w:pPr>
            <w:r>
              <w:rPr>
                <w:rFonts w:cs="宋体"/>
                <w:color w:val="000000"/>
                <w:sz w:val="16"/>
                <w:szCs w:val="16"/>
              </w:rPr>
              <w:t>　007-基财科</w:t>
            </w:r>
          </w:p>
        </w:tc>
        <w:tc>
          <w:tcPr>
            <w:tcW w:w="1043" w:type="dxa"/>
            <w:tcBorders>
              <w:top w:val="nil"/>
              <w:left w:val="nil"/>
              <w:bottom w:val="single" w:color="auto" w:sz="4" w:space="0"/>
              <w:right w:val="single" w:color="auto" w:sz="4" w:space="0"/>
            </w:tcBorders>
            <w:shd w:val="clear" w:color="auto" w:fill="auto"/>
            <w:noWrap/>
            <w:vAlign w:val="center"/>
          </w:tcPr>
          <w:p>
            <w:pPr>
              <w:spacing w:line="240" w:lineRule="atLeast"/>
              <w:ind w:right="483"/>
              <w:jc w:val="center"/>
              <w:rPr>
                <w:rFonts w:hint="default"/>
                <w:b/>
                <w:bCs/>
                <w:color w:val="000000"/>
                <w:sz w:val="16"/>
                <w:szCs w:val="16"/>
              </w:rPr>
            </w:pPr>
            <w:r>
              <w:rPr>
                <w:rFonts w:cs="宋体"/>
                <w:b/>
                <w:bCs/>
                <w:color w:val="000000"/>
                <w:sz w:val="16"/>
                <w:szCs w:val="16"/>
              </w:rPr>
              <w:t>部门</w:t>
            </w:r>
          </w:p>
          <w:p>
            <w:pPr>
              <w:spacing w:line="240" w:lineRule="atLeast"/>
              <w:ind w:right="161"/>
              <w:jc w:val="center"/>
              <w:rPr>
                <w:rFonts w:hint="default"/>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olor w:val="000000"/>
                <w:sz w:val="16"/>
                <w:szCs w:val="16"/>
              </w:rPr>
            </w:pPr>
            <w:r>
              <w:rPr>
                <w:rFonts w:cs="宋体"/>
                <w:color w:val="000000"/>
                <w:sz w:val="16"/>
                <w:szCs w:val="16"/>
              </w:rPr>
              <w:t>　吴寒</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ind w:right="181"/>
              <w:jc w:val="center"/>
              <w:rPr>
                <w:rFonts w:hint="default"/>
                <w:b/>
                <w:bCs/>
                <w:color w:val="000000"/>
                <w:sz w:val="16"/>
                <w:szCs w:val="16"/>
              </w:rPr>
            </w:pPr>
            <w:r>
              <w:rPr>
                <w:rFonts w:cs="宋体"/>
                <w:b/>
                <w:bCs/>
                <w:color w:val="000000"/>
                <w:sz w:val="16"/>
                <w:szCs w:val="16"/>
              </w:rPr>
              <w:t>联系</w:t>
            </w:r>
          </w:p>
          <w:p>
            <w:pPr>
              <w:spacing w:line="240" w:lineRule="atLeast"/>
              <w:ind w:right="181"/>
              <w:jc w:val="center"/>
              <w:rPr>
                <w:rFonts w:hint="default"/>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eastAsia="宋体"/>
                <w:color w:val="000000"/>
                <w:sz w:val="16"/>
                <w:szCs w:val="16"/>
                <w:lang w:val="en-US" w:eastAsia="zh-CN"/>
              </w:rPr>
            </w:pPr>
            <w:r>
              <w:rPr>
                <w:rFonts w:cs="宋体"/>
                <w:color w:val="000000"/>
                <w:sz w:val="16"/>
                <w:szCs w:val="16"/>
              </w:rPr>
              <w:t>　</w:t>
            </w:r>
            <w:r>
              <w:rPr>
                <w:rFonts w:hint="eastAsia" w:cs="宋体"/>
                <w:color w:val="000000"/>
                <w:sz w:val="16"/>
                <w:szCs w:val="16"/>
                <w:lang w:val="en-US" w:eastAsia="zh-CN"/>
              </w:rPr>
              <w:t>023-70661331</w:t>
            </w:r>
          </w:p>
        </w:tc>
      </w:tr>
      <w:tr>
        <w:tblPrEx>
          <w:tblCellMar>
            <w:top w:w="0" w:type="dxa"/>
            <w:left w:w="108" w:type="dxa"/>
            <w:bottom w:w="0" w:type="dxa"/>
            <w:right w:w="108" w:type="dxa"/>
          </w:tblCellMar>
        </w:tblPrEx>
        <w:trPr>
          <w:trHeight w:val="469" w:hRule="atLeast"/>
          <w:jc w:val="center"/>
        </w:trPr>
        <w:tc>
          <w:tcPr>
            <w:tcW w:w="11068"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18"/>
                <w:szCs w:val="18"/>
              </w:rPr>
              <w:t>资金情况</w:t>
            </w:r>
          </w:p>
        </w:tc>
      </w:tr>
      <w:tr>
        <w:tblPrEx>
          <w:tblCellMar>
            <w:top w:w="0" w:type="dxa"/>
            <w:left w:w="108" w:type="dxa"/>
            <w:bottom w:w="0" w:type="dxa"/>
            <w:right w:w="108" w:type="dxa"/>
          </w:tblCellMar>
        </w:tblPrEx>
        <w:trPr>
          <w:trHeight w:val="445" w:hRule="atLeast"/>
          <w:jc w:val="center"/>
        </w:trPr>
        <w:tc>
          <w:tcPr>
            <w:tcW w:w="189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default"/>
                <w:color w:val="000000"/>
                <w:sz w:val="16"/>
                <w:szCs w:val="16"/>
              </w:rPr>
            </w:pPr>
            <w:r>
              <w:rPr>
                <w:rFonts w:cs="宋体"/>
                <w:color w:val="000000"/>
                <w:sz w:val="16"/>
                <w:szCs w:val="16"/>
              </w:rPr>
              <w:t>　</w:t>
            </w:r>
          </w:p>
        </w:tc>
        <w:tc>
          <w:tcPr>
            <w:tcW w:w="1842" w:type="dxa"/>
            <w:gridSpan w:val="2"/>
            <w:tcBorders>
              <w:top w:val="single" w:color="auto" w:sz="4" w:space="0"/>
              <w:left w:val="nil"/>
              <w:bottom w:val="single" w:color="auto" w:sz="4" w:space="0"/>
              <w:right w:val="single" w:color="000000" w:sz="4" w:space="0"/>
            </w:tcBorders>
            <w:shd w:val="clear" w:color="auto" w:fill="auto"/>
            <w:noWrap/>
            <w:vAlign w:val="center"/>
          </w:tcPr>
          <w:p>
            <w:pPr>
              <w:ind w:right="724"/>
              <w:jc w:val="center"/>
              <w:rPr>
                <w:rFonts w:hint="default"/>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全年（调整）</w:t>
            </w:r>
          </w:p>
          <w:p>
            <w:pPr>
              <w:jc w:val="center"/>
              <w:rPr>
                <w:rFonts w:hint="default"/>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shd w:val="clear" w:color="auto" w:fill="auto"/>
            <w:noWrap/>
            <w:vAlign w:val="center"/>
          </w:tcPr>
          <w:p>
            <w:pPr>
              <w:ind w:right="161"/>
              <w:jc w:val="center"/>
              <w:rPr>
                <w:rFonts w:hint="default"/>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shd w:val="clear" w:color="auto" w:fill="auto"/>
            <w:noWrap/>
            <w:vAlign w:val="center"/>
          </w:tcPr>
          <w:p>
            <w:pPr>
              <w:ind w:right="322"/>
              <w:jc w:val="center"/>
              <w:rPr>
                <w:rFonts w:hint="default"/>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执行率</w:t>
            </w:r>
          </w:p>
          <w:p>
            <w:pPr>
              <w:jc w:val="center"/>
              <w:rPr>
                <w:rFonts w:hint="default"/>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执行率</w:t>
            </w:r>
          </w:p>
          <w:p>
            <w:pPr>
              <w:jc w:val="center"/>
              <w:rPr>
                <w:rFonts w:hint="default"/>
                <w:b/>
                <w:bCs/>
                <w:color w:val="000000"/>
                <w:sz w:val="16"/>
                <w:szCs w:val="16"/>
              </w:rPr>
            </w:pPr>
            <w:r>
              <w:rPr>
                <w:rFonts w:cs="宋体"/>
                <w:b/>
                <w:bCs/>
                <w:color w:val="000000"/>
                <w:sz w:val="16"/>
                <w:szCs w:val="16"/>
              </w:rPr>
              <w:t>得分</w:t>
            </w:r>
          </w:p>
        </w:tc>
      </w:tr>
      <w:tr>
        <w:tblPrEx>
          <w:tblCellMar>
            <w:top w:w="0" w:type="dxa"/>
            <w:left w:w="108" w:type="dxa"/>
            <w:bottom w:w="0" w:type="dxa"/>
            <w:right w:w="108" w:type="dxa"/>
          </w:tblCellMar>
        </w:tblPrEx>
        <w:trPr>
          <w:trHeight w:val="499" w:hRule="atLeast"/>
          <w:jc w:val="center"/>
        </w:trPr>
        <w:tc>
          <w:tcPr>
            <w:tcW w:w="18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160" w:firstLineChars="100"/>
              <w:jc w:val="center"/>
              <w:rPr>
                <w:rFonts w:hint="default"/>
                <w:color w:val="000000"/>
                <w:sz w:val="16"/>
                <w:szCs w:val="16"/>
              </w:rPr>
            </w:pPr>
            <w:r>
              <w:rPr>
                <w:rFonts w:cs="宋体"/>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54264041.88</w:t>
            </w:r>
          </w:p>
        </w:tc>
        <w:tc>
          <w:tcPr>
            <w:tcW w:w="1896"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105379059.94</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91489693.72</w:t>
            </w:r>
          </w:p>
        </w:tc>
        <w:tc>
          <w:tcPr>
            <w:tcW w:w="1791"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p>
        </w:tc>
        <w:tc>
          <w:tcPr>
            <w:tcW w:w="902" w:type="dxa"/>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p>
        </w:tc>
      </w:tr>
      <w:tr>
        <w:tblPrEx>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160" w:firstLineChars="100"/>
              <w:jc w:val="center"/>
              <w:rPr>
                <w:rFonts w:hint="default"/>
                <w:color w:val="000000"/>
                <w:sz w:val="16"/>
                <w:szCs w:val="16"/>
              </w:rPr>
            </w:pPr>
            <w:r>
              <w:rPr>
                <w:rFonts w:cs="宋体"/>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54264041.88</w:t>
            </w:r>
          </w:p>
        </w:tc>
        <w:tc>
          <w:tcPr>
            <w:tcW w:w="1896"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105379059.94</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91489693.72</w:t>
            </w:r>
          </w:p>
        </w:tc>
        <w:tc>
          <w:tcPr>
            <w:tcW w:w="1791"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85.32</w:t>
            </w:r>
          </w:p>
        </w:tc>
        <w:tc>
          <w:tcPr>
            <w:tcW w:w="902" w:type="dxa"/>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10.00</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 xml:space="preserve">8.53 </w:t>
            </w:r>
          </w:p>
        </w:tc>
      </w:tr>
      <w:tr>
        <w:tblPrEx>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47586158.88</w:t>
            </w:r>
          </w:p>
        </w:tc>
        <w:tc>
          <w:tcPr>
            <w:tcW w:w="1896"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97315276.94</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 xml:space="preserve">88,889,640.33 </w:t>
            </w:r>
          </w:p>
        </w:tc>
        <w:tc>
          <w:tcPr>
            <w:tcW w:w="1791"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r>
              <w:rPr>
                <w:rFonts w:cs="宋体"/>
                <w:color w:val="000000"/>
                <w:sz w:val="16"/>
                <w:szCs w:val="16"/>
              </w:rPr>
              <w:t>90.87</w:t>
            </w:r>
          </w:p>
        </w:tc>
        <w:tc>
          <w:tcPr>
            <w:tcW w:w="902" w:type="dxa"/>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cs="宋体"/>
                <w:color w:val="000000"/>
                <w:sz w:val="16"/>
                <w:szCs w:val="16"/>
              </w:rPr>
            </w:pPr>
          </w:p>
        </w:tc>
      </w:tr>
      <w:tr>
        <w:tblPrEx>
          <w:tblCellMar>
            <w:top w:w="0" w:type="dxa"/>
            <w:left w:w="108" w:type="dxa"/>
            <w:bottom w:w="0" w:type="dxa"/>
            <w:right w:w="108" w:type="dxa"/>
          </w:tblCellMar>
        </w:tblPrEx>
        <w:trPr>
          <w:trHeight w:val="600" w:hRule="atLeast"/>
          <w:jc w:val="center"/>
        </w:trPr>
        <w:tc>
          <w:tcPr>
            <w:tcW w:w="11068"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rPr>
              <w:t>绩效目标</w:t>
            </w:r>
          </w:p>
        </w:tc>
      </w:tr>
      <w:tr>
        <w:tblPrEx>
          <w:tblCellMar>
            <w:top w:w="0" w:type="dxa"/>
            <w:left w:w="108" w:type="dxa"/>
            <w:bottom w:w="0" w:type="dxa"/>
            <w:right w:w="108" w:type="dxa"/>
          </w:tblCellMar>
        </w:tblPrEx>
        <w:trPr>
          <w:trHeight w:val="499" w:hRule="atLeast"/>
          <w:jc w:val="center"/>
        </w:trPr>
        <w:tc>
          <w:tcPr>
            <w:tcW w:w="373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全年目标实际完成情况</w:t>
            </w:r>
          </w:p>
        </w:tc>
      </w:tr>
      <w:tr>
        <w:tblPrEx>
          <w:tblCellMar>
            <w:top w:w="0" w:type="dxa"/>
            <w:left w:w="108" w:type="dxa"/>
            <w:bottom w:w="0" w:type="dxa"/>
            <w:right w:w="108" w:type="dxa"/>
          </w:tblCellMar>
        </w:tblPrEx>
        <w:trPr>
          <w:trHeight w:val="1602" w:hRule="atLeast"/>
          <w:jc w:val="center"/>
        </w:trPr>
        <w:tc>
          <w:tcPr>
            <w:tcW w:w="3735" w:type="dxa"/>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olor w:val="000000"/>
                <w:sz w:val="16"/>
                <w:szCs w:val="16"/>
              </w:rPr>
            </w:pPr>
            <w:r>
              <w:rPr>
                <w:rFonts w:cs="宋体"/>
                <w:color w:val="000000"/>
                <w:sz w:val="16"/>
                <w:szCs w:val="16"/>
              </w:rPr>
              <w:t>全面完成2024年高家镇政府各项社会目标工作。1.做好辖区内纪检、宣传、统战、法制、武装、编制、人事、民宗侨台、基层党建、群团、基层人大工作、经济发展规划、农村经营管理、经济社会统计、扶贫开发、乡村振兴、民政、教育、文化、体育、社会救助、残疾人事业、劳动就业、社会保障，统筹负责卫生、计生、老龄事业发展、信访、社会治安综合治理、防范和处理邪教、村镇规划、村镇建设、环境保护、河长制、财政收支、预决算、总会计、惠农资金兑付、财政资金监督检查、绩效评价、村级财务管理、安全生产综合监管、应急管理、消防管理、城镇管理、集中行使依法授权或委托的行政执法权等相关工作。2.做好辖区内农技、农机、林业、水利水保、水产、畜牧兽医等方面的技术推广、信息、资源环境保护、灾害防治、水利工程等服务工作。3.做好文化、宣传、广播电视、体育、乡村旅游、科技培训等方面服务工作。4.区内退役军人保障服务工作，做好关系转接、信息采集、情况反映、慰问帮扶等工作。5.承担辖区范围内集中行使农林水利、规划建设、市政管理、环境保护、卫生计生、文化旅游、民政管理等领域的行政处罚权。6.承担失业人员就业培训、职业介绍、就业创业指导、就业再就业小额贷款推荐审核等管理服务工作；负责养老保险、失业保险、城乡居民</w:t>
            </w:r>
            <w:r>
              <w:rPr>
                <w:rFonts w:hint="eastAsia" w:cs="宋体"/>
                <w:color w:val="000000"/>
                <w:sz w:val="16"/>
                <w:szCs w:val="16"/>
                <w:lang w:eastAsia="zh-CN"/>
              </w:rPr>
              <w:t>基本</w:t>
            </w:r>
            <w:r>
              <w:rPr>
                <w:rFonts w:cs="宋体"/>
                <w:color w:val="000000"/>
                <w:sz w:val="16"/>
                <w:szCs w:val="16"/>
              </w:rPr>
              <w:t>医疗保险等社会保险管理服务工作；做好农村五保供养对象服务以及劳动就业和社会保障其他方面的服务工作。</w:t>
            </w:r>
          </w:p>
        </w:tc>
        <w:tc>
          <w:tcPr>
            <w:tcW w:w="3648" w:type="dxa"/>
            <w:gridSpan w:val="4"/>
            <w:tcBorders>
              <w:top w:val="single" w:color="auto" w:sz="4" w:space="0"/>
              <w:left w:val="nil"/>
              <w:bottom w:val="single" w:color="auto" w:sz="4" w:space="0"/>
              <w:right w:val="single" w:color="auto" w:sz="4" w:space="0"/>
            </w:tcBorders>
            <w:shd w:val="clear" w:color="auto" w:fill="auto"/>
          </w:tcPr>
          <w:p>
            <w:pPr>
              <w:rPr>
                <w:rFonts w:hint="default"/>
                <w:color w:val="000000"/>
                <w:sz w:val="16"/>
                <w:szCs w:val="16"/>
              </w:rPr>
            </w:pPr>
            <w:r>
              <w:rPr>
                <w:rFonts w:cs="宋体"/>
                <w:color w:val="000000"/>
                <w:sz w:val="16"/>
                <w:szCs w:val="16"/>
              </w:rPr>
              <w:t>　全面完成2024年高家镇政府各项社会目标工作。1.做好辖区内纪检、宣传、统战、法制、武装、编制、人事、民宗侨台、基层党建、群团、基层人大工作、经济发展规划、农村经营管理、经济社会统计、扶贫开发、乡村振兴、民政、教育、文化、体育、社会救助、残疾人事业、劳动就业、社会保障，统筹负责卫生、计生、老龄事业发展、信访、社会治安综合治理、防范和处理邪教、村镇规划、村镇建设、环境保护、河长制、财政收支、预决算、总会计、惠农资金兑付、财政资金监督检查、绩效评价、村级财务管理、安全生产综合监管、应急管理、消防管理、城镇管理、集中行使依法授权或委托的行政执法权等相关工作。2.做好辖区内农技、农机、林业、水利水保、水产、畜牧兽医等方面的技术推广、信息、资源环境保护、灾害防治、水利工程等服务工作。3.做好文化、宣传、广播电视、体育、乡村旅游、科技培训等方面服务工作。4.区内退役军人保障服务工作，做好关系转接、信息采集、情况反映、慰问帮扶等工作。5.承担辖区范围内集中行使农林水利、规划建设、市政管理、环境保护、卫生计生、文化旅游、民政管理等领域的行政处罚权。6.承担失业人员就业培训、职业介绍、就业创业指导、就业再就业小额贷款推荐审核等管理服务工作；负责养老保险、失业保险、城乡居民</w:t>
            </w:r>
            <w:r>
              <w:rPr>
                <w:rFonts w:hint="eastAsia" w:cs="宋体"/>
                <w:color w:val="000000"/>
                <w:sz w:val="16"/>
                <w:szCs w:val="16"/>
                <w:lang w:eastAsia="zh-CN"/>
              </w:rPr>
              <w:t>基本</w:t>
            </w:r>
            <w:r>
              <w:rPr>
                <w:rFonts w:cs="宋体"/>
                <w:color w:val="000000"/>
                <w:sz w:val="16"/>
                <w:szCs w:val="16"/>
              </w:rPr>
              <w:t>医疗保险等社会保险管理服务工作；做好农村五保供养对象服务以及劳动就业和社会保障其他方面的服务工作。</w:t>
            </w:r>
          </w:p>
        </w:tc>
        <w:tc>
          <w:tcPr>
            <w:tcW w:w="3685" w:type="dxa"/>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16"/>
                <w:szCs w:val="16"/>
              </w:rPr>
            </w:pPr>
            <w:r>
              <w:rPr>
                <w:rFonts w:cs="宋体"/>
                <w:color w:val="000000"/>
                <w:sz w:val="16"/>
                <w:szCs w:val="16"/>
              </w:rPr>
              <w:t>全面完成了2024年高家镇政府各项社会目标工作。1.做好了辖区内纪检、宣传、统战、法制、武装、编制、人事、民宗侨台、基层党建、群团、基层人大工作、经济发展规划、农村经营管理、经济社会统计、扶贫开发、乡村振兴、民政、教育、文化、体育、社会救助、残疾人事业、劳动就业、社会保障，统筹负责卫生、计生、老龄事业发展、信访、社会治安综合治理、防范和处理邪教、村镇规划、村镇建设、环境保护、河长制、财政收支、预决算、总会计、惠农资金兑付、财政资金监督检查、绩效评价、村级财务管理、安全生产综合监管、应急管理、消防管理、城镇管理、集中行使依法授权或委托的行政执法权等相关工作。2.做好了辖区内农技、农机、林业、水利水保、水产、畜牧兽医等方面的技术推广、信息、资源环境保护、灾害防治、水利工程等服务工作。3.做好文化、宣传、广播电视、体育、乡村旅游、科技培训等方面服务工作。4.区内退役军人保障服务工作，做好了关系转接、信息采集、情况反映、慰问帮扶等工作。5.承担了辖区范围内集中行使农林水利、规划建设、市政管理、环境保护、卫生计生、文化旅游、民政管理等领域的行政处罚权。6.承担失业人员就业培训、职业介绍、就业创业指导、就业再就业小额贷款推荐审核等管理服务工作；负责养老保险、失业保险、城乡居民</w:t>
            </w:r>
            <w:r>
              <w:rPr>
                <w:rFonts w:hint="eastAsia" w:cs="宋体"/>
                <w:color w:val="000000"/>
                <w:sz w:val="16"/>
                <w:szCs w:val="16"/>
                <w:lang w:eastAsia="zh-CN"/>
              </w:rPr>
              <w:t>基本</w:t>
            </w:r>
            <w:r>
              <w:rPr>
                <w:rFonts w:cs="宋体"/>
                <w:color w:val="000000"/>
                <w:sz w:val="16"/>
                <w:szCs w:val="16"/>
              </w:rPr>
              <w:t>医疗保险等社会保险管理服务工作；做好了农村五保供养对象服务以及劳动就业和社会保障其他方面的服务工作。</w:t>
            </w:r>
          </w:p>
          <w:p>
            <w:pPr>
              <w:rPr>
                <w:rFonts w:hint="default"/>
                <w:color w:val="000000"/>
                <w:sz w:val="16"/>
                <w:szCs w:val="16"/>
              </w:rPr>
            </w:pPr>
          </w:p>
        </w:tc>
      </w:tr>
      <w:tr>
        <w:tblPrEx>
          <w:tblCellMar>
            <w:top w:w="0" w:type="dxa"/>
            <w:left w:w="108" w:type="dxa"/>
            <w:bottom w:w="0" w:type="dxa"/>
            <w:right w:w="108" w:type="dxa"/>
          </w:tblCellMar>
        </w:tblPrEx>
        <w:trPr>
          <w:trHeight w:val="2000" w:hRule="atLeast"/>
          <w:jc w:val="center"/>
        </w:trPr>
        <w:tc>
          <w:tcPr>
            <w:tcW w:w="11068"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rPr>
              <w:t>绩效指标</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指标</w:t>
            </w:r>
          </w:p>
          <w:p>
            <w:pPr>
              <w:jc w:val="center"/>
              <w:rPr>
                <w:rFonts w:hint="default"/>
                <w:b/>
                <w:bCs/>
                <w:color w:val="000000"/>
                <w:sz w:val="16"/>
                <w:szCs w:val="16"/>
              </w:rPr>
            </w:pPr>
            <w:r>
              <w:rPr>
                <w:rFonts w:cs="宋体"/>
                <w:b/>
                <w:bCs/>
                <w:color w:val="000000"/>
                <w:sz w:val="16"/>
                <w:szCs w:val="16"/>
              </w:rPr>
              <w:t>名称</w:t>
            </w:r>
          </w:p>
        </w:tc>
        <w:tc>
          <w:tcPr>
            <w:tcW w:w="616"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指标</w:t>
            </w:r>
          </w:p>
          <w:p>
            <w:pPr>
              <w:jc w:val="center"/>
              <w:rPr>
                <w:rFonts w:hint="default"/>
                <w:b/>
                <w:bCs/>
                <w:color w:val="000000"/>
                <w:sz w:val="16"/>
                <w:szCs w:val="16"/>
              </w:rPr>
            </w:pPr>
            <w:r>
              <w:rPr>
                <w:rFonts w:cs="宋体"/>
                <w:b/>
                <w:bCs/>
                <w:color w:val="000000"/>
                <w:sz w:val="16"/>
                <w:szCs w:val="16"/>
              </w:rPr>
              <w:t>性质</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指标值</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全年完成值</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偏离度（%）</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得分系数（%）</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指标</w:t>
            </w:r>
          </w:p>
          <w:p>
            <w:pPr>
              <w:jc w:val="center"/>
              <w:rPr>
                <w:rFonts w:hint="default"/>
                <w:b/>
                <w:bCs/>
                <w:color w:val="000000"/>
                <w:sz w:val="16"/>
                <w:szCs w:val="16"/>
              </w:rPr>
            </w:pPr>
            <w:r>
              <w:rPr>
                <w:rFonts w:cs="宋体"/>
                <w:b/>
                <w:bCs/>
                <w:color w:val="000000"/>
                <w:sz w:val="16"/>
                <w:szCs w:val="16"/>
              </w:rPr>
              <w:t>权重</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指标</w:t>
            </w:r>
          </w:p>
          <w:p>
            <w:pPr>
              <w:jc w:val="center"/>
              <w:rPr>
                <w:rFonts w:hint="default"/>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b/>
                <w:bCs/>
                <w:color w:val="000000"/>
                <w:sz w:val="16"/>
                <w:szCs w:val="16"/>
              </w:rPr>
            </w:pPr>
            <w:r>
              <w:rPr>
                <w:rFonts w:cs="宋体"/>
                <w:b/>
                <w:bCs/>
                <w:color w:val="000000"/>
                <w:sz w:val="16"/>
                <w:szCs w:val="16"/>
              </w:rPr>
              <w:t>说明</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圆满完成各项社会目标工作</w:t>
            </w:r>
          </w:p>
        </w:tc>
        <w:tc>
          <w:tcPr>
            <w:tcW w:w="61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p>
        </w:tc>
        <w:tc>
          <w:tcPr>
            <w:tcW w:w="85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定性</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优</w:t>
            </w:r>
          </w:p>
        </w:tc>
        <w:tc>
          <w:tcPr>
            <w:tcW w:w="1034"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w:t>
            </w:r>
          </w:p>
        </w:tc>
        <w:tc>
          <w:tcPr>
            <w:tcW w:w="86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20</w:t>
            </w:r>
          </w:p>
        </w:tc>
        <w:tc>
          <w:tcPr>
            <w:tcW w:w="79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20</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是</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持续全年开展工作</w:t>
            </w:r>
          </w:p>
        </w:tc>
        <w:tc>
          <w:tcPr>
            <w:tcW w:w="61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年</w:t>
            </w:r>
          </w:p>
        </w:tc>
        <w:tc>
          <w:tcPr>
            <w:tcW w:w="85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w:t>
            </w:r>
          </w:p>
        </w:tc>
        <w:tc>
          <w:tcPr>
            <w:tcW w:w="1034"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w:t>
            </w:r>
          </w:p>
        </w:tc>
        <w:tc>
          <w:tcPr>
            <w:tcW w:w="86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10</w:t>
            </w:r>
          </w:p>
        </w:tc>
        <w:tc>
          <w:tcPr>
            <w:tcW w:w="79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10</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否</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维护安定和谐的社会</w:t>
            </w:r>
          </w:p>
        </w:tc>
        <w:tc>
          <w:tcPr>
            <w:tcW w:w="61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p>
        </w:tc>
        <w:tc>
          <w:tcPr>
            <w:tcW w:w="85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定性</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优</w:t>
            </w:r>
          </w:p>
        </w:tc>
        <w:tc>
          <w:tcPr>
            <w:tcW w:w="1034"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w:t>
            </w:r>
          </w:p>
        </w:tc>
        <w:tc>
          <w:tcPr>
            <w:tcW w:w="86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20</w:t>
            </w:r>
          </w:p>
        </w:tc>
        <w:tc>
          <w:tcPr>
            <w:tcW w:w="79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20</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是</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保护辖区内环境，保持森林河流等资源不被破坏</w:t>
            </w:r>
          </w:p>
        </w:tc>
        <w:tc>
          <w:tcPr>
            <w:tcW w:w="61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p>
        </w:tc>
        <w:tc>
          <w:tcPr>
            <w:tcW w:w="85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定性</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优</w:t>
            </w:r>
          </w:p>
        </w:tc>
        <w:tc>
          <w:tcPr>
            <w:tcW w:w="1034"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w:t>
            </w:r>
          </w:p>
        </w:tc>
        <w:tc>
          <w:tcPr>
            <w:tcW w:w="86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20</w:t>
            </w:r>
          </w:p>
        </w:tc>
        <w:tc>
          <w:tcPr>
            <w:tcW w:w="79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20</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是</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长期建设更好的经济发达镇</w:t>
            </w:r>
          </w:p>
        </w:tc>
        <w:tc>
          <w:tcPr>
            <w:tcW w:w="61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p>
        </w:tc>
        <w:tc>
          <w:tcPr>
            <w:tcW w:w="85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定性</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优</w:t>
            </w:r>
          </w:p>
        </w:tc>
        <w:tc>
          <w:tcPr>
            <w:tcW w:w="1034"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w:t>
            </w:r>
          </w:p>
        </w:tc>
        <w:tc>
          <w:tcPr>
            <w:tcW w:w="86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20</w:t>
            </w:r>
          </w:p>
        </w:tc>
        <w:tc>
          <w:tcPr>
            <w:tcW w:w="79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20</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是</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受益群众满意度</w:t>
            </w:r>
          </w:p>
        </w:tc>
        <w:tc>
          <w:tcPr>
            <w:tcW w:w="61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w:t>
            </w:r>
          </w:p>
        </w:tc>
        <w:tc>
          <w:tcPr>
            <w:tcW w:w="85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90</w:t>
            </w:r>
          </w:p>
        </w:tc>
        <w:tc>
          <w:tcPr>
            <w:tcW w:w="1034"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90</w:t>
            </w:r>
          </w:p>
        </w:tc>
        <w:tc>
          <w:tcPr>
            <w:tcW w:w="86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10</w:t>
            </w:r>
          </w:p>
        </w:tc>
        <w:tc>
          <w:tcPr>
            <w:tcW w:w="799"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10</w:t>
            </w:r>
          </w:p>
        </w:tc>
        <w:tc>
          <w:tcPr>
            <w:tcW w:w="99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6"/>
                <w:szCs w:val="16"/>
              </w:rPr>
            </w:pPr>
            <w:r>
              <w:rPr>
                <w:rFonts w:cs="宋体"/>
                <w:color w:val="000000"/>
                <w:sz w:val="16"/>
                <w:szCs w:val="16"/>
              </w:rPr>
              <w:t xml:space="preserve">否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rPr>
                <w:rFonts w:hint="default" w:cs="宋体"/>
                <w:color w:val="000000"/>
                <w:sz w:val="16"/>
                <w:szCs w:val="16"/>
              </w:rPr>
            </w:pPr>
          </w:p>
        </w:tc>
      </w:tr>
    </w:tbl>
    <w:p>
      <w:pPr>
        <w:pStyle w:val="15"/>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5"/>
        <w:autoSpaceDE w:val="0"/>
        <w:spacing w:before="0" w:beforeAutospacing="0" w:after="0" w:afterAutospacing="0" w:line="596"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7"/>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对131个项目开展了绩效评价，涉及财政拨款项目资金4604.69万元，综合评价得分92分，评价等次为优，总的来说，绩效评价发现了在项目进度的把握上不太严格，有时会出现超进度或者慢进度拨款、绩效管理的经验不足、绩效考评指标的设计上有待完善等主要问题，提出项目管理过程中，需更加严格的把握项目进度，严格落实资金拨付制度，非特殊情况不得超进度拨付资金，合理拟定项目绩效，严格落实完成既定项目绩效等下一步工作建议。</w:t>
      </w:r>
    </w:p>
    <w:p>
      <w:pPr>
        <w:pStyle w:val="19"/>
        <w:autoSpaceDE w:val="0"/>
        <w:spacing w:line="596" w:lineRule="exact"/>
        <w:ind w:firstLine="643"/>
        <w:rPr>
          <w:rFonts w:hint="default" w:ascii="方正仿宋_GBK" w:hAnsi="方正仿宋_GBK" w:eastAsia="方正仿宋_GBK" w:cs="方正仿宋_GBK"/>
          <w:b w:val="0"/>
          <w:bCs w:val="0"/>
          <w:sz w:val="32"/>
          <w:szCs w:val="32"/>
          <w:shd w:val="clear" w:color="auto" w:fill="FFFFFF"/>
        </w:rPr>
      </w:pPr>
      <w:bookmarkStart w:id="1" w:name="_GoBack"/>
      <w:r>
        <w:rPr>
          <w:rFonts w:ascii="楷体" w:hAnsi="楷体" w:eastAsia="楷体" w:cs="楷体"/>
          <w:b w:val="0"/>
          <w:bCs w:val="0"/>
          <w:sz w:val="32"/>
          <w:szCs w:val="32"/>
          <w:shd w:val="clear" w:color="auto" w:fill="FFFFFF"/>
          <w:lang w:bidi="ar"/>
        </w:rPr>
        <w:t>（三）财政绩效评价情况</w:t>
      </w:r>
    </w:p>
    <w:p>
      <w:pPr>
        <w:pStyle w:val="14"/>
        <w:autoSpaceDE w:val="0"/>
        <w:ind w:firstLine="64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县财政局未委托</w:t>
      </w:r>
      <w:r>
        <w:rPr>
          <w:rFonts w:hint="eastAsia" w:ascii="方正仿宋_GBK" w:hAnsi="方正仿宋_GBK" w:eastAsia="方正仿宋_GBK" w:cs="方正仿宋_GBK"/>
          <w:b w:val="0"/>
          <w:bCs w:val="0"/>
          <w:sz w:val="32"/>
          <w:szCs w:val="32"/>
          <w:highlight w:val="none"/>
          <w:shd w:val="clear" w:color="auto" w:fill="FFFFFF"/>
        </w:rPr>
        <w:t>第三方对我部门开展绩效</w:t>
      </w:r>
      <w:r>
        <w:rPr>
          <w:rFonts w:hint="eastAsia" w:ascii="方正仿宋_GBK" w:hAnsi="方正仿宋_GBK" w:eastAsia="方正仿宋_GBK" w:cs="方正仿宋_GBK"/>
          <w:b w:val="0"/>
          <w:bCs w:val="0"/>
          <w:sz w:val="32"/>
          <w:szCs w:val="32"/>
          <w:shd w:val="clear" w:color="auto" w:fill="FFFFFF"/>
        </w:rPr>
        <w:t>评价。</w:t>
      </w:r>
    </w:p>
    <w:p>
      <w:pPr>
        <w:pStyle w:val="15"/>
        <w:autoSpaceDE w:val="0"/>
        <w:spacing w:before="0" w:beforeAutospacing="0" w:after="0" w:afterAutospacing="0" w:line="596" w:lineRule="exact"/>
        <w:rPr>
          <w:rFonts w:ascii="方正仿宋_GBK" w:hAnsi="方正仿宋_GBK" w:eastAsia="方正仿宋_GBK" w:cs="方正仿宋_GBK"/>
          <w:b w:val="0"/>
          <w:bCs w:val="0"/>
          <w:sz w:val="32"/>
          <w:szCs w:val="32"/>
        </w:rPr>
      </w:pPr>
      <w:r>
        <w:rPr>
          <w:rStyle w:val="16"/>
          <w:rFonts w:hint="eastAsia" w:ascii="方正仿宋_GBK" w:hAnsi="方正仿宋_GBK" w:eastAsia="方正仿宋_GBK" w:cs="方正仿宋_GBK"/>
          <w:b w:val="0"/>
          <w:bCs w:val="0"/>
          <w:sz w:val="32"/>
          <w:szCs w:val="32"/>
          <w:shd w:val="clear" w:color="auto" w:fill="FFFFFF"/>
        </w:rPr>
        <w:t xml:space="preserve">   </w:t>
      </w:r>
      <w:r>
        <w:rPr>
          <w:rStyle w:val="13"/>
          <w:rFonts w:hint="eastAsia" w:ascii="黑体" w:hAnsi="黑体" w:eastAsia="黑体" w:cs="黑体"/>
          <w:b w:val="0"/>
          <w:bCs w:val="0"/>
          <w:sz w:val="32"/>
          <w:szCs w:val="32"/>
          <w:shd w:val="clear" w:color="auto" w:fill="FFFFFF"/>
        </w:rPr>
        <w:t xml:space="preserve"> 六、专业名词解释</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（一）财政拨款收入：</w:t>
      </w:r>
      <w:r>
        <w:rPr>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（二）事业收入：</w:t>
      </w:r>
      <w:r>
        <w:rPr>
          <w:rFonts w:hint="eastAsia"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（三）经营收入：</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（四）其他收入：</w:t>
      </w:r>
      <w:r>
        <w:rPr>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（五）使用非财政拨款结余（含专用结余）：</w:t>
      </w:r>
      <w:r>
        <w:rPr>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（六）年初结转和结余：</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（七）结余分配：</w:t>
      </w:r>
      <w:r>
        <w:rPr>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（八）年末结转和结余：</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（九）基本支出：</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（十）项目支出：</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（十一）经营支出：</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（十二）“三公”经费：</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（十三）机关运行经费：</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（十四）工资福利支出（支出经济分类科目类级）：</w:t>
      </w:r>
      <w:r>
        <w:rPr>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w:t>
      </w:r>
      <w:r>
        <w:rPr>
          <w:rFonts w:hint="eastAsia" w:ascii="方正仿宋_GBK" w:hAnsi="方正仿宋_GBK" w:eastAsia="方正仿宋_GBK" w:cs="方正仿宋_GBK"/>
          <w:b w:val="0"/>
          <w:bCs w:val="0"/>
          <w:sz w:val="32"/>
          <w:szCs w:val="32"/>
          <w:shd w:val="clear" w:color="auto" w:fill="FFFFFF"/>
          <w:lang w:eastAsia="zh-CN"/>
        </w:rPr>
        <w:t>交</w:t>
      </w:r>
      <w:r>
        <w:rPr>
          <w:rFonts w:hint="eastAsia" w:ascii="方正仿宋_GBK" w:hAnsi="方正仿宋_GBK" w:eastAsia="方正仿宋_GBK" w:cs="方正仿宋_GBK"/>
          <w:b w:val="0"/>
          <w:bCs w:val="0"/>
          <w:sz w:val="32"/>
          <w:szCs w:val="32"/>
          <w:shd w:val="clear" w:color="auto" w:fill="FFFFFF"/>
        </w:rPr>
        <w:t>纳的各项社会保险费等。</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（十五）商品和服务支出（支出经济分类科目类级）：</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（十六）对个人和家庭的补助（支出经济分类科目类级）：</w:t>
      </w:r>
      <w:r>
        <w:rPr>
          <w:rFonts w:hint="eastAsia" w:ascii="方正仿宋_GBK" w:hAnsi="方正仿宋_GBK" w:eastAsia="方正仿宋_GBK" w:cs="方正仿宋_GBK"/>
          <w:b w:val="0"/>
          <w:bCs w:val="0"/>
          <w:sz w:val="32"/>
          <w:szCs w:val="32"/>
          <w:shd w:val="clear" w:color="auto" w:fill="FFFFFF"/>
        </w:rPr>
        <w:t>反映用于对个人和家庭的补助支出。</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楷体" w:hAnsi="楷体" w:eastAsia="楷体" w:cs="楷体"/>
          <w:b w:val="0"/>
          <w:bCs w:val="0"/>
          <w:sz w:val="32"/>
          <w:szCs w:val="32"/>
          <w:shd w:val="clear" w:color="auto" w:fill="FFFFFF"/>
        </w:rPr>
        <w:t>（十七）其他资本性支出（支出经济分类科目类级）：</w:t>
      </w:r>
      <w:r>
        <w:rPr>
          <w:rFonts w:hint="eastAsia"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3"/>
          <w:rFonts w:hint="eastAsia" w:ascii="黑体" w:hAnsi="黑体" w:eastAsia="黑体" w:cs="黑体"/>
          <w:b w:val="0"/>
          <w:bCs w:val="0"/>
          <w:sz w:val="32"/>
          <w:szCs w:val="32"/>
          <w:shd w:val="clear" w:color="auto" w:fill="FFFFFF"/>
        </w:rPr>
        <w:t>七、决算公开联系方式及信息反馈渠道</w:t>
      </w:r>
    </w:p>
    <w:p>
      <w:pPr>
        <w:pStyle w:val="15"/>
        <w:spacing w:before="0" w:beforeAutospacing="0" w:after="0" w:afterAutospacing="0" w:line="596" w:lineRule="exact"/>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w:t>
      </w:r>
      <w:r>
        <w:rPr>
          <w:rFonts w:hint="eastAsia" w:ascii="方正仿宋_GBK" w:hAnsi="方正仿宋_GBK" w:eastAsia="方正仿宋_GBK" w:cs="方正仿宋_GBK"/>
          <w:b w:val="0"/>
          <w:bCs w:val="0"/>
          <w:sz w:val="32"/>
          <w:szCs w:val="32"/>
          <w:highlight w:val="none"/>
          <w:shd w:val="clear" w:color="auto" w:fill="FFFFFF"/>
        </w:rPr>
        <w:t>部门决算</w:t>
      </w:r>
      <w:r>
        <w:rPr>
          <w:rFonts w:hint="eastAsia" w:ascii="方正仿宋_GBK" w:hAnsi="方正仿宋_GBK" w:eastAsia="方正仿宋_GBK" w:cs="方正仿宋_GBK"/>
          <w:b w:val="0"/>
          <w:bCs w:val="0"/>
          <w:sz w:val="32"/>
          <w:szCs w:val="32"/>
          <w:shd w:val="clear" w:color="auto" w:fill="FFFFFF"/>
        </w:rPr>
        <w:t>公开信息反馈和联系方式：</w:t>
      </w:r>
    </w:p>
    <w:p>
      <w:pPr>
        <w:pStyle w:val="15"/>
        <w:spacing w:before="0" w:beforeAutospacing="0" w:after="0" w:afterAutospacing="0" w:line="596" w:lineRule="exact"/>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吴寒   023-70661331</w:t>
      </w:r>
    </w:p>
    <w:p>
      <w:pPr>
        <w:pStyle w:val="14"/>
        <w:autoSpaceDE w:val="0"/>
        <w:spacing w:line="596" w:lineRule="exact"/>
        <w:ind w:firstLine="643"/>
        <w:jc w:val="both"/>
        <w:rPr>
          <w:rStyle w:val="13"/>
          <w:rFonts w:ascii="方正仿宋_GBK" w:hAnsi="方正仿宋_GBK" w:eastAsia="方正仿宋_GBK" w:cs="方正仿宋_GBK"/>
          <w:b w:val="0"/>
          <w:bCs w:val="0"/>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bookmarkEnd w:id="1"/>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丰都县高家镇人民政府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8,055.43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2,183.10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885.63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8,146.18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8,146.11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8,148.40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8,148.40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丰都县高家镇人民政府</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8,146.18</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8,146.18</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2,183.17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2,183.17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2,113.02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2,113.02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1,107.18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1,107.18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1,005.84</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1,005.84</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155.09</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155.09</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1,357.73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1,357.73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171.72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171.72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885.63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885.63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348.41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348.41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348.41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348.41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农业土地开发资金安排的支出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2,088.40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2,088.40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609.13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609.13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乡村道路建设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大中型水库移民后期扶持专项支出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21372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大中型水库移民后期扶持基金支出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2137202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丰都县高家镇人民政府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8,146.11</w:t>
            </w:r>
            <w:r>
              <w:rPr>
                <w:rFonts w:ascii="Times New Roman" w:hAnsi="Times New Roman"/>
                <w:b/>
                <w:color w:val="000000"/>
                <w:sz w:val="20"/>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3,541.42</w:t>
            </w:r>
            <w:r>
              <w:rPr>
                <w:rFonts w:ascii="Times New Roman" w:hAnsi="Times New Roman"/>
                <w:b/>
                <w:color w:val="000000"/>
                <w:sz w:val="20"/>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4,604.69</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2,183.10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1,380.17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802.93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2,112.95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1,380.17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732.77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1,107.11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1,107.11</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1,005.84</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273.07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732.77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191.33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1,357.73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990.14</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367.59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171.72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168.96</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168.96</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243.08</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287.38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243.08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267.38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885.63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223.02</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662.61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348.41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223.02</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348.41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223.02</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农业土地开发资金安排的支出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2,088.40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590.75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1,497.65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609.13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460.28</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148.85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乡村道路建设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大中型水库移民后期扶持专项支出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130.48</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21372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大中型水库移民后期扶持基金支出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2137202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丰都县高家镇人民政府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8,055.43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2,183.10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2,183.10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14.92</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2,041.57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8,146.18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8,055.36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8,148.40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8,148.40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8,057.65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丰都县高家镇人民政府</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8,055.36</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3,541.42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4,513.94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2,183.10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1,380.17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802.93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2,112.95</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1,380.17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732.77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1,107.11</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1,107.11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1,005.84</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273.07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269.70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232.60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154.23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155.09</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1,357.73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990.14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171.72</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168.96</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530.45</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243.08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287.38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510.45</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243.08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870.71</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223.02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647.69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348.41</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223.02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348.41</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223.02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2,041.57</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590.75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1,450.82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609.13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460.28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乡村道路建设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大中型水库移民后期扶持专项支出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208.95</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130.48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206.53</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130.48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216.49</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丰都县高家镇人民政府</w:t>
            </w:r>
          </w:p>
        </w:tc>
        <w:tc>
          <w:tcPr>
            <w:tcW w:w="14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2,350.90</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487.65</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13.73</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577.64</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80.21</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182.18</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13.73</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323.54</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494.45</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210.95</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135.10</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32.99</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19.42</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41.47</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142.15</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58.64</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117.77</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689.14</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656.91</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44.69</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78.27</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43.33</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101.78</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3,040.04</w:t>
            </w:r>
            <w:r>
              <w:rPr>
                <w:rFonts w:ascii="Times New Roman" w:hAnsi="Times New Roman"/>
                <w:color w:val="000000"/>
                <w:sz w:val="18"/>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501.38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丰都县高家镇人民政府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90.75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90.75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90.75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14.92</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农业土地开发资金安排的支出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21366</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大中型水库库区基金安排的支出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2136601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2136902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三峡后续工作</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21372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大中型水库移民后期扶持基金支出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2137202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丰都县高家镇人民政府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丰都县高家镇人民政府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176.66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84.13</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84.13</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176.66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68.42</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68.42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68.42</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68.42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15.71</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2,450</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52.49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8B162"/>
    <w:multiLevelType w:val="singleLevel"/>
    <w:tmpl w:val="C598B1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4C1C"/>
    <w:rsid w:val="000C01CC"/>
    <w:rsid w:val="000D7702"/>
    <w:rsid w:val="000F6721"/>
    <w:rsid w:val="001632EC"/>
    <w:rsid w:val="00261065"/>
    <w:rsid w:val="002D0E5A"/>
    <w:rsid w:val="002D71F4"/>
    <w:rsid w:val="002E5443"/>
    <w:rsid w:val="0032196C"/>
    <w:rsid w:val="004852DA"/>
    <w:rsid w:val="004C12FF"/>
    <w:rsid w:val="004D0390"/>
    <w:rsid w:val="00550ABE"/>
    <w:rsid w:val="005A31F9"/>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09BA"/>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5D83DCF"/>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DAB1470"/>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8538F6"/>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071974"/>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87FD03A2"/>
    <w:rsid w:val="D9D32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5338</Words>
  <Characters>30427</Characters>
  <Lines>253</Lines>
  <Paragraphs>71</Paragraphs>
  <TotalTime>12</TotalTime>
  <ScaleCrop>false</ScaleCrop>
  <LinksUpToDate>false</LinksUpToDate>
  <CharactersWithSpaces>35694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fengdu</cp:lastModifiedBy>
  <dcterms:modified xsi:type="dcterms:W3CDTF">2025-09-16T15:45:11Z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