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1760" w:firstLineChars="400"/>
        <w:jc w:val="both"/>
        <w:rPr>
          <w:rFonts w:hint="default" w:ascii="Times New Roman" w:hAnsi="Times New Roman" w:eastAsia="方正小标宋_GBK"/>
          <w:sz w:val="44"/>
          <w:szCs w:val="44"/>
        </w:rPr>
      </w:pPr>
      <w:r>
        <w:rPr>
          <w:rFonts w:ascii="方正小标宋_GBK" w:hAnsi="方正小标宋_GBK" w:eastAsia="方正小标宋_GBK" w:cs="方正小标宋_GBK"/>
          <w:sz w:val="44"/>
          <w:szCs w:val="44"/>
        </w:rPr>
        <w:t>丰都县包鸾镇人民政府</w:t>
      </w:r>
    </w:p>
    <w:p>
      <w:pPr>
        <w:spacing w:line="594" w:lineRule="exact"/>
        <w:ind w:firstLine="1320" w:firstLineChars="300"/>
        <w:jc w:val="both"/>
        <w:rPr>
          <w:rFonts w:hint="default" w:ascii="Times New Roman" w:hAnsi="Times New Roman" w:eastAsia="方正小标宋_GBK"/>
          <w:sz w:val="44"/>
          <w:szCs w:val="44"/>
        </w:rPr>
      </w:pPr>
      <w:r>
        <w:rPr>
          <w:rFonts w:hint="default" w:ascii="Times New Roman" w:hAnsi="Times New Roman" w:eastAsia="方正小标宋_GBK"/>
          <w:sz w:val="44"/>
          <w:szCs w:val="44"/>
        </w:rPr>
        <w:t>2022</w:t>
      </w:r>
      <w:r>
        <w:rPr>
          <w:rFonts w:ascii="方正小标宋_GBK" w:hAnsi="方正小标宋_GBK" w:eastAsia="方正小标宋_GBK" w:cs="方正小标宋_GBK"/>
          <w:sz w:val="44"/>
          <w:szCs w:val="44"/>
        </w:rPr>
        <w:t>年度部门决算情况说明</w:t>
      </w:r>
    </w:p>
    <w:p>
      <w:pPr>
        <w:pStyle w:val="14"/>
        <w:spacing w:beforeAutospacing="0"/>
        <w:jc w:val="both"/>
        <w:rPr>
          <w:rFonts w:hint="default" w:cs="宋体"/>
        </w:rPr>
      </w:pPr>
      <w:r>
        <w:rPr>
          <w:rFonts w:cs="宋体"/>
        </w:rPr>
        <w:t xml:space="preserve"> </w:t>
      </w:r>
    </w:p>
    <w:p>
      <w:pPr>
        <w:autoSpaceDE w:val="0"/>
        <w:spacing w:line="594" w:lineRule="exact"/>
        <w:ind w:firstLine="640" w:firstLineChars="200"/>
        <w:jc w:val="both"/>
        <w:rPr>
          <w:rFonts w:hint="default" w:ascii="Times New Roman" w:hAnsi="Times New Roman" w:eastAsia="方正黑体_GBK" w:cs="宋体"/>
          <w:sz w:val="32"/>
          <w:szCs w:val="32"/>
        </w:rPr>
      </w:pPr>
      <w:r>
        <w:rPr>
          <w:rFonts w:ascii="方正黑体_GBK" w:hAnsi="方正黑体_GBK" w:eastAsia="方正黑体_GBK" w:cs="方正黑体_GBK"/>
          <w:sz w:val="32"/>
          <w:szCs w:val="32"/>
        </w:rPr>
        <w:t>一、部门基本情况</w:t>
      </w:r>
    </w:p>
    <w:p>
      <w:pPr>
        <w:autoSpaceDE w:val="0"/>
        <w:spacing w:line="594" w:lineRule="exact"/>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（一）职能职责</w:t>
      </w:r>
    </w:p>
    <w:p>
      <w:pPr>
        <w:autoSpaceDE w:val="0"/>
        <w:spacing w:line="600" w:lineRule="exact"/>
        <w:ind w:firstLine="640" w:firstLineChars="200"/>
        <w:jc w:val="both"/>
        <w:outlineLvl w:val="0"/>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丰都县包鸾镇人民政府主要职责为：</w:t>
      </w:r>
      <w:r>
        <w:rPr>
          <w:rFonts w:hint="default" w:ascii="Times New Roman" w:hAnsi="Times New Roman" w:eastAsia="方正仿宋_GBK"/>
          <w:sz w:val="32"/>
          <w:szCs w:val="32"/>
        </w:rPr>
        <w:t>1.</w:t>
      </w:r>
      <w:r>
        <w:rPr>
          <w:rFonts w:ascii="方正仿宋_GBK" w:hAnsi="方正仿宋_GBK" w:eastAsia="方正仿宋_GBK" w:cs="方正仿宋_GBK"/>
          <w:sz w:val="32"/>
          <w:szCs w:val="32"/>
        </w:rPr>
        <w:t>执行本级人民代表大会的决议和上级国家行政机关的决定和命令，发布决定和命令。</w:t>
      </w:r>
      <w:r>
        <w:rPr>
          <w:rFonts w:hint="default" w:ascii="Times New Roman" w:hAnsi="Times New Roman" w:eastAsia="方正仿宋_GBK"/>
          <w:sz w:val="32"/>
          <w:szCs w:val="32"/>
        </w:rPr>
        <w:t>2.</w:t>
      </w:r>
      <w:r>
        <w:rPr>
          <w:rFonts w:ascii="方正仿宋_GBK" w:hAnsi="方正仿宋_GBK" w:eastAsia="方正仿宋_GBK" w:cs="方正仿宋_GBK"/>
          <w:sz w:val="32"/>
          <w:szCs w:val="32"/>
        </w:rPr>
        <w:t>执行本行政区域内的经济和社会发展计划，加强公共设施的建设和管理，发展各项服务事业。</w:t>
      </w:r>
      <w:r>
        <w:rPr>
          <w:rFonts w:hint="default" w:ascii="Times New Roman" w:hAnsi="Times New Roman" w:eastAsia="方正仿宋_GBK"/>
          <w:sz w:val="32"/>
          <w:szCs w:val="32"/>
        </w:rPr>
        <w:t>3.</w:t>
      </w:r>
      <w:r>
        <w:rPr>
          <w:rFonts w:ascii="方正仿宋_GBK" w:hAnsi="方正仿宋_GBK" w:eastAsia="方正仿宋_GBK" w:cs="方正仿宋_GBK"/>
          <w:sz w:val="32"/>
          <w:szCs w:val="32"/>
        </w:rPr>
        <w:t>依法管理本级财政、执行本级预算。</w:t>
      </w:r>
      <w:r>
        <w:rPr>
          <w:rFonts w:hint="default" w:ascii="Times New Roman" w:hAnsi="Times New Roman" w:eastAsia="方正仿宋_GBK"/>
          <w:sz w:val="32"/>
          <w:szCs w:val="32"/>
        </w:rPr>
        <w:t>4.</w:t>
      </w:r>
      <w:r>
        <w:rPr>
          <w:rFonts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群众</w:t>
      </w:r>
      <w:r>
        <w:rPr>
          <w:rFonts w:ascii="方正仿宋_GBK" w:hAnsi="方正仿宋_GBK" w:eastAsia="方正仿宋_GBK" w:cs="方正仿宋_GBK"/>
          <w:sz w:val="32"/>
          <w:szCs w:val="32"/>
        </w:rPr>
        <w:t>提供有效的科技、教育、文化、信息、卫生、体育、医疗、人才开发、劳动就业、安全生产等方面的服务。</w:t>
      </w:r>
      <w:r>
        <w:rPr>
          <w:rFonts w:hint="default" w:ascii="Times New Roman" w:hAnsi="Times New Roman" w:eastAsia="方正仿宋_GBK"/>
          <w:sz w:val="32"/>
          <w:szCs w:val="32"/>
        </w:rPr>
        <w:t>5.</w:t>
      </w:r>
      <w:r>
        <w:rPr>
          <w:rFonts w:ascii="方正仿宋_GBK" w:hAnsi="方正仿宋_GBK" w:eastAsia="方正仿宋_GBK" w:cs="方正仿宋_GBK"/>
          <w:sz w:val="32"/>
          <w:szCs w:val="32"/>
        </w:rPr>
        <w:t>保护国有资产和集体所有的财产，保护公民私人所有的合法财产、保障公民的人身权利、民主权利和其他权利，保护各种组织的合法权益。</w:t>
      </w:r>
      <w:r>
        <w:rPr>
          <w:rFonts w:hint="default" w:ascii="Times New Roman" w:hAnsi="Times New Roman" w:eastAsia="方正仿宋_GBK"/>
          <w:sz w:val="32"/>
          <w:szCs w:val="32"/>
        </w:rPr>
        <w:t>6.</w:t>
      </w:r>
      <w:r>
        <w:rPr>
          <w:rFonts w:ascii="方正仿宋_GBK" w:hAnsi="方正仿宋_GBK" w:eastAsia="方正仿宋_GBK" w:cs="方正仿宋_GBK"/>
          <w:sz w:val="32"/>
          <w:szCs w:val="32"/>
        </w:rPr>
        <w:t>开展社会主义民主与法制教育，加强社会治安综合治理，调解民事纠纷，维护社会秩序。</w:t>
      </w:r>
      <w:r>
        <w:rPr>
          <w:rFonts w:hint="eastAsia" w:ascii="Times New Roman" w:hAnsi="Times New Roman" w:eastAsia="方正仿宋_GBK"/>
          <w:sz w:val="32"/>
          <w:szCs w:val="32"/>
          <w:lang w:val="en-US" w:eastAsia="zh-CN"/>
        </w:rPr>
        <w:t>7</w:t>
      </w:r>
      <w:r>
        <w:rPr>
          <w:rFonts w:hint="default" w:ascii="Times New Roman" w:hAnsi="Times New Roman" w:eastAsia="方正仿宋_GBK"/>
          <w:sz w:val="32"/>
          <w:szCs w:val="32"/>
        </w:rPr>
        <w:t>.</w:t>
      </w:r>
      <w:r>
        <w:rPr>
          <w:rFonts w:ascii="方正仿宋_GBK" w:hAnsi="方正仿宋_GBK" w:eastAsia="方正仿宋_GBK" w:cs="方正仿宋_GBK"/>
          <w:sz w:val="32"/>
          <w:szCs w:val="32"/>
        </w:rPr>
        <w:t>负责民政工作，发展社会福利事业，做好社会保障工作，办理兵役事项。</w:t>
      </w:r>
      <w:r>
        <w:rPr>
          <w:rFonts w:hint="eastAsia" w:ascii="Times New Roman" w:hAnsi="Times New Roman" w:eastAsia="方正仿宋_GBK"/>
          <w:sz w:val="32"/>
          <w:szCs w:val="32"/>
          <w:lang w:val="en-US" w:eastAsia="zh-CN"/>
        </w:rPr>
        <w:t>8</w:t>
      </w:r>
      <w:r>
        <w:rPr>
          <w:rFonts w:hint="default" w:ascii="Times New Roman" w:hAnsi="Times New Roman" w:eastAsia="方正仿宋_GBK"/>
          <w:sz w:val="32"/>
          <w:szCs w:val="32"/>
        </w:rPr>
        <w:t>.</w:t>
      </w:r>
      <w:r>
        <w:rPr>
          <w:rFonts w:ascii="方正仿宋_GBK" w:hAnsi="方正仿宋_GBK" w:eastAsia="方正仿宋_GBK" w:cs="方正仿宋_GBK"/>
          <w:sz w:val="32"/>
          <w:szCs w:val="32"/>
        </w:rPr>
        <w:t>承办上级人民政府交办的其他事项。</w:t>
      </w:r>
    </w:p>
    <w:p>
      <w:pPr>
        <w:numPr>
          <w:ilvl w:val="0"/>
          <w:numId w:val="1"/>
        </w:numPr>
        <w:autoSpaceDE w:val="0"/>
        <w:spacing w:line="594" w:lineRule="exact"/>
        <w:ind w:firstLine="640" w:firstLineChars="200"/>
        <w:jc w:val="both"/>
        <w:rPr>
          <w:rFonts w:hint="default" w:ascii="方正楷体_GBK" w:hAnsi="方正楷体_GBK" w:eastAsia="方正楷体_GBK" w:cs="方正楷体_GBK"/>
          <w:sz w:val="32"/>
          <w:szCs w:val="32"/>
        </w:rPr>
      </w:pPr>
      <w:r>
        <w:rPr>
          <w:rFonts w:ascii="方正楷体_GBK" w:hAnsi="方正楷体_GBK" w:eastAsia="方正楷体_GBK" w:cs="方正楷体_GBK"/>
          <w:sz w:val="32"/>
          <w:szCs w:val="32"/>
        </w:rPr>
        <w:t>机构设置</w:t>
      </w:r>
    </w:p>
    <w:p>
      <w:pPr>
        <w:autoSpaceDE w:val="0"/>
        <w:spacing w:line="600" w:lineRule="exact"/>
        <w:ind w:firstLine="640" w:firstLineChars="200"/>
        <w:jc w:val="both"/>
        <w:outlineLvl w:val="0"/>
        <w:rPr>
          <w:rFonts w:hint="default" w:ascii="Times New Roman" w:hAnsi="Times New Roman" w:eastAsia="方正仿宋_GBK"/>
          <w:sz w:val="32"/>
          <w:szCs w:val="32"/>
        </w:rPr>
      </w:pPr>
      <w:r>
        <w:rPr>
          <w:rFonts w:hint="default" w:ascii="方正仿宋_GBK" w:hAnsi="方正仿宋_GBK" w:eastAsia="方正仿宋_GBK" w:cs="方正仿宋_GBK"/>
          <w:sz w:val="32"/>
          <w:szCs w:val="32"/>
        </w:rPr>
        <w:t>丰都县</w:t>
      </w:r>
      <w:r>
        <w:rPr>
          <w:rFonts w:ascii="方正仿宋_GBK" w:hAnsi="方正仿宋_GBK" w:eastAsia="方正仿宋_GBK" w:cs="方正仿宋_GBK"/>
          <w:sz w:val="32"/>
          <w:szCs w:val="32"/>
        </w:rPr>
        <w:t>包鸾</w:t>
      </w:r>
      <w:r>
        <w:rPr>
          <w:rFonts w:hint="default" w:ascii="方正仿宋_GBK" w:hAnsi="方正仿宋_GBK" w:eastAsia="方正仿宋_GBK" w:cs="方正仿宋_GBK"/>
          <w:sz w:val="32"/>
          <w:szCs w:val="32"/>
        </w:rPr>
        <w:t>镇机构设置如下：党政</w:t>
      </w:r>
      <w:r>
        <w:rPr>
          <w:rFonts w:ascii="方正仿宋_GBK" w:hAnsi="方正仿宋_GBK" w:eastAsia="方正仿宋_GBK" w:cs="方正仿宋_GBK"/>
          <w:sz w:val="32"/>
          <w:szCs w:val="32"/>
        </w:rPr>
        <w:t>办公室</w:t>
      </w:r>
      <w:r>
        <w:rPr>
          <w:rFonts w:hint="default" w:ascii="方正仿宋_GBK" w:hAnsi="方正仿宋_GBK" w:eastAsia="方正仿宋_GBK" w:cs="方正仿宋_GBK"/>
          <w:sz w:val="32"/>
          <w:szCs w:val="32"/>
        </w:rPr>
        <w:t>、党群</w:t>
      </w:r>
      <w:r>
        <w:rPr>
          <w:rFonts w:ascii="方正仿宋_GBK" w:hAnsi="方正仿宋_GBK" w:eastAsia="方正仿宋_GBK" w:cs="方正仿宋_GBK"/>
          <w:sz w:val="32"/>
          <w:szCs w:val="32"/>
        </w:rPr>
        <w:t>工作办公室</w:t>
      </w:r>
      <w:r>
        <w:rPr>
          <w:rFonts w:hint="default" w:ascii="方正仿宋_GBK" w:hAnsi="方正仿宋_GBK" w:eastAsia="方正仿宋_GBK" w:cs="方正仿宋_GBK"/>
          <w:sz w:val="32"/>
          <w:szCs w:val="32"/>
        </w:rPr>
        <w:t>、</w:t>
      </w:r>
      <w:r>
        <w:rPr>
          <w:rFonts w:ascii="方正仿宋_GBK" w:hAnsi="方正仿宋_GBK" w:eastAsia="方正仿宋_GBK" w:cs="方正仿宋_GBK"/>
          <w:sz w:val="32"/>
          <w:szCs w:val="32"/>
        </w:rPr>
        <w:t>经济发展办公室</w:t>
      </w:r>
      <w:r>
        <w:rPr>
          <w:rFonts w:hint="default" w:ascii="方正仿宋_GBK" w:hAnsi="方正仿宋_GBK" w:eastAsia="方正仿宋_GBK" w:cs="方正仿宋_GBK"/>
          <w:sz w:val="32"/>
          <w:szCs w:val="32"/>
        </w:rPr>
        <w:t>、民政和社会事务办公室、平安建设办公室、规划建设管理环保办公室、财政办</w:t>
      </w:r>
      <w:r>
        <w:rPr>
          <w:rFonts w:ascii="方正仿宋_GBK" w:hAnsi="方正仿宋_GBK" w:eastAsia="方正仿宋_GBK" w:cs="方正仿宋_GBK"/>
          <w:sz w:val="32"/>
          <w:szCs w:val="32"/>
        </w:rPr>
        <w:t>公室</w:t>
      </w:r>
      <w:r>
        <w:rPr>
          <w:rFonts w:hint="default" w:ascii="方正仿宋_GBK" w:hAnsi="方正仿宋_GBK" w:eastAsia="方正仿宋_GBK" w:cs="方正仿宋_GBK"/>
          <w:sz w:val="32"/>
          <w:szCs w:val="32"/>
        </w:rPr>
        <w:t>、应急管理办公室</w:t>
      </w:r>
      <w:r>
        <w:rPr>
          <w:rFonts w:hint="default" w:ascii="Times New Roman" w:hAnsi="Times New Roman" w:eastAsia="方正仿宋_GBK"/>
          <w:sz w:val="32"/>
          <w:szCs w:val="32"/>
        </w:rPr>
        <w:t>、人大常委会办公室、综合行政执法办公室、农业服务中心、文化服务中心、劳动就业和社会保障服务所、退役军人服务站、综合</w:t>
      </w:r>
      <w:bookmarkStart w:id="1" w:name="_GoBack"/>
      <w:bookmarkEnd w:id="1"/>
      <w:r>
        <w:rPr>
          <w:rFonts w:hint="eastAsia" w:ascii="Times New Roman" w:hAnsi="Times New Roman" w:eastAsia="方正仿宋_GBK"/>
          <w:sz w:val="32"/>
          <w:szCs w:val="32"/>
          <w:lang w:eastAsia="zh-CN"/>
        </w:rPr>
        <w:t>行政执法</w:t>
      </w:r>
      <w:r>
        <w:rPr>
          <w:rFonts w:hint="default" w:ascii="Times New Roman" w:hAnsi="Times New Roman" w:eastAsia="方正仿宋_GBK"/>
          <w:sz w:val="32"/>
          <w:szCs w:val="32"/>
        </w:rPr>
        <w:t>大队。2022年底，我单位实有人数共70人，其中：行政编制人员28人、事业编制人员42人。</w:t>
      </w:r>
    </w:p>
    <w:p>
      <w:pPr>
        <w:autoSpaceDE w:val="0"/>
        <w:spacing w:line="594" w:lineRule="exact"/>
        <w:ind w:firstLine="640" w:firstLineChars="200"/>
        <w:jc w:val="both"/>
        <w:rPr>
          <w:rFonts w:hint="default" w:ascii="Times New Roman" w:hAnsi="Times New Roman" w:eastAsia="方正仿宋_GBK" w:cs="宋体"/>
          <w:sz w:val="32"/>
          <w:szCs w:val="32"/>
        </w:rPr>
      </w:pPr>
      <w:r>
        <w:rPr>
          <w:rFonts w:ascii="方正楷体_GBK" w:hAnsi="方正楷体_GBK" w:eastAsia="方正楷体_GBK" w:cs="方正楷体_GBK"/>
          <w:sz w:val="32"/>
          <w:szCs w:val="32"/>
        </w:rPr>
        <w:t>（三）单位构成</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从预算单位构成看，无纳入本部门</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年度决算编制的二级预算单位。</w:t>
      </w:r>
    </w:p>
    <w:p>
      <w:pPr>
        <w:pStyle w:val="14"/>
        <w:autoSpaceDE w:val="0"/>
        <w:spacing w:beforeAutospacing="0" w:afterAutospacing="0"/>
        <w:ind w:firstLine="640" w:firstLineChars="200"/>
        <w:jc w:val="both"/>
        <w:rPr>
          <w:rFonts w:hint="default" w:cs="宋体"/>
        </w:rPr>
      </w:pPr>
      <w:r>
        <w:rPr>
          <w:rFonts w:ascii="方正黑体_GBK" w:hAnsi="方正黑体_GBK" w:eastAsia="方正黑体_GBK" w:cs="方正黑体_GBK"/>
          <w:sz w:val="32"/>
          <w:szCs w:val="32"/>
        </w:rPr>
        <w:t>二、部门决算情况说明</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（一）收入支出决算总体情况说明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1</w:t>
      </w:r>
      <w:r>
        <w:rPr>
          <w:rFonts w:ascii="方正仿宋_GBK" w:hAnsi="方正仿宋_GBK" w:eastAsia="方正仿宋_GBK" w:cs="方正仿宋_GBK"/>
          <w:sz w:val="32"/>
          <w:szCs w:val="32"/>
        </w:rPr>
        <w:t>．总体情况。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年度收入总计</w:t>
      </w:r>
      <w:r>
        <w:rPr>
          <w:rFonts w:hint="default" w:ascii="Times New Roman" w:hAnsi="Times New Roman" w:eastAsia="方正仿宋_GBK"/>
          <w:sz w:val="32"/>
          <w:szCs w:val="32"/>
        </w:rPr>
        <w:t>3,982.04</w:t>
      </w:r>
      <w:r>
        <w:rPr>
          <w:rFonts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(含年初结转和结余）</w:t>
      </w:r>
      <w:r>
        <w:rPr>
          <w:rFonts w:ascii="方正仿宋_GBK" w:hAnsi="方正仿宋_GBK" w:eastAsia="方正仿宋_GBK" w:cs="方正仿宋_GBK"/>
          <w:sz w:val="32"/>
          <w:szCs w:val="32"/>
        </w:rPr>
        <w:t>，支出总计</w:t>
      </w:r>
      <w:r>
        <w:rPr>
          <w:rFonts w:hint="default" w:ascii="Times New Roman" w:hAnsi="Times New Roman" w:eastAsia="方正仿宋_GBK"/>
          <w:sz w:val="32"/>
          <w:szCs w:val="32"/>
        </w:rPr>
        <w:t>3,982.04</w:t>
      </w:r>
      <w:r>
        <w:rPr>
          <w:rFonts w:ascii="方正仿宋_GBK" w:hAnsi="方正仿宋_GBK" w:eastAsia="方正仿宋_GBK" w:cs="方正仿宋_GBK"/>
          <w:sz w:val="32"/>
          <w:szCs w:val="32"/>
        </w:rPr>
        <w:t>万元。收支较上年决算数减少</w:t>
      </w:r>
      <w:r>
        <w:rPr>
          <w:rFonts w:hint="default" w:ascii="Times New Roman" w:hAnsi="Times New Roman" w:eastAsia="方正仿宋_GBK"/>
          <w:sz w:val="32"/>
          <w:szCs w:val="32"/>
        </w:rPr>
        <w:t>423.11</w:t>
      </w:r>
      <w:r>
        <w:rPr>
          <w:rFonts w:ascii="方正仿宋_GBK" w:hAnsi="方正仿宋_GBK" w:eastAsia="方正仿宋_GBK" w:cs="方正仿宋_GBK"/>
          <w:sz w:val="32"/>
          <w:szCs w:val="32"/>
        </w:rPr>
        <w:t>万元</w:t>
      </w:r>
      <w:r>
        <w:rPr>
          <w:rFonts w:hint="default" w:ascii="Times New Roman" w:hAnsi="Times New Roman" w:eastAsia="方正仿宋_GBK"/>
          <w:sz w:val="32"/>
          <w:szCs w:val="32"/>
        </w:rPr>
        <w:t>,</w:t>
      </w:r>
      <w:r>
        <w:rPr>
          <w:rFonts w:ascii="方正仿宋_GBK" w:hAnsi="方正仿宋_GBK" w:eastAsia="方正仿宋_GBK" w:cs="方正仿宋_GBK"/>
          <w:sz w:val="32"/>
          <w:szCs w:val="32"/>
        </w:rPr>
        <w:t>下降</w:t>
      </w:r>
      <w:r>
        <w:rPr>
          <w:rFonts w:hint="default" w:ascii="Times New Roman" w:hAnsi="Times New Roman" w:eastAsia="方正仿宋_GBK"/>
          <w:sz w:val="32"/>
          <w:szCs w:val="32"/>
        </w:rPr>
        <w:t>9.6%</w:t>
      </w:r>
      <w:r>
        <w:rPr>
          <w:rFonts w:ascii="方正仿宋_GBK" w:hAnsi="方正仿宋_GBK" w:eastAsia="方正仿宋_GBK" w:cs="方正仿宋_GBK"/>
          <w:sz w:val="32"/>
          <w:szCs w:val="32"/>
        </w:rPr>
        <w:t>，主要原因是政府性基金预算财政拨款减少和交通运输减少。</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w:t>
      </w:r>
      <w:r>
        <w:rPr>
          <w:rFonts w:ascii="方正仿宋_GBK" w:hAnsi="方正仿宋_GBK" w:eastAsia="方正仿宋_GBK" w:cs="方正仿宋_GBK"/>
          <w:sz w:val="32"/>
          <w:szCs w:val="32"/>
        </w:rPr>
        <w:t>收入情况。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年度收入合计</w:t>
      </w:r>
      <w:r>
        <w:rPr>
          <w:rFonts w:hint="default" w:ascii="Times New Roman" w:hAnsi="Times New Roman" w:eastAsia="方正仿宋_GBK"/>
          <w:sz w:val="32"/>
          <w:szCs w:val="32"/>
        </w:rPr>
        <w:t>3,722.93</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662.22</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15.1%</w:t>
      </w:r>
      <w:r>
        <w:rPr>
          <w:rFonts w:ascii="方正仿宋_GBK" w:hAnsi="方正仿宋_GBK" w:eastAsia="方正仿宋_GBK" w:cs="方正仿宋_GBK"/>
          <w:sz w:val="32"/>
          <w:szCs w:val="32"/>
        </w:rPr>
        <w:t>，主要原因是城乡社区支出、文化旅游体育与传媒、卫生健康支出等项目支出减少。其中：财政拨款收入</w:t>
      </w:r>
      <w:r>
        <w:rPr>
          <w:rFonts w:hint="default" w:ascii="Times New Roman" w:hAnsi="Times New Roman" w:eastAsia="方正仿宋_GBK"/>
          <w:sz w:val="32"/>
          <w:szCs w:val="32"/>
        </w:rPr>
        <w:t>3,722.93</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；此外，使用非财政拨款结余0元，年初结转和结余</w:t>
      </w:r>
      <w:r>
        <w:rPr>
          <w:rFonts w:hint="default" w:ascii="Times New Roman" w:hAnsi="Times New Roman" w:eastAsia="方正仿宋_GBK"/>
          <w:sz w:val="32"/>
          <w:szCs w:val="32"/>
        </w:rPr>
        <w:t>259.10</w:t>
      </w:r>
      <w:r>
        <w:rPr>
          <w:rFonts w:ascii="方正仿宋_GBK" w:hAnsi="方正仿宋_GBK" w:eastAsia="方正仿宋_GBK" w:cs="方正仿宋_GBK"/>
          <w:sz w:val="32"/>
          <w:szCs w:val="32"/>
        </w:rPr>
        <w:t>万元。</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3.</w:t>
      </w:r>
      <w:r>
        <w:rPr>
          <w:rFonts w:ascii="方正仿宋_GBK" w:hAnsi="方正仿宋_GBK" w:eastAsia="方正仿宋_GBK" w:cs="方正仿宋_GBK"/>
          <w:sz w:val="32"/>
          <w:szCs w:val="32"/>
        </w:rPr>
        <w:t>支出情况。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年度支出合计</w:t>
      </w:r>
      <w:r>
        <w:rPr>
          <w:rFonts w:hint="default" w:ascii="Times New Roman" w:hAnsi="Times New Roman" w:eastAsia="方正仿宋_GBK"/>
          <w:sz w:val="32"/>
          <w:szCs w:val="32"/>
        </w:rPr>
        <w:t>3,967.79</w:t>
      </w:r>
      <w:r>
        <w:rPr>
          <w:rFonts w:ascii="方正仿宋_GBK" w:hAnsi="方正仿宋_GBK" w:eastAsia="方正仿宋_GBK" w:cs="方正仿宋_GBK"/>
          <w:sz w:val="32"/>
          <w:szCs w:val="32"/>
        </w:rPr>
        <w:t>万元，较上年决算减少</w:t>
      </w:r>
      <w:r>
        <w:rPr>
          <w:rFonts w:hint="default" w:ascii="Times New Roman" w:hAnsi="Times New Roman" w:eastAsia="方正仿宋_GBK"/>
          <w:sz w:val="32"/>
          <w:szCs w:val="32"/>
        </w:rPr>
        <w:t>437.36</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9.9%</w:t>
      </w:r>
      <w:r>
        <w:rPr>
          <w:rFonts w:ascii="方正仿宋_GBK" w:hAnsi="方正仿宋_GBK" w:eastAsia="方正仿宋_GBK" w:cs="方正仿宋_GBK"/>
          <w:sz w:val="32"/>
          <w:szCs w:val="32"/>
        </w:rPr>
        <w:t>，主要原因是城乡社区支出、文化旅游体育与传媒、卫生健康支出等项目支出减少。其中：基本支出</w:t>
      </w:r>
      <w:r>
        <w:rPr>
          <w:rFonts w:hint="default" w:ascii="Times New Roman" w:hAnsi="Times New Roman" w:eastAsia="方正仿宋_GBK"/>
          <w:sz w:val="32"/>
          <w:szCs w:val="32"/>
        </w:rPr>
        <w:t>2,345.65</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59.1%</w:t>
      </w:r>
      <w:r>
        <w:rPr>
          <w:rFonts w:ascii="方正仿宋_GBK" w:hAnsi="方正仿宋_GBK" w:eastAsia="方正仿宋_GBK" w:cs="方正仿宋_GBK"/>
          <w:sz w:val="32"/>
          <w:szCs w:val="32"/>
        </w:rPr>
        <w:t>；项目支出</w:t>
      </w:r>
      <w:r>
        <w:rPr>
          <w:rFonts w:hint="default" w:ascii="Times New Roman" w:hAnsi="Times New Roman" w:eastAsia="方正仿宋_GBK"/>
          <w:sz w:val="32"/>
          <w:szCs w:val="32"/>
        </w:rPr>
        <w:t>1,622.13</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40.9%</w:t>
      </w:r>
      <w:r>
        <w:rPr>
          <w:rFonts w:ascii="方正仿宋_GBK" w:hAnsi="方正仿宋_GBK" w:eastAsia="方正仿宋_GBK" w:cs="方正仿宋_GBK"/>
          <w:sz w:val="32"/>
          <w:szCs w:val="32"/>
        </w:rPr>
        <w:t>。</w:t>
      </w:r>
      <w:r>
        <w:rPr>
          <w:rFonts w:hint="default" w:ascii="Times New Roman" w:hAnsi="Times New Roman" w:eastAsia="方正仿宋_GBK"/>
          <w:sz w:val="32"/>
          <w:szCs w:val="32"/>
        </w:rPr>
        <w:t>此外，结余分配0元。</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4.</w:t>
      </w:r>
      <w:r>
        <w:rPr>
          <w:rFonts w:ascii="方正仿宋_GBK" w:hAnsi="方正仿宋_GBK" w:eastAsia="方正仿宋_GBK" w:cs="方正仿宋_GBK"/>
          <w:sz w:val="32"/>
          <w:szCs w:val="32"/>
        </w:rPr>
        <w:t>结转结余情况。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年度年末结转和结余</w:t>
      </w:r>
      <w:r>
        <w:rPr>
          <w:rFonts w:hint="default" w:ascii="Times New Roman" w:hAnsi="Times New Roman" w:eastAsia="方正仿宋_GBK"/>
          <w:sz w:val="32"/>
          <w:szCs w:val="32"/>
        </w:rPr>
        <w:t>14.25</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14.25</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，主要原因是</w:t>
      </w:r>
      <w:r>
        <w:rPr>
          <w:rFonts w:ascii="方正仿宋_GBK" w:hAnsi="方正仿宋_GBK" w:eastAsia="方正仿宋_GBK" w:cs="方正仿宋_GBK"/>
          <w:color w:val="000000" w:themeColor="text1"/>
          <w:sz w:val="32"/>
          <w:szCs w:val="32"/>
          <w14:textFill>
            <w14:solidFill>
              <w14:schemeClr w14:val="tx1"/>
            </w14:solidFill>
          </w14:textFill>
        </w:rPr>
        <w:t>松材线虫除治项目未支出</w:t>
      </w:r>
      <w:r>
        <w:rPr>
          <w:rFonts w:ascii="方正仿宋_GBK" w:hAnsi="方正仿宋_GBK" w:eastAsia="方正仿宋_GBK" w:cs="方正仿宋_GBK"/>
          <w:sz w:val="32"/>
          <w:szCs w:val="32"/>
        </w:rPr>
        <w:t>。</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（二）财政拨款收入支出决算总体情况说明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年度财政拨款收、支总计</w:t>
      </w:r>
      <w:r>
        <w:rPr>
          <w:rFonts w:hint="default" w:ascii="Times New Roman" w:hAnsi="Times New Roman" w:eastAsia="方正仿宋_GBK"/>
          <w:sz w:val="32"/>
          <w:szCs w:val="32"/>
        </w:rPr>
        <w:t>3,982.04</w:t>
      </w:r>
      <w:r>
        <w:rPr>
          <w:rFonts w:ascii="方正仿宋_GBK" w:hAnsi="方正仿宋_GBK" w:eastAsia="方正仿宋_GBK" w:cs="方正仿宋_GBK"/>
          <w:sz w:val="32"/>
          <w:szCs w:val="32"/>
        </w:rPr>
        <w:t>万元。与</w:t>
      </w:r>
      <w:r>
        <w:rPr>
          <w:rFonts w:hint="default" w:ascii="Times New Roman" w:hAnsi="Times New Roman" w:eastAsia="方正仿宋_GBK"/>
          <w:sz w:val="32"/>
          <w:szCs w:val="32"/>
        </w:rPr>
        <w:t>2021</w:t>
      </w:r>
      <w:r>
        <w:rPr>
          <w:rFonts w:ascii="方正仿宋_GBK" w:hAnsi="方正仿宋_GBK" w:eastAsia="方正仿宋_GBK" w:cs="方正仿宋_GBK"/>
          <w:sz w:val="32"/>
          <w:szCs w:val="32"/>
        </w:rPr>
        <w:t>年相比，财政拨款收、支总计各减少</w:t>
      </w:r>
      <w:r>
        <w:rPr>
          <w:rFonts w:hint="default" w:ascii="Times New Roman" w:hAnsi="Times New Roman" w:eastAsia="方正仿宋_GBK"/>
          <w:sz w:val="32"/>
          <w:szCs w:val="32"/>
        </w:rPr>
        <w:t>423.11</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9.6%</w:t>
      </w:r>
      <w:r>
        <w:rPr>
          <w:rFonts w:ascii="方正仿宋_GBK" w:hAnsi="方正仿宋_GBK" w:eastAsia="方正仿宋_GBK" w:cs="方正仿宋_GBK"/>
          <w:sz w:val="32"/>
          <w:szCs w:val="32"/>
        </w:rPr>
        <w:t>。主要原因是政府性基金预算财政拨款减少和交通运输减少。</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（三）一般公共预算财政拨款收入支出决算情况说明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1.</w:t>
      </w:r>
      <w:r>
        <w:rPr>
          <w:rFonts w:ascii="方正仿宋_GBK" w:hAnsi="方正仿宋_GBK" w:eastAsia="方正仿宋_GBK" w:cs="方正仿宋_GBK"/>
          <w:sz w:val="32"/>
          <w:szCs w:val="32"/>
        </w:rPr>
        <w:t>收入情况。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年度一般公共预算财政拨款收入</w:t>
      </w:r>
      <w:r>
        <w:rPr>
          <w:rFonts w:hint="default" w:ascii="Times New Roman" w:hAnsi="Times New Roman" w:eastAsia="方正仿宋_GBK"/>
          <w:sz w:val="32"/>
          <w:szCs w:val="32"/>
        </w:rPr>
        <w:t>3,680.98</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267.82</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6.8%</w:t>
      </w:r>
      <w:r>
        <w:rPr>
          <w:rFonts w:ascii="方正仿宋_GBK" w:hAnsi="方正仿宋_GBK" w:eastAsia="方正仿宋_GBK" w:cs="方正仿宋_GBK"/>
          <w:sz w:val="32"/>
          <w:szCs w:val="32"/>
        </w:rPr>
        <w:t>。主要原因是卫生健康和巩固脱贫衔接乡村振兴拨款减少。较年初预算数增加</w:t>
      </w:r>
      <w:r>
        <w:rPr>
          <w:rFonts w:hint="default" w:ascii="Times New Roman" w:hAnsi="Times New Roman" w:eastAsia="方正仿宋_GBK"/>
          <w:sz w:val="32"/>
          <w:szCs w:val="32"/>
        </w:rPr>
        <w:t>1,572.67</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74.6%</w:t>
      </w:r>
      <w:r>
        <w:rPr>
          <w:rFonts w:ascii="方正仿宋_GBK" w:hAnsi="方正仿宋_GBK" w:eastAsia="方正仿宋_GBK" w:cs="方正仿宋_GBK"/>
          <w:sz w:val="32"/>
          <w:szCs w:val="32"/>
        </w:rPr>
        <w:t>。主要原因是增</w:t>
      </w:r>
      <w:r>
        <w:rPr>
          <w:rFonts w:hint="default" w:ascii="Times New Roman" w:hAnsi="Times New Roman" w:eastAsia="方正仿宋_GBK"/>
          <w:sz w:val="32"/>
          <w:szCs w:val="32"/>
        </w:rPr>
        <w:t>加2022年包鸾镇原亭子垭村5社和7社租用土地面积补偿金项目、2022年包鸾镇华坪村养鸡场项目、各类四好农村路项目、2022年</w:t>
      </w:r>
      <w:r>
        <w:rPr>
          <w:rFonts w:ascii="方正仿宋_GBK" w:hAnsi="方正仿宋_GBK" w:eastAsia="方正仿宋_GBK" w:cs="方正仿宋_GBK"/>
          <w:sz w:val="32"/>
          <w:szCs w:val="32"/>
        </w:rPr>
        <w:t>包鸾镇农村人居环境整治项目、中央财政资金水土保持项目、2022年包鸾镇数商兴农项目等。此外，年初财政拨款结转和结余</w:t>
      </w:r>
      <w:r>
        <w:rPr>
          <w:rFonts w:hint="default" w:ascii="Times New Roman" w:hAnsi="Times New Roman" w:eastAsia="方正仿宋_GBK"/>
          <w:sz w:val="32"/>
          <w:szCs w:val="32"/>
        </w:rPr>
        <w:t>259.10</w:t>
      </w:r>
      <w:r>
        <w:rPr>
          <w:rFonts w:ascii="方正仿宋_GBK" w:hAnsi="方正仿宋_GBK" w:eastAsia="方正仿宋_GBK" w:cs="方正仿宋_GBK"/>
          <w:sz w:val="32"/>
          <w:szCs w:val="32"/>
        </w:rPr>
        <w:t>万元。</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w:t>
      </w:r>
      <w:r>
        <w:rPr>
          <w:rFonts w:ascii="方正仿宋_GBK" w:hAnsi="方正仿宋_GBK" w:eastAsia="方正仿宋_GBK" w:cs="方正仿宋_GBK"/>
          <w:sz w:val="32"/>
          <w:szCs w:val="32"/>
        </w:rPr>
        <w:t>支出情况。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年度一般公共预算财政拨款支出</w:t>
      </w:r>
      <w:r>
        <w:rPr>
          <w:rFonts w:hint="default" w:ascii="Times New Roman" w:hAnsi="Times New Roman" w:eastAsia="方正仿宋_GBK"/>
          <w:sz w:val="32"/>
          <w:szCs w:val="32"/>
        </w:rPr>
        <w:t>3,925.84</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42.96</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1.1%</w:t>
      </w:r>
      <w:r>
        <w:rPr>
          <w:rFonts w:ascii="方正仿宋_GBK" w:hAnsi="方正仿宋_GBK" w:eastAsia="方正仿宋_GBK" w:cs="方正仿宋_GBK"/>
          <w:sz w:val="32"/>
          <w:szCs w:val="32"/>
        </w:rPr>
        <w:t>。主要原因是巩固脱贫衔接乡村振兴拨款减少。较年初预算数增加</w:t>
      </w:r>
      <w:r>
        <w:rPr>
          <w:rFonts w:hint="default" w:ascii="Times New Roman" w:hAnsi="Times New Roman" w:eastAsia="方正仿宋_GBK"/>
          <w:sz w:val="32"/>
          <w:szCs w:val="32"/>
        </w:rPr>
        <w:t>1,817.53</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86.2%</w:t>
      </w:r>
      <w:r>
        <w:rPr>
          <w:rFonts w:ascii="方正仿宋_GBK" w:hAnsi="方正仿宋_GBK" w:eastAsia="方正仿宋_GBK" w:cs="方正仿宋_GBK"/>
          <w:sz w:val="32"/>
          <w:szCs w:val="32"/>
        </w:rPr>
        <w:t>。主要原因是</w:t>
      </w:r>
      <w:r>
        <w:rPr>
          <w:rFonts w:hint="default" w:ascii="Times New Roman" w:hAnsi="Times New Roman" w:eastAsia="方正仿宋_GBK"/>
          <w:sz w:val="32"/>
          <w:szCs w:val="32"/>
        </w:rPr>
        <w:t>2022年包鸾镇原亭子垭村5社和7社租用土地面积补偿金项目、2022年包鸾镇华坪村养鸡场项目、各类四好农村路项目、2022年包</w:t>
      </w:r>
      <w:r>
        <w:rPr>
          <w:rFonts w:ascii="方正仿宋_GBK" w:hAnsi="方正仿宋_GBK" w:eastAsia="方正仿宋_GBK" w:cs="方正仿宋_GBK"/>
          <w:sz w:val="32"/>
          <w:szCs w:val="32"/>
        </w:rPr>
        <w:t>鸾镇农村人居环境整治项目、中央财政资金水土保持项目</w:t>
      </w:r>
      <w:r>
        <w:rPr>
          <w:rFonts w:hint="default" w:ascii="Times New Roman" w:hAnsi="Times New Roman" w:eastAsia="方正仿宋_GBK"/>
          <w:sz w:val="32"/>
          <w:szCs w:val="32"/>
        </w:rPr>
        <w:t>、2022年包</w:t>
      </w:r>
      <w:r>
        <w:rPr>
          <w:rFonts w:ascii="方正仿宋_GBK" w:hAnsi="方正仿宋_GBK" w:eastAsia="方正仿宋_GBK" w:cs="方正仿宋_GBK"/>
          <w:sz w:val="32"/>
          <w:szCs w:val="32"/>
        </w:rPr>
        <w:t>鸾镇数商兴农项目等支出增加</w:t>
      </w:r>
      <w:r>
        <w:rPr>
          <w:rFonts w:ascii="Times New Roman" w:hAnsi="Times New Roman" w:eastAsia="方正仿宋_GBK" w:cs="宋体"/>
          <w:sz w:val="32"/>
          <w:szCs w:val="32"/>
        </w:rPr>
        <w:t xml:space="preserve"> </w:t>
      </w:r>
      <w:r>
        <w:rPr>
          <w:rFonts w:ascii="方正仿宋_GBK" w:hAnsi="方正仿宋_GBK" w:eastAsia="方正仿宋_GBK" w:cs="方正仿宋_GBK"/>
          <w:sz w:val="32"/>
          <w:szCs w:val="32"/>
        </w:rPr>
        <w:t>。</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3.</w:t>
      </w:r>
      <w:r>
        <w:rPr>
          <w:rFonts w:ascii="方正仿宋_GBK" w:hAnsi="方正仿宋_GBK" w:eastAsia="方正仿宋_GBK" w:cs="方正仿宋_GBK"/>
          <w:sz w:val="32"/>
          <w:szCs w:val="32"/>
        </w:rPr>
        <w:t>结转结余情况。</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年度年末一般公共预算财政拨款结转和结余</w:t>
      </w:r>
      <w:r>
        <w:rPr>
          <w:rFonts w:hint="default" w:ascii="Times New Roman" w:hAnsi="Times New Roman" w:eastAsia="方正仿宋_GBK"/>
          <w:sz w:val="32"/>
          <w:szCs w:val="32"/>
        </w:rPr>
        <w:t>14.25</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14.25</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，主要原因是</w:t>
      </w:r>
      <w:r>
        <w:rPr>
          <w:rFonts w:ascii="方正仿宋_GBK" w:hAnsi="方正仿宋_GBK" w:eastAsia="方正仿宋_GBK" w:cs="方正仿宋_GBK"/>
          <w:color w:val="000000" w:themeColor="text1"/>
          <w:sz w:val="32"/>
          <w:szCs w:val="32"/>
          <w14:textFill>
            <w14:solidFill>
              <w14:schemeClr w14:val="tx1"/>
            </w14:solidFill>
          </w14:textFill>
        </w:rPr>
        <w:t>松材线虫除治项目未支出</w:t>
      </w:r>
      <w:r>
        <w:rPr>
          <w:rFonts w:ascii="方正仿宋_GBK" w:hAnsi="方正仿宋_GBK" w:eastAsia="方正仿宋_GBK" w:cs="方正仿宋_GBK"/>
          <w:sz w:val="32"/>
          <w:szCs w:val="32"/>
        </w:rPr>
        <w:t>。</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4.</w:t>
      </w:r>
      <w:r>
        <w:rPr>
          <w:rFonts w:ascii="方正仿宋_GBK" w:hAnsi="方正仿宋_GBK" w:eastAsia="方正仿宋_GBK" w:cs="方正仿宋_GBK"/>
          <w:sz w:val="32"/>
          <w:szCs w:val="32"/>
        </w:rPr>
        <w:t>比较情况。本部门</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年度一般公共预算财政拨款支出主要用于以下几个方面：</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1</w:t>
      </w:r>
      <w:r>
        <w:rPr>
          <w:rFonts w:ascii="方正仿宋_GBK" w:hAnsi="方正仿宋_GBK" w:eastAsia="方正仿宋_GBK" w:cs="方正仿宋_GBK"/>
          <w:sz w:val="32"/>
          <w:szCs w:val="32"/>
        </w:rPr>
        <w:t>）一般公共服务支出</w:t>
      </w:r>
      <w:r>
        <w:rPr>
          <w:rFonts w:hint="default" w:ascii="Times New Roman" w:hAnsi="Times New Roman" w:eastAsia="方正仿宋_GBK"/>
          <w:sz w:val="32"/>
          <w:szCs w:val="32"/>
        </w:rPr>
        <w:t>977.80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24.9%</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230.04</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30.8%</w:t>
      </w:r>
      <w:r>
        <w:rPr>
          <w:rFonts w:ascii="方正仿宋_GBK" w:hAnsi="方正仿宋_GBK" w:eastAsia="方正仿宋_GBK" w:cs="方正仿宋_GBK"/>
          <w:sz w:val="32"/>
          <w:szCs w:val="32"/>
        </w:rPr>
        <w:t>，主要原因是补发往年职工应发待遇。</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2</w:t>
      </w:r>
      <w:r>
        <w:rPr>
          <w:rFonts w:ascii="方正仿宋_GBK" w:hAnsi="方正仿宋_GBK" w:eastAsia="方正仿宋_GBK" w:cs="方正仿宋_GBK"/>
          <w:sz w:val="32"/>
          <w:szCs w:val="32"/>
        </w:rPr>
        <w:t>）文化旅游体育与传媒支出</w:t>
      </w:r>
      <w:r>
        <w:rPr>
          <w:rFonts w:hint="default" w:ascii="Times New Roman" w:hAnsi="Times New Roman" w:eastAsia="方正仿宋_GBK"/>
          <w:sz w:val="32"/>
          <w:szCs w:val="32"/>
        </w:rPr>
        <w:t>100.60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2.6%</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33.93</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50.9%</w:t>
      </w:r>
      <w:r>
        <w:rPr>
          <w:rFonts w:ascii="方正仿宋_GBK" w:hAnsi="方正仿宋_GBK" w:eastAsia="方正仿宋_GBK" w:cs="方正仿宋_GBK"/>
          <w:sz w:val="32"/>
          <w:szCs w:val="32"/>
        </w:rPr>
        <w:t>，主要原因是创建</w:t>
      </w:r>
      <w:r>
        <w:rPr>
          <w:rFonts w:hint="default" w:ascii="Times New Roman" w:hAnsi="Times New Roman" w:eastAsia="方正仿宋_GBK"/>
          <w:sz w:val="32"/>
          <w:szCs w:val="32"/>
        </w:rPr>
        <w:t>3A</w:t>
      </w:r>
      <w:r>
        <w:rPr>
          <w:rFonts w:ascii="方正仿宋_GBK" w:hAnsi="方正仿宋_GBK" w:eastAsia="方正仿宋_GBK" w:cs="方正仿宋_GBK"/>
          <w:sz w:val="32"/>
          <w:szCs w:val="32"/>
        </w:rPr>
        <w:t>景区相关支出增加。</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3</w:t>
      </w:r>
      <w:r>
        <w:rPr>
          <w:rFonts w:ascii="方正仿宋_GBK" w:hAnsi="方正仿宋_GBK" w:eastAsia="方正仿宋_GBK" w:cs="方正仿宋_GBK"/>
          <w:sz w:val="32"/>
          <w:szCs w:val="32"/>
        </w:rPr>
        <w:t>）社会保障与就业支出</w:t>
      </w:r>
      <w:r>
        <w:rPr>
          <w:rFonts w:hint="default" w:ascii="Times New Roman" w:hAnsi="Times New Roman" w:eastAsia="方正仿宋_GBK"/>
          <w:sz w:val="32"/>
          <w:szCs w:val="32"/>
        </w:rPr>
        <w:t>460.77</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11.7%</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82.32</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21.8%</w:t>
      </w:r>
      <w:r>
        <w:rPr>
          <w:rFonts w:ascii="方正仿宋_GBK" w:hAnsi="方正仿宋_GBK" w:eastAsia="方正仿宋_GBK" w:cs="方正仿宋_GBK"/>
          <w:sz w:val="32"/>
          <w:szCs w:val="32"/>
        </w:rPr>
        <w:t>，主要原因是开发各类公益性岗位，以及残疾人相关支出增加 。</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4</w:t>
      </w:r>
      <w:r>
        <w:rPr>
          <w:rFonts w:ascii="方正仿宋_GBK" w:hAnsi="方正仿宋_GBK" w:eastAsia="方正仿宋_GBK" w:cs="方正仿宋_GBK"/>
          <w:sz w:val="32"/>
          <w:szCs w:val="32"/>
        </w:rPr>
        <w:t>）卫生健康支出</w:t>
      </w:r>
      <w:r>
        <w:rPr>
          <w:rFonts w:hint="default" w:ascii="Times New Roman" w:hAnsi="Times New Roman" w:eastAsia="方正仿宋_GBK"/>
          <w:sz w:val="32"/>
          <w:szCs w:val="32"/>
        </w:rPr>
        <w:t>106.50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2.7%</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43.97</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70.3%</w:t>
      </w:r>
      <w:r>
        <w:rPr>
          <w:rFonts w:ascii="方正仿宋_GBK" w:hAnsi="方正仿宋_GBK" w:eastAsia="方正仿宋_GBK" w:cs="方正仿宋_GBK"/>
          <w:sz w:val="32"/>
          <w:szCs w:val="32"/>
        </w:rPr>
        <w:t>，主要原因是疫情防控支出增加。</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5</w:t>
      </w:r>
      <w:r>
        <w:rPr>
          <w:rFonts w:ascii="方正仿宋_GBK" w:hAnsi="方正仿宋_GBK" w:eastAsia="方正仿宋_GBK" w:cs="方正仿宋_GBK"/>
          <w:sz w:val="32"/>
          <w:szCs w:val="32"/>
        </w:rPr>
        <w:t>）节能环保支出</w:t>
      </w:r>
      <w:r>
        <w:rPr>
          <w:rFonts w:hint="default" w:ascii="Times New Roman" w:hAnsi="Times New Roman" w:eastAsia="方正仿宋_GBK"/>
          <w:sz w:val="32"/>
          <w:szCs w:val="32"/>
        </w:rPr>
        <w:t>29.34</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0.7%</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29.34</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，主要原因是新县城饮用水源保护项目支出，年初未预算。</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6</w:t>
      </w:r>
      <w:r>
        <w:rPr>
          <w:rFonts w:ascii="方正仿宋_GBK" w:hAnsi="方正仿宋_GBK" w:eastAsia="方正仿宋_GBK" w:cs="方正仿宋_GBK"/>
          <w:sz w:val="32"/>
          <w:szCs w:val="32"/>
        </w:rPr>
        <w:t>）城乡社区支出</w:t>
      </w:r>
      <w:r>
        <w:rPr>
          <w:rFonts w:hint="default" w:ascii="Times New Roman" w:hAnsi="Times New Roman" w:eastAsia="方正仿宋_GBK"/>
          <w:sz w:val="32"/>
          <w:szCs w:val="32"/>
        </w:rPr>
        <w:t>119.76</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3.1%</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17.14</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16.7%</w:t>
      </w:r>
      <w:r>
        <w:rPr>
          <w:rFonts w:ascii="方正仿宋_GBK" w:hAnsi="方正仿宋_GBK" w:eastAsia="方正仿宋_GBK" w:cs="方正仿宋_GBK"/>
          <w:sz w:val="32"/>
          <w:szCs w:val="32"/>
        </w:rPr>
        <w:t>，主要原因是补发执法大队往年绩效奖励。</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7</w:t>
      </w:r>
      <w:r>
        <w:rPr>
          <w:rFonts w:ascii="方正仿宋_GBK" w:hAnsi="方正仿宋_GBK" w:eastAsia="方正仿宋_GBK" w:cs="方正仿宋_GBK"/>
          <w:sz w:val="32"/>
          <w:szCs w:val="32"/>
        </w:rPr>
        <w:t>）农林水支出</w:t>
      </w:r>
      <w:r>
        <w:rPr>
          <w:rFonts w:hint="default" w:ascii="Times New Roman" w:hAnsi="Times New Roman" w:eastAsia="方正仿宋_GBK"/>
          <w:sz w:val="32"/>
          <w:szCs w:val="32"/>
        </w:rPr>
        <w:t>1,722.30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43.9%</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1,073.96</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165.6%</w:t>
      </w:r>
      <w:r>
        <w:rPr>
          <w:rFonts w:ascii="方正仿宋_GBK" w:hAnsi="方正仿宋_GBK" w:eastAsia="方正仿宋_GBK" w:cs="方正仿宋_GBK"/>
          <w:sz w:val="32"/>
          <w:szCs w:val="32"/>
        </w:rPr>
        <w:t>，主要原因是项目支出增加和补发农服中心往年绩效 。</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8</w:t>
      </w:r>
      <w:r>
        <w:rPr>
          <w:rFonts w:ascii="方正仿宋_GBK" w:hAnsi="方正仿宋_GBK" w:eastAsia="方正仿宋_GBK" w:cs="方正仿宋_GBK"/>
          <w:sz w:val="32"/>
          <w:szCs w:val="32"/>
        </w:rPr>
        <w:t>）交通运输支出</w:t>
      </w:r>
      <w:r>
        <w:rPr>
          <w:rFonts w:hint="default" w:ascii="Times New Roman" w:hAnsi="Times New Roman" w:eastAsia="方正仿宋_GBK"/>
          <w:sz w:val="32"/>
          <w:szCs w:val="32"/>
        </w:rPr>
        <w:t>304.57</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7.8%</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304.57</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，主要原因是</w:t>
      </w:r>
      <w:r>
        <w:rPr>
          <w:rFonts w:ascii="方正仿宋_GBK" w:hAnsi="方正仿宋_GBK" w:eastAsia="方正仿宋_GBK" w:cs="方正仿宋_GBK"/>
          <w:color w:val="000000" w:themeColor="text1"/>
          <w:sz w:val="32"/>
          <w:szCs w:val="32"/>
          <w14:textFill>
            <w14:solidFill>
              <w14:schemeClr w14:val="tx1"/>
            </w14:solidFill>
          </w14:textFill>
        </w:rPr>
        <w:t>增加</w:t>
      </w:r>
      <w:r>
        <w:rPr>
          <w:rFonts w:ascii="方正仿宋_GBK" w:hAnsi="方正仿宋_GBK" w:eastAsia="方正仿宋_GBK" w:cs="方正仿宋_GBK"/>
          <w:sz w:val="32"/>
          <w:szCs w:val="32"/>
        </w:rPr>
        <w:t>各类公路项目支出。</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9</w:t>
      </w:r>
      <w:r>
        <w:rPr>
          <w:rFonts w:ascii="方正仿宋_GBK" w:hAnsi="方正仿宋_GBK" w:eastAsia="方正仿宋_GBK" w:cs="方正仿宋_GBK"/>
          <w:sz w:val="32"/>
          <w:szCs w:val="32"/>
        </w:rPr>
        <w:t>）住房保障支出</w:t>
      </w:r>
      <w:r>
        <w:rPr>
          <w:rFonts w:hint="default" w:ascii="Times New Roman" w:hAnsi="Times New Roman" w:eastAsia="方正仿宋_GBK"/>
          <w:sz w:val="32"/>
          <w:szCs w:val="32"/>
        </w:rPr>
        <w:t>74.95</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1.9%</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3.31</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4.6%</w:t>
      </w:r>
      <w:r>
        <w:rPr>
          <w:rFonts w:ascii="方正仿宋_GBK" w:hAnsi="方正仿宋_GBK" w:eastAsia="方正仿宋_GBK" w:cs="方正仿宋_GBK"/>
          <w:sz w:val="32"/>
          <w:szCs w:val="32"/>
        </w:rPr>
        <w:t>，主要原因是工资基数增长导致住房公积金增加。</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10</w:t>
      </w:r>
      <w:r>
        <w:rPr>
          <w:rFonts w:ascii="方正仿宋_GBK" w:hAnsi="方正仿宋_GBK" w:eastAsia="方正仿宋_GBK" w:cs="方正仿宋_GBK"/>
          <w:sz w:val="32"/>
          <w:szCs w:val="32"/>
        </w:rPr>
        <w:t>）灾害防治及应急管理支出</w:t>
      </w:r>
      <w:r>
        <w:rPr>
          <w:rFonts w:hint="default" w:ascii="Times New Roman" w:hAnsi="Times New Roman" w:eastAsia="方正仿宋_GBK"/>
          <w:sz w:val="32"/>
          <w:szCs w:val="32"/>
        </w:rPr>
        <w:t>24.25</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0.6%</w:t>
      </w:r>
      <w:r>
        <w:rPr>
          <w:rFonts w:ascii="方正仿宋_GBK" w:hAnsi="方正仿宋_GBK" w:eastAsia="方正仿宋_GBK" w:cs="方正仿宋_GBK"/>
          <w:sz w:val="32"/>
          <w:szCs w:val="32"/>
        </w:rPr>
        <w:t>，较年初预算数增加</w:t>
      </w:r>
      <w:r>
        <w:rPr>
          <w:rFonts w:hint="default" w:ascii="Times New Roman" w:hAnsi="Times New Roman" w:eastAsia="方正仿宋_GBK"/>
          <w:sz w:val="32"/>
          <w:szCs w:val="32"/>
        </w:rPr>
        <w:t>24.25</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，主要原因是</w:t>
      </w:r>
      <w:bookmarkStart w:id="0" w:name="_Hlk145495301"/>
      <w:r>
        <w:rPr>
          <w:rFonts w:ascii="方正仿宋_GBK" w:hAnsi="方正仿宋_GBK" w:eastAsia="方正仿宋_GBK" w:cs="方正仿宋_GBK"/>
          <w:color w:val="000000" w:themeColor="text1"/>
          <w:sz w:val="32"/>
          <w:szCs w:val="32"/>
          <w14:textFill>
            <w14:solidFill>
              <w14:schemeClr w14:val="tx1"/>
            </w14:solidFill>
          </w14:textFill>
        </w:rPr>
        <w:t>增加</w:t>
      </w:r>
      <w:bookmarkEnd w:id="0"/>
      <w:r>
        <w:rPr>
          <w:rFonts w:ascii="方正仿宋_GBK" w:hAnsi="方正仿宋_GBK" w:eastAsia="方正仿宋_GBK" w:cs="方正仿宋_GBK"/>
          <w:sz w:val="32"/>
          <w:szCs w:val="32"/>
        </w:rPr>
        <w:t>冬春救助、森林防火等项目支出。</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w:t>
      </w:r>
      <w:r>
        <w:rPr>
          <w:rFonts w:hint="default" w:ascii="Times New Roman" w:hAnsi="Times New Roman" w:eastAsia="方正仿宋_GBK"/>
          <w:sz w:val="32"/>
          <w:szCs w:val="32"/>
        </w:rPr>
        <w:t>11</w:t>
      </w:r>
      <w:r>
        <w:rPr>
          <w:rFonts w:ascii="方正仿宋_GBK" w:hAnsi="方正仿宋_GBK" w:eastAsia="方正仿宋_GBK" w:cs="方正仿宋_GBK"/>
          <w:sz w:val="32"/>
          <w:szCs w:val="32"/>
        </w:rPr>
        <w:t>）其他支出</w:t>
      </w:r>
      <w:r>
        <w:rPr>
          <w:rFonts w:hint="default" w:ascii="Times New Roman" w:hAnsi="Times New Roman" w:eastAsia="方正仿宋_GBK"/>
          <w:sz w:val="32"/>
          <w:szCs w:val="32"/>
        </w:rPr>
        <w:t>0.00</w:t>
      </w:r>
      <w:r>
        <w:rPr>
          <w:rFonts w:ascii="方正仿宋_GBK" w:hAnsi="方正仿宋_GBK" w:eastAsia="方正仿宋_GBK" w:cs="方正仿宋_GBK"/>
          <w:sz w:val="32"/>
          <w:szCs w:val="32"/>
        </w:rPr>
        <w:t>万元，占</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，较年初预算数减少</w:t>
      </w:r>
      <w:r>
        <w:rPr>
          <w:rFonts w:hint="default" w:ascii="Times New Roman" w:hAnsi="Times New Roman" w:eastAsia="方正仿宋_GBK"/>
          <w:sz w:val="32"/>
          <w:szCs w:val="32"/>
        </w:rPr>
        <w:t>30.30</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，主要原因是预备费实际使用时调整到其他科目。</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（四）一般公共预算财政拨款基本支出决算情况说明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年度一般公共预算财政拨款基本支出</w:t>
      </w:r>
      <w:r>
        <w:rPr>
          <w:rFonts w:hint="default" w:ascii="Times New Roman" w:hAnsi="Times New Roman" w:eastAsia="方正仿宋_GBK"/>
          <w:sz w:val="32"/>
          <w:szCs w:val="32"/>
        </w:rPr>
        <w:t>2,345.65</w:t>
      </w:r>
      <w:r>
        <w:rPr>
          <w:rFonts w:ascii="方正仿宋_GBK" w:hAnsi="方正仿宋_GBK" w:eastAsia="方正仿宋_GBK" w:cs="方正仿宋_GBK"/>
          <w:sz w:val="32"/>
          <w:szCs w:val="32"/>
        </w:rPr>
        <w:t>万元。其中：人员经费</w:t>
      </w:r>
      <w:r>
        <w:rPr>
          <w:rFonts w:hint="default" w:ascii="Times New Roman" w:hAnsi="Times New Roman" w:eastAsia="方正仿宋_GBK"/>
          <w:sz w:val="32"/>
          <w:szCs w:val="32"/>
        </w:rPr>
        <w:t>1,974.29</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105.30</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5.6%</w:t>
      </w:r>
      <w:r>
        <w:rPr>
          <w:rFonts w:ascii="方正仿宋_GBK" w:hAnsi="方正仿宋_GBK" w:eastAsia="方正仿宋_GBK" w:cs="方正仿宋_GBK"/>
          <w:sz w:val="32"/>
          <w:szCs w:val="32"/>
        </w:rPr>
        <w:t>，主要原因是人员的增加。人员经费用途主要包括职工工资及四险两金。公用经费</w:t>
      </w:r>
      <w:r>
        <w:rPr>
          <w:rFonts w:hint="default" w:ascii="Times New Roman" w:hAnsi="Times New Roman" w:eastAsia="方正仿宋_GBK"/>
          <w:sz w:val="32"/>
          <w:szCs w:val="32"/>
        </w:rPr>
        <w:t>371.36</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165.63</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30.8%</w:t>
      </w:r>
      <w:r>
        <w:rPr>
          <w:rFonts w:ascii="方正仿宋_GBK" w:hAnsi="方正仿宋_GBK" w:eastAsia="方正仿宋_GBK" w:cs="方正仿宋_GBK"/>
          <w:sz w:val="32"/>
          <w:szCs w:val="32"/>
        </w:rPr>
        <w:t>，主要原因是厉行节约，控制日常开支。公用经费用途主要包括办公费、邮电费手续费等支出。</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（五）政府性基金预算收支决算情况说明</w:t>
      </w:r>
    </w:p>
    <w:p>
      <w:pPr>
        <w:pStyle w:val="14"/>
        <w:autoSpaceDE w:val="0"/>
        <w:spacing w:beforeAutospacing="0" w:afterAutospacing="0"/>
        <w:ind w:firstLine="640" w:firstLineChars="200"/>
        <w:jc w:val="both"/>
        <w:rPr>
          <w:rFonts w:hint="default" w:ascii="Times New Roman" w:hAnsi="Times New Roman" w:eastAsia="方正仿宋_GBK" w:cs="宋体"/>
          <w:color w:val="000000" w:themeColor="text1"/>
          <w:sz w:val="32"/>
          <w:szCs w:val="32"/>
          <w14:textFill>
            <w14:solidFill>
              <w14:schemeClr w14:val="tx1"/>
            </w14:solidFill>
          </w14:textFill>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年度政府性基金预算财政拨款年初结转结余</w:t>
      </w:r>
      <w:r>
        <w:rPr>
          <w:rFonts w:hint="default" w:ascii="Times New Roman" w:hAnsi="Times New Roman" w:eastAsia="方正仿宋_GBK"/>
          <w:sz w:val="32"/>
          <w:szCs w:val="32"/>
        </w:rPr>
        <w:t>0.00</w:t>
      </w:r>
      <w:r>
        <w:rPr>
          <w:rFonts w:ascii="方正仿宋_GBK" w:hAnsi="方正仿宋_GBK" w:eastAsia="方正仿宋_GBK" w:cs="方正仿宋_GBK"/>
          <w:sz w:val="32"/>
          <w:szCs w:val="32"/>
        </w:rPr>
        <w:t>万元，年末结转结余</w:t>
      </w:r>
      <w:r>
        <w:rPr>
          <w:rFonts w:hint="default" w:ascii="Times New Roman" w:hAnsi="Times New Roman" w:eastAsia="方正仿宋_GBK"/>
          <w:sz w:val="32"/>
          <w:szCs w:val="32"/>
        </w:rPr>
        <w:t>0.00</w:t>
      </w:r>
      <w:r>
        <w:rPr>
          <w:rFonts w:ascii="方正仿宋_GBK" w:hAnsi="方正仿宋_GBK" w:eastAsia="方正仿宋_GBK" w:cs="方正仿宋_GBK"/>
          <w:sz w:val="32"/>
          <w:szCs w:val="32"/>
        </w:rPr>
        <w:t>万元。本年收入</w:t>
      </w:r>
      <w:r>
        <w:rPr>
          <w:rFonts w:hint="default" w:ascii="Times New Roman" w:hAnsi="Times New Roman" w:eastAsia="方正仿宋_GBK"/>
          <w:sz w:val="32"/>
          <w:szCs w:val="32"/>
        </w:rPr>
        <w:t>41.95</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394.40</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90.4%</w:t>
      </w:r>
      <w:r>
        <w:rPr>
          <w:rFonts w:ascii="方正仿宋_GBK" w:hAnsi="方正仿宋_GBK" w:eastAsia="方正仿宋_GBK" w:cs="方正仿宋_GBK"/>
          <w:sz w:val="32"/>
          <w:szCs w:val="32"/>
        </w:rPr>
        <w:t>，</w:t>
      </w:r>
      <w:r>
        <w:rPr>
          <w:rFonts w:ascii="方正仿宋_GBK" w:hAnsi="方正仿宋_GBK" w:eastAsia="方正仿宋_GBK" w:cs="方正仿宋_GBK"/>
          <w:color w:val="000000" w:themeColor="text1"/>
          <w:sz w:val="32"/>
          <w:szCs w:val="32"/>
          <w14:textFill>
            <w14:solidFill>
              <w14:schemeClr w14:val="tx1"/>
            </w14:solidFill>
          </w14:textFill>
        </w:rPr>
        <w:t>主要原因是减少了城乡社区支出相关项目支出。本年支出</w:t>
      </w:r>
      <w:r>
        <w:rPr>
          <w:rFonts w:hint="default" w:ascii="Times New Roman" w:hAnsi="Times New Roman" w:eastAsia="方正仿宋_GBK"/>
          <w:color w:val="000000" w:themeColor="text1"/>
          <w:sz w:val="32"/>
          <w:szCs w:val="32"/>
          <w14:textFill>
            <w14:solidFill>
              <w14:schemeClr w14:val="tx1"/>
            </w14:solidFill>
          </w14:textFill>
        </w:rPr>
        <w:t>41.95</w:t>
      </w:r>
      <w:r>
        <w:rPr>
          <w:rFonts w:ascii="方正仿宋_GBK" w:hAnsi="方正仿宋_GBK" w:eastAsia="方正仿宋_GBK" w:cs="方正仿宋_GBK"/>
          <w:color w:val="000000" w:themeColor="text1"/>
          <w:sz w:val="32"/>
          <w:szCs w:val="32"/>
          <w14:textFill>
            <w14:solidFill>
              <w14:schemeClr w14:val="tx1"/>
            </w14:solidFill>
          </w14:textFill>
        </w:rPr>
        <w:t>万元，较上年决算数减少</w:t>
      </w:r>
      <w:r>
        <w:rPr>
          <w:rFonts w:hint="default" w:ascii="Times New Roman" w:hAnsi="Times New Roman" w:eastAsia="方正仿宋_GBK"/>
          <w:color w:val="000000" w:themeColor="text1"/>
          <w:sz w:val="32"/>
          <w:szCs w:val="32"/>
          <w14:textFill>
            <w14:solidFill>
              <w14:schemeClr w14:val="tx1"/>
            </w14:solidFill>
          </w14:textFill>
        </w:rPr>
        <w:t>394.40</w:t>
      </w:r>
      <w:r>
        <w:rPr>
          <w:rFonts w:ascii="方正仿宋_GBK" w:hAnsi="方正仿宋_GBK" w:eastAsia="方正仿宋_GBK" w:cs="方正仿宋_GBK"/>
          <w:color w:val="000000" w:themeColor="text1"/>
          <w:sz w:val="32"/>
          <w:szCs w:val="32"/>
          <w14:textFill>
            <w14:solidFill>
              <w14:schemeClr w14:val="tx1"/>
            </w14:solidFill>
          </w14:textFill>
        </w:rPr>
        <w:t>万元，下降</w:t>
      </w:r>
      <w:r>
        <w:rPr>
          <w:rFonts w:hint="default" w:ascii="Times New Roman" w:hAnsi="Times New Roman" w:eastAsia="方正仿宋_GBK"/>
          <w:color w:val="000000" w:themeColor="text1"/>
          <w:sz w:val="32"/>
          <w:szCs w:val="32"/>
          <w14:textFill>
            <w14:solidFill>
              <w14:schemeClr w14:val="tx1"/>
            </w14:solidFill>
          </w14:textFill>
        </w:rPr>
        <w:t>90.4%</w:t>
      </w:r>
      <w:r>
        <w:rPr>
          <w:rFonts w:ascii="方正仿宋_GBK" w:hAnsi="方正仿宋_GBK" w:eastAsia="方正仿宋_GBK" w:cs="方正仿宋_GBK"/>
          <w:color w:val="000000" w:themeColor="text1"/>
          <w:sz w:val="32"/>
          <w:szCs w:val="32"/>
          <w14:textFill>
            <w14:solidFill>
              <w14:schemeClr w14:val="tx1"/>
            </w14:solidFill>
          </w14:textFill>
        </w:rPr>
        <w:t>，主要原因是减少了城乡社区支出相关项目支出。</w:t>
      </w:r>
    </w:p>
    <w:p>
      <w:pPr>
        <w:autoSpaceDE w:val="0"/>
        <w:spacing w:line="594" w:lineRule="exact"/>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（六）国有资本经营预算财政拨款支出决算情况说明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本部门</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年度无国有资本经营预算财政拨款支出。</w:t>
      </w:r>
    </w:p>
    <w:p>
      <w:pPr>
        <w:autoSpaceDE w:val="0"/>
        <w:spacing w:line="594" w:lineRule="exact"/>
        <w:ind w:firstLine="640" w:firstLineChars="200"/>
        <w:jc w:val="both"/>
        <w:rPr>
          <w:rFonts w:hint="default" w:ascii="Times New Roman" w:hAnsi="Times New Roman" w:eastAsia="方正黑体_GBK" w:cs="宋体"/>
          <w:sz w:val="32"/>
          <w:szCs w:val="32"/>
        </w:rPr>
      </w:pPr>
      <w:r>
        <w:rPr>
          <w:rFonts w:ascii="方正黑体_GBK" w:hAnsi="方正黑体_GBK" w:eastAsia="方正黑体_GBK" w:cs="方正黑体_GBK"/>
          <w:sz w:val="32"/>
          <w:szCs w:val="32"/>
        </w:rPr>
        <w:t>三、“三公”经费情况说明</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（一）“三公”经费支出总体情况说明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年度“三公”经费支出共计</w:t>
      </w:r>
      <w:r>
        <w:rPr>
          <w:rFonts w:hint="default" w:ascii="Times New Roman" w:hAnsi="Times New Roman" w:eastAsia="方正仿宋_GBK"/>
          <w:sz w:val="32"/>
          <w:szCs w:val="32"/>
        </w:rPr>
        <w:t>33.53</w:t>
      </w:r>
      <w:r>
        <w:rPr>
          <w:rFonts w:ascii="方正仿宋_GBK" w:hAnsi="方正仿宋_GBK" w:eastAsia="方正仿宋_GBK" w:cs="方正仿宋_GBK"/>
          <w:sz w:val="32"/>
          <w:szCs w:val="32"/>
        </w:rPr>
        <w:t>万元，较年初预算数减少</w:t>
      </w:r>
      <w:r>
        <w:rPr>
          <w:rFonts w:hint="default" w:ascii="Times New Roman" w:hAnsi="Times New Roman" w:eastAsia="方正仿宋_GBK"/>
          <w:sz w:val="32"/>
          <w:szCs w:val="32"/>
        </w:rPr>
        <w:t>9.97</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22.9</w:t>
      </w:r>
      <w:r>
        <w:rPr>
          <w:rFonts w:hint="default" w:ascii="Times New Roman" w:hAnsi="Times New Roman" w:eastAsia="方正仿宋_GBK"/>
          <w:color w:val="000000" w:themeColor="text1"/>
          <w:sz w:val="32"/>
          <w:szCs w:val="32"/>
          <w14:textFill>
            <w14:solidFill>
              <w14:schemeClr w14:val="tx1"/>
            </w14:solidFill>
          </w14:textFill>
        </w:rPr>
        <w:t>%</w:t>
      </w:r>
      <w:r>
        <w:rPr>
          <w:rFonts w:ascii="方正仿宋_GBK" w:hAnsi="方正仿宋_GBK" w:eastAsia="方正仿宋_GBK" w:cs="方正仿宋_GBK"/>
          <w:color w:val="000000" w:themeColor="text1"/>
          <w:sz w:val="32"/>
          <w:szCs w:val="32"/>
          <w14:textFill>
            <w14:solidFill>
              <w14:schemeClr w14:val="tx1"/>
            </w14:solidFill>
          </w14:textFill>
        </w:rPr>
        <w:t>，主要原因是贯彻</w:t>
      </w:r>
      <w:r>
        <w:rPr>
          <w:rFonts w:ascii="方正仿宋_GBK" w:hAnsi="方正仿宋_GBK" w:eastAsia="方正仿宋_GBK" w:cs="方正仿宋_GBK"/>
          <w:sz w:val="32"/>
          <w:szCs w:val="32"/>
        </w:rPr>
        <w:t>落实中央八项规定精神和厉行节约要求，按照只减不增的要求从严控制三公经费。较上年支出数减少</w:t>
      </w:r>
      <w:r>
        <w:rPr>
          <w:rFonts w:hint="default" w:ascii="Times New Roman" w:hAnsi="Times New Roman" w:eastAsia="方正仿宋_GBK"/>
          <w:sz w:val="32"/>
          <w:szCs w:val="32"/>
        </w:rPr>
        <w:t>30.60</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47.7%</w:t>
      </w:r>
      <w:r>
        <w:rPr>
          <w:rFonts w:ascii="方正仿宋_GBK" w:hAnsi="方正仿宋_GBK" w:eastAsia="方正仿宋_GBK" w:cs="方正仿宋_GBK"/>
          <w:sz w:val="32"/>
          <w:szCs w:val="32"/>
        </w:rPr>
        <w:t>，主要原因是贯彻落实中央八项规定精神和厉行节约要求，按照只减不增的要求从严控制三公经费。</w:t>
      </w:r>
    </w:p>
    <w:p>
      <w:pPr>
        <w:pStyle w:val="14"/>
        <w:autoSpaceDE w:val="0"/>
        <w:spacing w:beforeAutospacing="0" w:afterAutospacing="0"/>
        <w:ind w:firstLine="640" w:firstLineChars="200"/>
        <w:jc w:val="both"/>
        <w:rPr>
          <w:rFonts w:hint="default" w:cs="宋体"/>
        </w:rPr>
      </w:pPr>
      <w:r>
        <w:rPr>
          <w:rFonts w:ascii="方正楷体_GBK" w:hAnsi="方正楷体_GBK" w:eastAsia="方正楷体_GBK" w:cs="方正楷体_GBK"/>
          <w:sz w:val="32"/>
          <w:szCs w:val="32"/>
        </w:rPr>
        <w:t>（二）“三公”经费分项支出情况</w:t>
      </w:r>
    </w:p>
    <w:p>
      <w:pPr>
        <w:pStyle w:val="14"/>
        <w:autoSpaceDE w:val="0"/>
        <w:spacing w:beforeAutospacing="0" w:afterAutospacing="0"/>
        <w:ind w:firstLine="640" w:firstLineChars="200"/>
        <w:jc w:val="both"/>
        <w:rPr>
          <w:rFonts w:hint="default" w:ascii="方正仿宋_GBK" w:hAnsi="方正仿宋_GBK" w:eastAsia="方正仿宋_GBK" w:cs="方正仿宋_GBK"/>
          <w:color w:val="000000" w:themeColor="text1"/>
          <w:sz w:val="32"/>
          <w:szCs w:val="32"/>
          <w14:textFill>
            <w14:solidFill>
              <w14:schemeClr w14:val="tx1"/>
            </w14:solidFill>
          </w14:textFill>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年度本部门未发生公出国（境）费用，</w:t>
      </w:r>
      <w:r>
        <w:rPr>
          <w:rFonts w:ascii="方正仿宋_GBK" w:hAnsi="方正仿宋_GBK" w:eastAsia="方正仿宋_GBK" w:cs="方正仿宋_GBK"/>
          <w:color w:val="000000" w:themeColor="text1"/>
          <w:sz w:val="32"/>
          <w:szCs w:val="32"/>
          <w14:textFill>
            <w14:solidFill>
              <w14:schemeClr w14:val="tx1"/>
            </w14:solidFill>
          </w14:textFill>
        </w:rPr>
        <w:t>与上年持平。</w:t>
      </w:r>
    </w:p>
    <w:p>
      <w:pPr>
        <w:pStyle w:val="14"/>
        <w:autoSpaceDE w:val="0"/>
        <w:spacing w:beforeAutospacing="0" w:afterAutospacing="0"/>
        <w:ind w:firstLine="640" w:firstLineChars="200"/>
        <w:jc w:val="both"/>
        <w:rPr>
          <w:rFonts w:hint="default" w:ascii="Times New Roman" w:hAnsi="Times New Roman" w:eastAsia="方正仿宋_GBK" w:cs="宋体"/>
          <w:color w:val="000000" w:themeColor="text1"/>
          <w:sz w:val="32"/>
          <w:szCs w:val="32"/>
          <w14:textFill>
            <w14:solidFill>
              <w14:schemeClr w14:val="tx1"/>
            </w14:solidFill>
          </w14:textFill>
        </w:rPr>
      </w:pPr>
      <w:r>
        <w:rPr>
          <w:rFonts w:ascii="方正仿宋_GBK" w:hAnsi="方正仿宋_GBK" w:eastAsia="方正仿宋_GBK" w:cs="方正仿宋_GBK"/>
          <w:color w:val="000000" w:themeColor="text1"/>
          <w:sz w:val="32"/>
          <w:szCs w:val="32"/>
          <w14:textFill>
            <w14:solidFill>
              <w14:schemeClr w14:val="tx1"/>
            </w14:solidFill>
          </w14:textFill>
        </w:rPr>
        <w:t>未发生公务车购置费，与上年持平。</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公务车运行维护费</w:t>
      </w:r>
      <w:r>
        <w:rPr>
          <w:rFonts w:hint="default" w:ascii="Times New Roman" w:hAnsi="Times New Roman" w:eastAsia="方正仿宋_GBK"/>
          <w:sz w:val="32"/>
          <w:szCs w:val="32"/>
        </w:rPr>
        <w:t>26.79</w:t>
      </w:r>
      <w:r>
        <w:rPr>
          <w:rFonts w:ascii="方正仿宋_GBK" w:hAnsi="方正仿宋_GBK" w:eastAsia="方正仿宋_GBK" w:cs="方正仿宋_GBK"/>
          <w:sz w:val="32"/>
          <w:szCs w:val="32"/>
        </w:rPr>
        <w:t>万元，主要用于公务用车保险、油卡充值、日常维护维修等。费用支出较年初预算数增加</w:t>
      </w:r>
      <w:r>
        <w:rPr>
          <w:rFonts w:hint="default" w:ascii="Times New Roman" w:hAnsi="Times New Roman" w:eastAsia="方正仿宋_GBK"/>
          <w:sz w:val="32"/>
          <w:szCs w:val="32"/>
        </w:rPr>
        <w:t>0.79</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3%</w:t>
      </w:r>
      <w:r>
        <w:rPr>
          <w:rFonts w:ascii="方正仿宋_GBK" w:hAnsi="方正仿宋_GBK" w:eastAsia="方正仿宋_GBK" w:cs="方正仿宋_GBK"/>
          <w:sz w:val="32"/>
          <w:szCs w:val="32"/>
        </w:rPr>
        <w:t>，主要原因是疫情防控、抗旱救灾和森林防火等支出增加。较上年支出数增加</w:t>
      </w:r>
      <w:r>
        <w:rPr>
          <w:rFonts w:hint="default" w:ascii="Times New Roman" w:hAnsi="Times New Roman" w:eastAsia="方正仿宋_GBK"/>
          <w:sz w:val="32"/>
          <w:szCs w:val="32"/>
        </w:rPr>
        <w:t>9.11</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51.5%</w:t>
      </w:r>
      <w:r>
        <w:rPr>
          <w:rFonts w:ascii="方正仿宋_GBK" w:hAnsi="方正仿宋_GBK" w:eastAsia="方正仿宋_GBK" w:cs="方正仿宋_GBK"/>
          <w:sz w:val="32"/>
          <w:szCs w:val="32"/>
        </w:rPr>
        <w:t>，主要原因是疫情防控、抗旱救灾和森林防火等支出增加。</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公务接待费</w:t>
      </w:r>
      <w:r>
        <w:rPr>
          <w:rFonts w:hint="default" w:ascii="Times New Roman" w:hAnsi="Times New Roman" w:eastAsia="方正仿宋_GBK"/>
          <w:sz w:val="32"/>
          <w:szCs w:val="32"/>
        </w:rPr>
        <w:t>6.74</w:t>
      </w:r>
      <w:r>
        <w:rPr>
          <w:rFonts w:ascii="方正仿宋_GBK" w:hAnsi="方正仿宋_GBK" w:eastAsia="方正仿宋_GBK" w:cs="方正仿宋_GBK"/>
          <w:sz w:val="32"/>
          <w:szCs w:val="32"/>
        </w:rPr>
        <w:t>万元，主要用于接待上级部门和乡村振兴的调研指导工作。费用支出较年初预算数减少</w:t>
      </w:r>
      <w:r>
        <w:rPr>
          <w:rFonts w:hint="default" w:ascii="Times New Roman" w:hAnsi="Times New Roman" w:eastAsia="方正仿宋_GBK"/>
          <w:sz w:val="32"/>
          <w:szCs w:val="32"/>
        </w:rPr>
        <w:t>10.76</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61.5%</w:t>
      </w:r>
      <w:r>
        <w:rPr>
          <w:rFonts w:ascii="方正仿宋_GBK" w:hAnsi="方正仿宋_GBK" w:eastAsia="方正仿宋_GBK" w:cs="方正仿宋_GBK"/>
          <w:color w:val="000000" w:themeColor="text1"/>
          <w:sz w:val="32"/>
          <w:szCs w:val="32"/>
          <w14:textFill>
            <w14:solidFill>
              <w14:schemeClr w14:val="tx1"/>
            </w14:solidFill>
          </w14:textFill>
        </w:rPr>
        <w:t>，主要原因是我镇严格执行接待流程，控制接待费用的支出。较上年支出数减少</w:t>
      </w:r>
      <w:r>
        <w:rPr>
          <w:rFonts w:hint="default" w:ascii="Times New Roman" w:hAnsi="Times New Roman" w:eastAsia="方正仿宋_GBK"/>
          <w:color w:val="000000" w:themeColor="text1"/>
          <w:sz w:val="32"/>
          <w:szCs w:val="32"/>
          <w14:textFill>
            <w14:solidFill>
              <w14:schemeClr w14:val="tx1"/>
            </w14:solidFill>
          </w14:textFill>
        </w:rPr>
        <w:t>39.</w:t>
      </w:r>
      <w:r>
        <w:rPr>
          <w:rFonts w:hint="default" w:ascii="Times New Roman" w:hAnsi="Times New Roman" w:eastAsia="方正仿宋_GBK"/>
          <w:sz w:val="32"/>
          <w:szCs w:val="32"/>
        </w:rPr>
        <w:t>71</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85.5%</w:t>
      </w:r>
      <w:r>
        <w:rPr>
          <w:rFonts w:ascii="方正仿宋_GBK" w:hAnsi="方正仿宋_GBK" w:eastAsia="方正仿宋_GBK" w:cs="方正仿宋_GBK"/>
          <w:sz w:val="32"/>
          <w:szCs w:val="32"/>
        </w:rPr>
        <w:t>，主要原因是我镇严格执行接待流程，控制接待费用的支出。</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（三）“三公”经费实物量情况</w:t>
      </w:r>
    </w:p>
    <w:p>
      <w:pPr>
        <w:spacing w:line="594" w:lineRule="exact"/>
        <w:ind w:firstLine="640" w:firstLineChars="200"/>
        <w:jc w:val="both"/>
        <w:rPr>
          <w:rFonts w:hint="default" w:ascii="方正仿宋_GBK" w:hAnsi="方正仿宋_GBK" w:eastAsia="方正仿宋_GBK" w:cs="方正仿宋_GBK"/>
          <w:sz w:val="32"/>
          <w:szCs w:val="32"/>
        </w:rPr>
      </w:pPr>
      <w:r>
        <w:rPr>
          <w:rFonts w:ascii="Times New Roman" w:hAnsi="Times New Roman" w:eastAsia="方正仿宋_GBK"/>
          <w:sz w:val="32"/>
          <w:szCs w:val="32"/>
        </w:rPr>
        <w:t>2022年度本部门因公出国（境）共计0个团组，0人；公务用车购置0辆，公务车保有量为6辆；国内公务接待152批次1452人，其中：国内外事接待0批次，0人；国（境）外公务接待0批次，0人。2022年本部门人均接待费46.40元，车均购置费0万元，车均维护费4.47万元。</w:t>
      </w:r>
    </w:p>
    <w:p>
      <w:pPr>
        <w:autoSpaceDE w:val="0"/>
        <w:spacing w:line="594" w:lineRule="exact"/>
        <w:ind w:firstLine="640" w:firstLineChars="200"/>
        <w:jc w:val="both"/>
        <w:rPr>
          <w:rFonts w:hint="default" w:ascii="Times New Roman" w:hAnsi="Times New Roman" w:eastAsia="方正黑体_GBK" w:cs="宋体"/>
          <w:sz w:val="32"/>
          <w:szCs w:val="32"/>
        </w:rPr>
      </w:pPr>
      <w:r>
        <w:rPr>
          <w:rFonts w:ascii="方正黑体_GBK" w:hAnsi="方正黑体_GBK" w:eastAsia="方正黑体_GBK" w:cs="方正黑体_GBK"/>
          <w:sz w:val="32"/>
          <w:szCs w:val="32"/>
        </w:rPr>
        <w:t>四、其他需要说明的事项</w:t>
      </w:r>
    </w:p>
    <w:p>
      <w:pPr>
        <w:pStyle w:val="14"/>
        <w:autoSpaceDE w:val="0"/>
        <w:spacing w:beforeAutospacing="0" w:afterAutospacing="0"/>
        <w:ind w:firstLine="640" w:firstLineChars="200"/>
        <w:jc w:val="both"/>
        <w:rPr>
          <w:rFonts w:hint="default" w:cs="宋体"/>
        </w:rPr>
      </w:pPr>
      <w:r>
        <w:rPr>
          <w:rFonts w:ascii="方正楷体_GBK" w:hAnsi="方正楷体_GBK" w:eastAsia="方正楷体_GBK" w:cs="方正楷体_GBK"/>
          <w:sz w:val="32"/>
          <w:szCs w:val="32"/>
        </w:rPr>
        <w:t>（一）财政拨款会议费和培训费情况说明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本年度会议费支出</w:t>
      </w:r>
      <w:r>
        <w:rPr>
          <w:rFonts w:hint="default" w:ascii="Times New Roman" w:hAnsi="Times New Roman" w:eastAsia="方正仿宋_GBK"/>
          <w:sz w:val="32"/>
          <w:szCs w:val="32"/>
        </w:rPr>
        <w:t>5.81</w:t>
      </w:r>
      <w:r>
        <w:rPr>
          <w:rFonts w:ascii="方正仿宋_GBK" w:hAnsi="方正仿宋_GBK" w:eastAsia="方正仿宋_GBK" w:cs="方正仿宋_GBK"/>
          <w:sz w:val="32"/>
          <w:szCs w:val="32"/>
        </w:rPr>
        <w:t>万元，较上年决算数减少</w:t>
      </w:r>
      <w:r>
        <w:rPr>
          <w:rFonts w:hint="default" w:ascii="Times New Roman" w:hAnsi="Times New Roman" w:eastAsia="方正仿宋_GBK"/>
          <w:sz w:val="32"/>
          <w:szCs w:val="32"/>
        </w:rPr>
        <w:t>8.79</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60.2%</w:t>
      </w:r>
      <w:r>
        <w:rPr>
          <w:rFonts w:ascii="方正仿宋_GBK" w:hAnsi="方正仿宋_GBK" w:eastAsia="方正仿宋_GBK" w:cs="方正仿宋_GBK"/>
          <w:sz w:val="32"/>
          <w:szCs w:val="32"/>
        </w:rPr>
        <w:t>，主要原因是响应上级要求，严格控制会议费用的支出。本年度培训费支出</w:t>
      </w:r>
      <w:r>
        <w:rPr>
          <w:rFonts w:hint="default" w:ascii="Times New Roman" w:hAnsi="Times New Roman" w:eastAsia="方正仿宋_GBK"/>
          <w:sz w:val="32"/>
          <w:szCs w:val="32"/>
        </w:rPr>
        <w:t>10.61</w:t>
      </w:r>
      <w:r>
        <w:rPr>
          <w:rFonts w:ascii="方正仿宋_GBK" w:hAnsi="方正仿宋_GBK" w:eastAsia="方正仿宋_GBK" w:cs="方正仿宋_GBK"/>
          <w:sz w:val="32"/>
          <w:szCs w:val="32"/>
        </w:rPr>
        <w:t>万元，较上年决算数增加</w:t>
      </w:r>
      <w:r>
        <w:rPr>
          <w:rFonts w:hint="default" w:ascii="Times New Roman" w:hAnsi="Times New Roman" w:eastAsia="方正仿宋_GBK"/>
          <w:sz w:val="32"/>
          <w:szCs w:val="32"/>
        </w:rPr>
        <w:t>6.95</w:t>
      </w:r>
      <w:r>
        <w:rPr>
          <w:rFonts w:ascii="方正仿宋_GBK" w:hAnsi="方正仿宋_GBK" w:eastAsia="方正仿宋_GBK" w:cs="方正仿宋_GBK"/>
          <w:sz w:val="32"/>
          <w:szCs w:val="32"/>
        </w:rPr>
        <w:t>万元，增长</w:t>
      </w:r>
      <w:r>
        <w:rPr>
          <w:rFonts w:hint="default" w:ascii="Times New Roman" w:hAnsi="Times New Roman" w:eastAsia="方正仿宋_GBK"/>
          <w:sz w:val="32"/>
          <w:szCs w:val="32"/>
        </w:rPr>
        <w:t>189.9%</w:t>
      </w:r>
      <w:r>
        <w:rPr>
          <w:rFonts w:ascii="方正仿宋_GBK" w:hAnsi="方正仿宋_GBK" w:eastAsia="方正仿宋_GBK" w:cs="方正仿宋_GBK"/>
          <w:sz w:val="32"/>
          <w:szCs w:val="32"/>
        </w:rPr>
        <w:t>，主要原因是举办乡村振兴各类培训。</w:t>
      </w:r>
    </w:p>
    <w:p>
      <w:pPr>
        <w:pStyle w:val="14"/>
        <w:autoSpaceDE w:val="0"/>
        <w:spacing w:beforeAutospacing="0" w:afterAutospacing="0"/>
        <w:ind w:firstLine="640" w:firstLineChars="200"/>
        <w:jc w:val="both"/>
        <w:rPr>
          <w:rFonts w:hint="default" w:ascii="方正楷体_GBK" w:hAnsi="Times New Roman" w:eastAsia="方正楷体_GBK" w:cs="宋体"/>
          <w:sz w:val="32"/>
          <w:szCs w:val="32"/>
        </w:rPr>
      </w:pPr>
      <w:r>
        <w:rPr>
          <w:rFonts w:ascii="方正楷体_GBK" w:hAnsi="方正楷体_GBK" w:eastAsia="方正楷体_GBK" w:cs="方正楷体_GBK"/>
          <w:sz w:val="32"/>
          <w:szCs w:val="32"/>
        </w:rPr>
        <w:t>（二）机关运行经费支出情况说明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年度本部门机关运行经费支出</w:t>
      </w:r>
      <w:r>
        <w:rPr>
          <w:rFonts w:hint="default" w:ascii="Times New Roman" w:hAnsi="Times New Roman" w:eastAsia="方正仿宋_GBK"/>
          <w:sz w:val="32"/>
          <w:szCs w:val="32"/>
        </w:rPr>
        <w:t>368.24</w:t>
      </w:r>
      <w:r>
        <w:rPr>
          <w:rFonts w:ascii="方正仿宋_GBK" w:hAnsi="方正仿宋_GBK" w:eastAsia="方正仿宋_GBK" w:cs="方正仿宋_GBK"/>
          <w:sz w:val="32"/>
          <w:szCs w:val="32"/>
        </w:rPr>
        <w:t>万元，主要用于开支日常办公费、差旅费、劳务费等。机关运行经费较上年决算数减少</w:t>
      </w:r>
      <w:r>
        <w:rPr>
          <w:rFonts w:hint="default" w:ascii="Times New Roman" w:hAnsi="Times New Roman" w:eastAsia="方正仿宋_GBK"/>
          <w:sz w:val="32"/>
          <w:szCs w:val="32"/>
        </w:rPr>
        <w:t>32.85</w:t>
      </w:r>
      <w:r>
        <w:rPr>
          <w:rFonts w:ascii="方正仿宋_GBK" w:hAnsi="方正仿宋_GBK" w:eastAsia="方正仿宋_GBK" w:cs="方正仿宋_GBK"/>
          <w:sz w:val="32"/>
          <w:szCs w:val="32"/>
        </w:rPr>
        <w:t>万元，下降</w:t>
      </w:r>
      <w:r>
        <w:rPr>
          <w:rFonts w:hint="default" w:ascii="Times New Roman" w:hAnsi="Times New Roman" w:eastAsia="方正仿宋_GBK"/>
          <w:sz w:val="32"/>
          <w:szCs w:val="32"/>
        </w:rPr>
        <w:t>8.2%</w:t>
      </w:r>
      <w:r>
        <w:rPr>
          <w:rFonts w:ascii="方正仿宋_GBK" w:hAnsi="方正仿宋_GBK" w:eastAsia="方正仿宋_GBK" w:cs="方正仿宋_GBK"/>
          <w:sz w:val="32"/>
          <w:szCs w:val="32"/>
        </w:rPr>
        <w:t>，主要原因是厉行节约，控制各类支出。</w:t>
      </w:r>
    </w:p>
    <w:p>
      <w:pPr>
        <w:pStyle w:val="14"/>
        <w:autoSpaceDE w:val="0"/>
        <w:spacing w:beforeAutospacing="0" w:afterAutospacing="0"/>
        <w:ind w:firstLine="640" w:firstLineChars="200"/>
        <w:jc w:val="both"/>
        <w:rPr>
          <w:rFonts w:hint="default" w:ascii="方正楷体_GBK" w:hAnsi="Times New Roman" w:eastAsia="方正楷体_GBK" w:cs="宋体"/>
          <w:sz w:val="32"/>
          <w:szCs w:val="32"/>
        </w:rPr>
      </w:pPr>
      <w:r>
        <w:rPr>
          <w:rFonts w:ascii="方正楷体_GBK" w:hAnsi="方正楷体_GBK" w:eastAsia="方正楷体_GBK" w:cs="方正楷体_GBK"/>
          <w:sz w:val="32"/>
          <w:szCs w:val="32"/>
        </w:rPr>
        <w:t>（三）国有资产占用情况说明</w:t>
      </w:r>
    </w:p>
    <w:p>
      <w:pPr>
        <w:pStyle w:val="14"/>
        <w:autoSpaceDE w:val="0"/>
        <w:spacing w:beforeAutospacing="0" w:afterAutospacing="0"/>
        <w:ind w:firstLine="640" w:firstLineChars="200"/>
        <w:jc w:val="both"/>
        <w:rPr>
          <w:rFonts w:hint="default" w:ascii="方正楷体_GBK" w:hAnsi="Times New Roman" w:eastAsia="方正楷体_GBK" w:cs="宋体"/>
          <w:sz w:val="32"/>
          <w:szCs w:val="32"/>
        </w:rPr>
      </w:pPr>
      <w:r>
        <w:rPr>
          <w:rFonts w:ascii="方正仿宋_GBK" w:hAnsi="方正仿宋_GBK" w:eastAsia="方正仿宋_GBK" w:cs="方正仿宋_GBK"/>
          <w:sz w:val="32"/>
          <w:szCs w:val="32"/>
        </w:rPr>
        <w:t>截至</w:t>
      </w: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w:t>
      </w:r>
      <w:r>
        <w:rPr>
          <w:rFonts w:hint="default" w:ascii="Times New Roman" w:hAnsi="Times New Roman" w:eastAsia="方正仿宋_GBK"/>
          <w:sz w:val="32"/>
          <w:szCs w:val="32"/>
        </w:rPr>
        <w:t>12</w:t>
      </w:r>
      <w:r>
        <w:rPr>
          <w:rFonts w:ascii="方正仿宋_GBK" w:hAnsi="方正仿宋_GBK" w:eastAsia="方正仿宋_GBK" w:cs="方正仿宋_GBK"/>
          <w:sz w:val="32"/>
          <w:szCs w:val="32"/>
        </w:rPr>
        <w:t>月</w:t>
      </w:r>
      <w:r>
        <w:rPr>
          <w:rFonts w:hint="default" w:ascii="Times New Roman" w:hAnsi="Times New Roman" w:eastAsia="方正仿宋_GBK"/>
          <w:sz w:val="32"/>
          <w:szCs w:val="32"/>
        </w:rPr>
        <w:t>31</w:t>
      </w:r>
      <w:r>
        <w:rPr>
          <w:rFonts w:ascii="方正仿宋_GBK" w:hAnsi="方正仿宋_GBK" w:eastAsia="方正仿宋_GBK" w:cs="方正仿宋_GBK"/>
          <w:sz w:val="32"/>
          <w:szCs w:val="32"/>
        </w:rPr>
        <w:t>日，本部门共有车辆</w:t>
      </w:r>
      <w:r>
        <w:rPr>
          <w:rFonts w:hint="default" w:ascii="Times New Roman" w:hAnsi="Times New Roman" w:eastAsia="方正仿宋_GBK"/>
          <w:sz w:val="32"/>
          <w:szCs w:val="32"/>
        </w:rPr>
        <w:t>6</w:t>
      </w:r>
      <w:r>
        <w:rPr>
          <w:rFonts w:ascii="方正仿宋_GBK" w:hAnsi="方正仿宋_GBK" w:eastAsia="方正仿宋_GBK" w:cs="方正仿宋_GBK"/>
          <w:sz w:val="32"/>
          <w:szCs w:val="32"/>
        </w:rPr>
        <w:t>辆，其中，副部（省）级及以上领导用车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辆、主要领导干部用车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辆、机要通信用车</w:t>
      </w:r>
      <w:r>
        <w:rPr>
          <w:rFonts w:hint="default" w:ascii="Times New Roman" w:hAnsi="Times New Roman" w:eastAsia="方正仿宋_GBK"/>
          <w:sz w:val="32"/>
          <w:szCs w:val="32"/>
        </w:rPr>
        <w:t>1</w:t>
      </w:r>
      <w:r>
        <w:rPr>
          <w:rFonts w:ascii="方正仿宋_GBK" w:hAnsi="方正仿宋_GBK" w:eastAsia="方正仿宋_GBK" w:cs="方正仿宋_GBK"/>
          <w:sz w:val="32"/>
          <w:szCs w:val="32"/>
        </w:rPr>
        <w:t>辆、应急保障用车</w:t>
      </w:r>
      <w:r>
        <w:rPr>
          <w:rFonts w:hint="default" w:ascii="Times New Roman" w:hAnsi="Times New Roman" w:eastAsia="方正仿宋_GBK"/>
          <w:sz w:val="32"/>
          <w:szCs w:val="32"/>
        </w:rPr>
        <w:t>5</w:t>
      </w:r>
      <w:r>
        <w:rPr>
          <w:rFonts w:ascii="方正仿宋_GBK" w:hAnsi="方正仿宋_GBK" w:eastAsia="方正仿宋_GBK" w:cs="方正仿宋_GBK"/>
          <w:sz w:val="32"/>
          <w:szCs w:val="32"/>
        </w:rPr>
        <w:t>辆、执法执勤用车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辆，特种专业技术用车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辆，离退休干部用车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辆，其他用车</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辆。单价</w:t>
      </w:r>
      <w:r>
        <w:rPr>
          <w:rFonts w:hint="default" w:ascii="Times New Roman" w:hAnsi="Times New Roman" w:eastAsia="方正仿宋_GBK"/>
          <w:sz w:val="32"/>
          <w:szCs w:val="32"/>
        </w:rPr>
        <w:t>100</w:t>
      </w:r>
      <w:r>
        <w:rPr>
          <w:rFonts w:ascii="方正仿宋_GBK" w:hAnsi="方正仿宋_GBK" w:eastAsia="方正仿宋_GBK" w:cs="方正仿宋_GBK"/>
          <w:sz w:val="32"/>
          <w:szCs w:val="32"/>
        </w:rPr>
        <w:t>万元（含）以上设备（不含车辆）</w:t>
      </w:r>
      <w:r>
        <w:rPr>
          <w:rFonts w:hint="default" w:ascii="Times New Roman" w:hAnsi="Times New Roman" w:eastAsia="方正仿宋_GBK"/>
          <w:sz w:val="32"/>
          <w:szCs w:val="32"/>
        </w:rPr>
        <w:t>0</w:t>
      </w:r>
      <w:r>
        <w:rPr>
          <w:rFonts w:ascii="方正仿宋_GBK" w:hAnsi="方正仿宋_GBK" w:eastAsia="方正仿宋_GBK" w:cs="方正仿宋_GBK"/>
          <w:sz w:val="32"/>
          <w:szCs w:val="32"/>
        </w:rPr>
        <w:t>台（套）。</w:t>
      </w:r>
    </w:p>
    <w:p>
      <w:pPr>
        <w:pStyle w:val="14"/>
        <w:autoSpaceDE w:val="0"/>
        <w:spacing w:beforeAutospacing="0" w:afterAutospacing="0"/>
        <w:ind w:firstLine="640" w:firstLineChars="200"/>
        <w:jc w:val="both"/>
        <w:rPr>
          <w:rFonts w:hint="default" w:ascii="方正楷体_GBK" w:hAnsi="Times New Roman" w:eastAsia="方正楷体_GBK" w:cs="宋体"/>
          <w:sz w:val="32"/>
          <w:szCs w:val="32"/>
        </w:rPr>
      </w:pPr>
      <w:r>
        <w:rPr>
          <w:rFonts w:ascii="方正楷体_GBK" w:hAnsi="方正楷体_GBK" w:eastAsia="方正楷体_GBK" w:cs="方正楷体_GBK"/>
          <w:sz w:val="32"/>
          <w:szCs w:val="32"/>
        </w:rPr>
        <w:t>（四）政府采购支出情况说明</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hint="default" w:ascii="Times New Roman" w:hAnsi="Times New Roman" w:eastAsia="方正仿宋_GBK"/>
          <w:sz w:val="32"/>
          <w:szCs w:val="32"/>
        </w:rPr>
        <w:t>2022</w:t>
      </w:r>
      <w:r>
        <w:rPr>
          <w:rFonts w:ascii="方正仿宋_GBK" w:hAnsi="方正仿宋_GBK" w:eastAsia="方正仿宋_GBK" w:cs="方正仿宋_GBK"/>
          <w:sz w:val="32"/>
          <w:szCs w:val="32"/>
        </w:rPr>
        <w:t>年度我单位未发生政府采购事项，无相关经费支出。</w:t>
      </w:r>
    </w:p>
    <w:p>
      <w:pPr>
        <w:autoSpaceDE w:val="0"/>
        <w:spacing w:line="594" w:lineRule="exact"/>
        <w:ind w:firstLine="640" w:firstLineChars="200"/>
        <w:jc w:val="both"/>
        <w:rPr>
          <w:rFonts w:hint="default" w:ascii="Times New Roman" w:hAnsi="Times New Roman" w:eastAsia="方正黑体_GBK" w:cs="宋体"/>
          <w:sz w:val="32"/>
          <w:szCs w:val="32"/>
        </w:rPr>
      </w:pPr>
      <w:r>
        <w:rPr>
          <w:rFonts w:ascii="Times New Roman" w:hAnsi="Times New Roman" w:eastAsia="方正仿宋_GBK" w:cs="宋体"/>
          <w:sz w:val="32"/>
          <w:szCs w:val="32"/>
        </w:rPr>
        <w:t xml:space="preserve">  </w:t>
      </w:r>
      <w:r>
        <w:rPr>
          <w:rFonts w:ascii="方正黑体_GBK" w:hAnsi="方正黑体_GBK" w:eastAsia="方正黑体_GBK" w:cs="方正黑体_GBK"/>
          <w:sz w:val="32"/>
          <w:szCs w:val="32"/>
        </w:rPr>
        <w:t>五、预算绩效管理情况说明</w:t>
      </w:r>
    </w:p>
    <w:p>
      <w:pPr>
        <w:autoSpaceDE w:val="0"/>
        <w:spacing w:line="594" w:lineRule="exact"/>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（一）预算绩效管理工作开展情况</w:t>
      </w:r>
    </w:p>
    <w:p>
      <w:pPr>
        <w:pStyle w:val="14"/>
        <w:autoSpaceDE w:val="0"/>
        <w:spacing w:beforeAutospacing="0" w:afterAutospacing="0"/>
        <w:ind w:firstLine="640" w:firstLineChars="200"/>
        <w:jc w:val="both"/>
        <w:rPr>
          <w:rFonts w:hint="default" w:ascii="Times New Roman" w:hAnsi="Times New Roman" w:eastAsia="方正仿宋_GBK" w:cs="宋体"/>
          <w:color w:val="FF0000"/>
          <w:sz w:val="32"/>
          <w:szCs w:val="32"/>
        </w:rPr>
      </w:pPr>
      <w:r>
        <w:rPr>
          <w:rFonts w:ascii="方正仿宋_GBK" w:hAnsi="方正仿宋_GBK" w:eastAsia="方正仿宋_GBK" w:cs="方正仿宋_GBK"/>
          <w:sz w:val="32"/>
          <w:szCs w:val="32"/>
        </w:rPr>
        <w:t>根据预算绩效管理要求，我镇对部门整体和</w:t>
      </w:r>
      <w:r>
        <w:rPr>
          <w:rFonts w:hint="default" w:ascii="Times New Roman" w:hAnsi="Times New Roman" w:eastAsia="方正仿宋_GBK"/>
          <w:sz w:val="32"/>
          <w:szCs w:val="32"/>
        </w:rPr>
        <w:t>122</w:t>
      </w:r>
      <w:r>
        <w:rPr>
          <w:rFonts w:ascii="方正仿宋_GBK" w:hAnsi="方正仿宋_GBK" w:eastAsia="方正仿宋_GBK" w:cs="方正仿宋_GBK"/>
          <w:sz w:val="32"/>
          <w:szCs w:val="32"/>
        </w:rPr>
        <w:t>个项目开展了绩效自评，其中，以填报自评表形式开展自评</w:t>
      </w:r>
      <w:r>
        <w:rPr>
          <w:rFonts w:hint="default" w:ascii="Times New Roman" w:hAnsi="Times New Roman" w:eastAsia="方正仿宋_GBK"/>
          <w:sz w:val="32"/>
          <w:szCs w:val="32"/>
        </w:rPr>
        <w:t>122</w:t>
      </w:r>
      <w:r>
        <w:rPr>
          <w:rFonts w:ascii="方正仿宋_GBK" w:hAnsi="方正仿宋_GBK" w:eastAsia="方正仿宋_GBK" w:cs="方正仿宋_GBK"/>
          <w:sz w:val="32"/>
          <w:szCs w:val="32"/>
        </w:rPr>
        <w:t>项万元；无项目委托第三方出具报告的方式开展绩效评价，涉及资金</w:t>
      </w:r>
      <w:r>
        <w:rPr>
          <w:rFonts w:hint="default" w:ascii="Times New Roman" w:hAnsi="Times New Roman" w:eastAsia="方正仿宋_GBK"/>
          <w:sz w:val="32"/>
          <w:szCs w:val="32"/>
        </w:rPr>
        <w:t>4382</w:t>
      </w:r>
      <w:r>
        <w:rPr>
          <w:rFonts w:ascii="方正仿宋_GBK" w:hAnsi="方正仿宋_GBK" w:eastAsia="方正仿宋_GBK" w:cs="方正仿宋_GBK"/>
          <w:sz w:val="32"/>
          <w:szCs w:val="32"/>
        </w:rPr>
        <w:t>万元。</w:t>
      </w:r>
      <w:r>
        <w:rPr>
          <w:rFonts w:ascii="Times New Roman" w:hAnsi="Times New Roman" w:eastAsia="方正仿宋_GBK"/>
          <w:kern w:val="2"/>
          <w:sz w:val="32"/>
          <w:szCs w:val="32"/>
        </w:rPr>
        <w:t>从评价情况来看，项目立项较为规范，绩效目标明确，预算编制合理，管理科学规范，总体完成情况较好，项目基本达到了预期绩效目标。</w:t>
      </w:r>
    </w:p>
    <w:p>
      <w:pPr>
        <w:autoSpaceDE w:val="0"/>
        <w:spacing w:line="594" w:lineRule="exact"/>
        <w:ind w:firstLine="640" w:firstLineChars="200"/>
        <w:jc w:val="both"/>
        <w:rPr>
          <w:rFonts w:hint="default" w:ascii="Times New Roman" w:hAnsi="Times New Roman" w:eastAsia="方正楷体_GBK" w:cs="宋体"/>
          <w:sz w:val="32"/>
          <w:szCs w:val="32"/>
        </w:rPr>
      </w:pPr>
      <w:r>
        <w:rPr>
          <w:rFonts w:ascii="方正楷体_GBK" w:hAnsi="方正楷体_GBK" w:eastAsia="方正楷体_GBK" w:cs="方正楷体_GBK"/>
          <w:sz w:val="32"/>
          <w:szCs w:val="32"/>
        </w:rPr>
        <w:t>（二）绩效自评结果</w:t>
      </w:r>
    </w:p>
    <w:p>
      <w:pPr>
        <w:pStyle w:val="14"/>
        <w:autoSpaceDE w:val="0"/>
        <w:spacing w:beforeAutospacing="0" w:afterAutospacing="0"/>
        <w:ind w:firstLine="640" w:firstLineChars="200"/>
        <w:jc w:val="both"/>
        <w:rPr>
          <w:rFonts w:hint="default" w:ascii="Times New Roman" w:hAnsi="Times New Roman" w:eastAsia="方正楷体_GBK" w:cs="宋体"/>
          <w:sz w:val="32"/>
          <w:szCs w:val="32"/>
        </w:rPr>
      </w:pPr>
      <w:r>
        <w:rPr>
          <w:rFonts w:hint="default" w:ascii="Times New Roman" w:hAnsi="Times New Roman" w:eastAsia="方正楷体_GBK"/>
          <w:sz w:val="32"/>
          <w:szCs w:val="32"/>
        </w:rPr>
        <w:t>1.</w:t>
      </w:r>
      <w:r>
        <w:rPr>
          <w:rFonts w:ascii="方正楷体_GBK" w:hAnsi="方正楷体_GBK" w:eastAsia="方正楷体_GBK" w:cs="方正楷体_GBK"/>
          <w:sz w:val="32"/>
          <w:szCs w:val="32"/>
        </w:rPr>
        <w:t>绩效目标自评表。</w:t>
      </w:r>
    </w:p>
    <w:tbl>
      <w:tblPr>
        <w:tblStyle w:val="11"/>
        <w:tblW w:w="11068" w:type="dxa"/>
        <w:jc w:val="center"/>
        <w:tblLayout w:type="fixed"/>
        <w:tblCellMar>
          <w:top w:w="0" w:type="dxa"/>
          <w:left w:w="108" w:type="dxa"/>
          <w:bottom w:w="0" w:type="dxa"/>
          <w:right w:w="108" w:type="dxa"/>
        </w:tblCellMar>
      </w:tblPr>
      <w:tblGrid>
        <w:gridCol w:w="1387"/>
        <w:gridCol w:w="506"/>
        <w:gridCol w:w="1264"/>
        <w:gridCol w:w="885"/>
        <w:gridCol w:w="727"/>
        <w:gridCol w:w="915"/>
        <w:gridCol w:w="1095"/>
        <w:gridCol w:w="630"/>
        <w:gridCol w:w="690"/>
        <w:gridCol w:w="1075"/>
        <w:gridCol w:w="902"/>
        <w:gridCol w:w="992"/>
      </w:tblGrid>
      <w:tr>
        <w:tblPrEx>
          <w:tblCellMar>
            <w:top w:w="0" w:type="dxa"/>
            <w:left w:w="108" w:type="dxa"/>
            <w:bottom w:w="0" w:type="dxa"/>
            <w:right w:w="108" w:type="dxa"/>
          </w:tblCellMar>
        </w:tblPrEx>
        <w:trPr>
          <w:trHeight w:val="584"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000000"/>
                <w:sz w:val="36"/>
                <w:szCs w:val="36"/>
              </w:rPr>
            </w:pPr>
            <w:r>
              <w:rPr>
                <w:rFonts w:ascii="微软雅黑" w:hAnsi="微软雅黑" w:eastAsia="微软雅黑" w:cs="微软雅黑"/>
                <w:b/>
                <w:bCs/>
                <w:color w:val="000000"/>
                <w:sz w:val="32"/>
                <w:szCs w:val="32"/>
              </w:rPr>
              <w:t>2022年度部门整体绩效自评表</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项目名称：</w:t>
            </w:r>
          </w:p>
        </w:tc>
        <w:tc>
          <w:tcPr>
            <w:tcW w:w="1770" w:type="dxa"/>
            <w:gridSpan w:val="2"/>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color w:val="000000"/>
                <w:sz w:val="16"/>
                <w:szCs w:val="16"/>
              </w:rPr>
            </w:pPr>
            <w:r>
              <w:rPr>
                <w:rFonts w:cs="宋体"/>
                <w:color w:val="000000"/>
                <w:sz w:val="16"/>
                <w:szCs w:val="16"/>
              </w:rPr>
              <w:t>丰都县包鸾镇整体自评</w:t>
            </w:r>
          </w:p>
        </w:tc>
        <w:tc>
          <w:tcPr>
            <w:tcW w:w="885"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项目编码：</w:t>
            </w:r>
          </w:p>
        </w:tc>
        <w:tc>
          <w:tcPr>
            <w:tcW w:w="1642"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50023000022P000097</w:t>
            </w:r>
          </w:p>
        </w:tc>
        <w:tc>
          <w:tcPr>
            <w:tcW w:w="1095"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自评总分：</w:t>
            </w:r>
          </w:p>
        </w:tc>
        <w:tc>
          <w:tcPr>
            <w:tcW w:w="1320"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99.10</w:t>
            </w:r>
          </w:p>
        </w:tc>
        <w:tc>
          <w:tcPr>
            <w:tcW w:w="1075"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p>
        </w:tc>
        <w:tc>
          <w:tcPr>
            <w:tcW w:w="1894"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项目主管部门：</w:t>
            </w:r>
          </w:p>
        </w:tc>
        <w:tc>
          <w:tcPr>
            <w:tcW w:w="1770"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jc w:val="both"/>
              <w:rPr>
                <w:rFonts w:hint="default"/>
                <w:color w:val="000000"/>
                <w:sz w:val="16"/>
                <w:szCs w:val="16"/>
              </w:rPr>
            </w:pPr>
            <w:r>
              <w:rPr>
                <w:rFonts w:cs="宋体"/>
                <w:color w:val="000000"/>
                <w:sz w:val="16"/>
                <w:szCs w:val="16"/>
              </w:rPr>
              <w:t>930-丰都县包鸾镇</w:t>
            </w:r>
          </w:p>
        </w:tc>
        <w:tc>
          <w:tcPr>
            <w:tcW w:w="885"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财政归口处室：</w:t>
            </w:r>
          </w:p>
        </w:tc>
        <w:tc>
          <w:tcPr>
            <w:tcW w:w="1642"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007-基财科</w:t>
            </w:r>
          </w:p>
        </w:tc>
        <w:tc>
          <w:tcPr>
            <w:tcW w:w="1095" w:type="dxa"/>
            <w:tcBorders>
              <w:top w:val="nil"/>
              <w:left w:val="nil"/>
              <w:bottom w:val="single" w:color="auto" w:sz="4" w:space="0"/>
              <w:right w:val="single" w:color="auto" w:sz="4" w:space="0"/>
            </w:tcBorders>
            <w:shd w:val="clear" w:color="auto" w:fill="auto"/>
            <w:noWrap/>
            <w:vAlign w:val="center"/>
          </w:tcPr>
          <w:p>
            <w:pPr>
              <w:spacing w:line="240" w:lineRule="atLeast"/>
              <w:ind w:right="483"/>
              <w:jc w:val="both"/>
              <w:rPr>
                <w:rFonts w:hint="default"/>
                <w:b/>
                <w:bCs/>
                <w:color w:val="000000"/>
                <w:sz w:val="16"/>
                <w:szCs w:val="16"/>
              </w:rPr>
            </w:pPr>
            <w:r>
              <w:rPr>
                <w:rFonts w:cs="宋体"/>
                <w:b/>
                <w:bCs/>
                <w:color w:val="000000"/>
                <w:sz w:val="16"/>
                <w:szCs w:val="16"/>
              </w:rPr>
              <w:t>部门</w:t>
            </w:r>
          </w:p>
          <w:p>
            <w:pPr>
              <w:spacing w:line="240" w:lineRule="atLeast"/>
              <w:ind w:right="161"/>
              <w:jc w:val="both"/>
              <w:rPr>
                <w:rFonts w:hint="default"/>
                <w:b/>
                <w:bCs/>
                <w:color w:val="000000"/>
                <w:sz w:val="16"/>
                <w:szCs w:val="16"/>
              </w:rPr>
            </w:pPr>
            <w:r>
              <w:rPr>
                <w:rFonts w:cs="宋体"/>
                <w:b/>
                <w:bCs/>
                <w:color w:val="000000"/>
                <w:sz w:val="16"/>
                <w:szCs w:val="16"/>
              </w:rPr>
              <w:t>联系人：</w:t>
            </w:r>
          </w:p>
        </w:tc>
        <w:tc>
          <w:tcPr>
            <w:tcW w:w="1320"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彭江河</w:t>
            </w:r>
          </w:p>
        </w:tc>
        <w:tc>
          <w:tcPr>
            <w:tcW w:w="1075" w:type="dxa"/>
            <w:tcBorders>
              <w:top w:val="nil"/>
              <w:left w:val="nil"/>
              <w:bottom w:val="single" w:color="auto" w:sz="4" w:space="0"/>
              <w:right w:val="single" w:color="auto" w:sz="4" w:space="0"/>
            </w:tcBorders>
            <w:shd w:val="clear" w:color="auto" w:fill="auto"/>
            <w:noWrap/>
            <w:vAlign w:val="center"/>
          </w:tcPr>
          <w:p>
            <w:pPr>
              <w:spacing w:line="240" w:lineRule="atLeast"/>
              <w:ind w:right="181"/>
              <w:jc w:val="both"/>
              <w:rPr>
                <w:rFonts w:hint="default"/>
                <w:b/>
                <w:bCs/>
                <w:color w:val="000000"/>
                <w:sz w:val="16"/>
                <w:szCs w:val="16"/>
              </w:rPr>
            </w:pPr>
            <w:r>
              <w:rPr>
                <w:rFonts w:cs="宋体"/>
                <w:b/>
                <w:bCs/>
                <w:color w:val="000000"/>
                <w:sz w:val="16"/>
                <w:szCs w:val="16"/>
              </w:rPr>
              <w:t>联系电话：</w:t>
            </w:r>
          </w:p>
        </w:tc>
        <w:tc>
          <w:tcPr>
            <w:tcW w:w="189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15978973607</w:t>
            </w:r>
          </w:p>
        </w:tc>
      </w:tr>
      <w:tr>
        <w:tblPrEx>
          <w:tblCellMar>
            <w:top w:w="0" w:type="dxa"/>
            <w:left w:w="108" w:type="dxa"/>
            <w:bottom w:w="0" w:type="dxa"/>
            <w:right w:w="108" w:type="dxa"/>
          </w:tblCellMar>
        </w:tblPrEx>
        <w:trPr>
          <w:trHeight w:val="469"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808080"/>
                <w:sz w:val="28"/>
                <w:szCs w:val="28"/>
              </w:rPr>
            </w:pPr>
            <w:r>
              <w:rPr>
                <w:rFonts w:ascii="微软雅黑" w:hAnsi="微软雅黑" w:eastAsia="微软雅黑" w:cs="微软雅黑"/>
                <w:b/>
                <w:bCs/>
                <w:color w:val="808080"/>
                <w:sz w:val="18"/>
                <w:szCs w:val="18"/>
              </w:rPr>
              <w:t>资金情况</w:t>
            </w:r>
          </w:p>
        </w:tc>
      </w:tr>
      <w:tr>
        <w:tblPrEx>
          <w:tblCellMar>
            <w:top w:w="0" w:type="dxa"/>
            <w:left w:w="108" w:type="dxa"/>
            <w:bottom w:w="0" w:type="dxa"/>
            <w:right w:w="108" w:type="dxa"/>
          </w:tblCellMar>
        </w:tblPrEx>
        <w:trPr>
          <w:trHeight w:val="445" w:hRule="atLeast"/>
          <w:jc w:val="center"/>
        </w:trPr>
        <w:tc>
          <w:tcPr>
            <w:tcW w:w="189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c>
          <w:tcPr>
            <w:tcW w:w="2149" w:type="dxa"/>
            <w:gridSpan w:val="2"/>
            <w:tcBorders>
              <w:top w:val="single" w:color="auto" w:sz="4" w:space="0"/>
              <w:left w:val="nil"/>
              <w:bottom w:val="single" w:color="auto" w:sz="4" w:space="0"/>
              <w:right w:val="single" w:color="000000" w:sz="4" w:space="0"/>
            </w:tcBorders>
            <w:shd w:val="clear" w:color="auto" w:fill="auto"/>
            <w:noWrap/>
            <w:vAlign w:val="center"/>
          </w:tcPr>
          <w:p>
            <w:pPr>
              <w:ind w:right="724"/>
              <w:jc w:val="both"/>
              <w:rPr>
                <w:rFonts w:hint="default"/>
                <w:b/>
                <w:bCs/>
                <w:color w:val="000000"/>
                <w:sz w:val="16"/>
                <w:szCs w:val="16"/>
              </w:rPr>
            </w:pPr>
            <w:r>
              <w:rPr>
                <w:rFonts w:cs="宋体"/>
                <w:b/>
                <w:bCs/>
                <w:color w:val="000000"/>
                <w:sz w:val="16"/>
                <w:szCs w:val="16"/>
              </w:rPr>
              <w:t>年初预算数</w:t>
            </w:r>
          </w:p>
        </w:tc>
        <w:tc>
          <w:tcPr>
            <w:tcW w:w="1642"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全年（调整）</w:t>
            </w:r>
          </w:p>
          <w:p>
            <w:pPr>
              <w:jc w:val="both"/>
              <w:rPr>
                <w:rFonts w:hint="default"/>
                <w:b/>
                <w:bCs/>
                <w:color w:val="000000"/>
                <w:sz w:val="16"/>
                <w:szCs w:val="16"/>
              </w:rPr>
            </w:pPr>
            <w:r>
              <w:rPr>
                <w:rFonts w:cs="宋体"/>
                <w:b/>
                <w:bCs/>
                <w:color w:val="000000"/>
                <w:sz w:val="16"/>
                <w:szCs w:val="16"/>
              </w:rPr>
              <w:t>预算数</w:t>
            </w:r>
          </w:p>
        </w:tc>
        <w:tc>
          <w:tcPr>
            <w:tcW w:w="1725" w:type="dxa"/>
            <w:gridSpan w:val="2"/>
            <w:tcBorders>
              <w:top w:val="single" w:color="auto" w:sz="4" w:space="0"/>
              <w:left w:val="nil"/>
              <w:bottom w:val="single" w:color="auto" w:sz="4" w:space="0"/>
              <w:right w:val="single" w:color="000000" w:sz="4" w:space="0"/>
            </w:tcBorders>
            <w:shd w:val="clear" w:color="auto" w:fill="auto"/>
            <w:noWrap/>
            <w:vAlign w:val="center"/>
          </w:tcPr>
          <w:p>
            <w:pPr>
              <w:ind w:right="161"/>
              <w:jc w:val="both"/>
              <w:rPr>
                <w:rFonts w:hint="default"/>
                <w:b/>
                <w:bCs/>
                <w:color w:val="000000"/>
                <w:sz w:val="16"/>
                <w:szCs w:val="16"/>
              </w:rPr>
            </w:pPr>
            <w:r>
              <w:rPr>
                <w:rFonts w:cs="宋体"/>
                <w:b/>
                <w:bCs/>
                <w:color w:val="000000"/>
                <w:sz w:val="16"/>
                <w:szCs w:val="16"/>
              </w:rPr>
              <w:t>全年执行数</w:t>
            </w:r>
          </w:p>
        </w:tc>
        <w:tc>
          <w:tcPr>
            <w:tcW w:w="1765" w:type="dxa"/>
            <w:gridSpan w:val="2"/>
            <w:tcBorders>
              <w:top w:val="single" w:color="auto" w:sz="4" w:space="0"/>
              <w:left w:val="nil"/>
              <w:bottom w:val="single" w:color="auto" w:sz="4" w:space="0"/>
              <w:right w:val="single" w:color="000000" w:sz="4" w:space="0"/>
            </w:tcBorders>
            <w:shd w:val="clear" w:color="auto" w:fill="auto"/>
            <w:noWrap/>
            <w:vAlign w:val="center"/>
          </w:tcPr>
          <w:p>
            <w:pPr>
              <w:ind w:right="322"/>
              <w:jc w:val="both"/>
              <w:rPr>
                <w:rFonts w:hint="default"/>
                <w:b/>
                <w:bCs/>
                <w:color w:val="000000"/>
                <w:sz w:val="16"/>
                <w:szCs w:val="16"/>
              </w:rPr>
            </w:pPr>
            <w:r>
              <w:rPr>
                <w:rFonts w:cs="宋体"/>
                <w:b/>
                <w:bCs/>
                <w:color w:val="000000"/>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执行率</w:t>
            </w:r>
          </w:p>
          <w:p>
            <w:pPr>
              <w:jc w:val="both"/>
              <w:rPr>
                <w:rFonts w:hint="default"/>
                <w:b/>
                <w:bCs/>
                <w:color w:val="000000"/>
                <w:sz w:val="16"/>
                <w:szCs w:val="16"/>
              </w:rPr>
            </w:pPr>
            <w:r>
              <w:rPr>
                <w:rFonts w:cs="宋体"/>
                <w:b/>
                <w:bCs/>
                <w:color w:val="000000"/>
                <w:sz w:val="16"/>
                <w:szCs w:val="16"/>
              </w:rPr>
              <w:t>权重</w:t>
            </w:r>
          </w:p>
        </w:tc>
        <w:tc>
          <w:tcPr>
            <w:tcW w:w="99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执行率</w:t>
            </w:r>
          </w:p>
          <w:p>
            <w:pPr>
              <w:jc w:val="both"/>
              <w:rPr>
                <w:rFonts w:hint="default"/>
                <w:b/>
                <w:bCs/>
                <w:color w:val="000000"/>
                <w:sz w:val="16"/>
                <w:szCs w:val="16"/>
              </w:rPr>
            </w:pPr>
            <w:r>
              <w:rPr>
                <w:rFonts w:cs="宋体"/>
                <w:b/>
                <w:bCs/>
                <w:color w:val="000000"/>
                <w:sz w:val="16"/>
                <w:szCs w:val="16"/>
              </w:rPr>
              <w:t>得分</w:t>
            </w:r>
          </w:p>
        </w:tc>
      </w:tr>
      <w:tr>
        <w:tblPrEx>
          <w:tblCellMar>
            <w:top w:w="0" w:type="dxa"/>
            <w:left w:w="108" w:type="dxa"/>
            <w:bottom w:w="0" w:type="dxa"/>
            <w:right w:w="108" w:type="dxa"/>
          </w:tblCellMar>
        </w:tblPrEx>
        <w:trPr>
          <w:trHeight w:val="499" w:hRule="atLeast"/>
          <w:jc w:val="center"/>
        </w:trPr>
        <w:tc>
          <w:tcPr>
            <w:tcW w:w="18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年度总金额</w:t>
            </w:r>
          </w:p>
        </w:tc>
        <w:tc>
          <w:tcPr>
            <w:tcW w:w="2149"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21083131.4　</w:t>
            </w:r>
          </w:p>
        </w:tc>
        <w:tc>
          <w:tcPr>
            <w:tcW w:w="16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43821429.92　</w:t>
            </w:r>
          </w:p>
        </w:tc>
        <w:tc>
          <w:tcPr>
            <w:tcW w:w="1725"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39820357.43　</w:t>
            </w:r>
          </w:p>
        </w:tc>
        <w:tc>
          <w:tcPr>
            <w:tcW w:w="1765"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　</w:t>
            </w:r>
          </w:p>
        </w:tc>
      </w:tr>
      <w:tr>
        <w:tblPrEx>
          <w:tblCellMar>
            <w:top w:w="0" w:type="dxa"/>
            <w:left w:w="108" w:type="dxa"/>
            <w:bottom w:w="0" w:type="dxa"/>
            <w:right w:w="108" w:type="dxa"/>
          </w:tblCellMar>
        </w:tblPrEx>
        <w:trPr>
          <w:trHeight w:val="415" w:hRule="atLeast"/>
          <w:jc w:val="center"/>
        </w:trPr>
        <w:tc>
          <w:tcPr>
            <w:tcW w:w="18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其中：财政拨款</w:t>
            </w:r>
          </w:p>
        </w:tc>
        <w:tc>
          <w:tcPr>
            <w:tcW w:w="2149"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21083131.4　</w:t>
            </w:r>
          </w:p>
        </w:tc>
        <w:tc>
          <w:tcPr>
            <w:tcW w:w="16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43821429.92　</w:t>
            </w:r>
          </w:p>
        </w:tc>
        <w:tc>
          <w:tcPr>
            <w:tcW w:w="1725"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39820357.43　</w:t>
            </w:r>
          </w:p>
        </w:tc>
        <w:tc>
          <w:tcPr>
            <w:tcW w:w="1765"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91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10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9.1　</w:t>
            </w:r>
          </w:p>
        </w:tc>
      </w:tr>
      <w:tr>
        <w:tblPrEx>
          <w:tblCellMar>
            <w:top w:w="0" w:type="dxa"/>
            <w:left w:w="108" w:type="dxa"/>
            <w:bottom w:w="0" w:type="dxa"/>
            <w:right w:w="108" w:type="dxa"/>
          </w:tblCellMar>
        </w:tblPrEx>
        <w:trPr>
          <w:trHeight w:val="600"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808080"/>
                <w:sz w:val="28"/>
                <w:szCs w:val="28"/>
              </w:rPr>
            </w:pPr>
            <w:r>
              <w:rPr>
                <w:rFonts w:ascii="微软雅黑" w:hAnsi="微软雅黑" w:eastAsia="微软雅黑" w:cs="微软雅黑"/>
                <w:b/>
                <w:bCs/>
                <w:color w:val="808080"/>
              </w:rPr>
              <w:t>绩效目标</w:t>
            </w:r>
          </w:p>
        </w:tc>
      </w:tr>
      <w:tr>
        <w:tblPrEx>
          <w:tblCellMar>
            <w:top w:w="0" w:type="dxa"/>
            <w:left w:w="108" w:type="dxa"/>
            <w:bottom w:w="0" w:type="dxa"/>
            <w:right w:w="108" w:type="dxa"/>
          </w:tblCellMar>
        </w:tblPrEx>
        <w:trPr>
          <w:trHeight w:val="499" w:hRule="atLeast"/>
          <w:jc w:val="center"/>
        </w:trPr>
        <w:tc>
          <w:tcPr>
            <w:tcW w:w="404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年初绩效目标</w:t>
            </w:r>
          </w:p>
        </w:tc>
        <w:tc>
          <w:tcPr>
            <w:tcW w:w="3367"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全年（调整）绩效目标</w:t>
            </w:r>
          </w:p>
        </w:tc>
        <w:tc>
          <w:tcPr>
            <w:tcW w:w="3659"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4042" w:type="dxa"/>
            <w:gridSpan w:val="4"/>
            <w:tcBorders>
              <w:top w:val="single" w:color="auto" w:sz="4" w:space="0"/>
              <w:left w:val="single" w:color="auto" w:sz="4" w:space="0"/>
              <w:bottom w:val="single" w:color="auto" w:sz="4" w:space="0"/>
              <w:right w:val="single" w:color="auto" w:sz="4" w:space="0"/>
            </w:tcBorders>
            <w:shd w:val="clear" w:color="auto" w:fill="auto"/>
          </w:tcPr>
          <w:p>
            <w:pPr>
              <w:jc w:val="both"/>
              <w:rPr>
                <w:rFonts w:hint="default"/>
                <w:color w:val="000000"/>
                <w:sz w:val="16"/>
                <w:szCs w:val="16"/>
              </w:rPr>
            </w:pPr>
            <w:r>
              <w:rPr>
                <w:rFonts w:cs="宋体"/>
                <w:color w:val="000000"/>
                <w:sz w:val="16"/>
                <w:szCs w:val="16"/>
              </w:rPr>
              <w:t>　主要负责纪检、宣传、统战、法制、武装、编制、人事、民宗侨台以及综合协调、文秘等职责。;统筹负责基层党建、群团等工作。;主要负责经济发展规划、农村经营管理、经济社会统计、扶贫开发、乡村振兴等职责。;主要负责民政、教育、文化、体育、社会救助、残疾人事业、劳动就业、社会保障，统筹负责卫生、计生、老龄事业发展等职责。;统筹负责信访、社会治安综合治理、防范和处理邪教等职责。;主要负责村镇规划、村镇建设、市政公用、市容环卫、环境保护、河长制等职责。;主要负责财政收支、预决算、总会计、惠农资金兑付、财政资金监督检查、绩效评价、村级财务管理等职责。;统筹负责安全生产综合监管、应急管理、消防管理等职责。;主要负责人大主席团日常工作。;主要承担集中行使依法授权或委托的行政执法权。;为农技、农机、林业、水利、畜牧等工作服务。;为文化、宣传、体育等工作服务。;为劳动就业、社会保障等工作服务。;为退役军人服务。;依法执法，确保执法公平、公正。</w:t>
            </w:r>
          </w:p>
        </w:tc>
        <w:tc>
          <w:tcPr>
            <w:tcW w:w="3367" w:type="dxa"/>
            <w:gridSpan w:val="4"/>
            <w:tcBorders>
              <w:top w:val="single" w:color="auto" w:sz="4" w:space="0"/>
              <w:left w:val="nil"/>
              <w:bottom w:val="single" w:color="auto" w:sz="4" w:space="0"/>
              <w:right w:val="single" w:color="auto" w:sz="4" w:space="0"/>
            </w:tcBorders>
            <w:shd w:val="clear" w:color="auto" w:fill="auto"/>
          </w:tcPr>
          <w:p>
            <w:pPr>
              <w:jc w:val="both"/>
              <w:rPr>
                <w:rFonts w:hint="default"/>
                <w:color w:val="000000"/>
                <w:sz w:val="16"/>
                <w:szCs w:val="16"/>
              </w:rPr>
            </w:pPr>
            <w:r>
              <w:rPr>
                <w:rFonts w:cs="宋体"/>
                <w:color w:val="000000"/>
                <w:sz w:val="16"/>
                <w:szCs w:val="16"/>
              </w:rPr>
              <w:t>　</w:t>
            </w:r>
          </w:p>
        </w:tc>
        <w:tc>
          <w:tcPr>
            <w:tcW w:w="3659" w:type="dxa"/>
            <w:gridSpan w:val="4"/>
            <w:tcBorders>
              <w:top w:val="single" w:color="auto" w:sz="4" w:space="0"/>
              <w:left w:val="nil"/>
              <w:bottom w:val="single" w:color="auto" w:sz="4" w:space="0"/>
              <w:right w:val="single" w:color="auto" w:sz="4" w:space="0"/>
            </w:tcBorders>
            <w:shd w:val="clear" w:color="auto" w:fill="auto"/>
          </w:tcPr>
          <w:p>
            <w:pPr>
              <w:jc w:val="both"/>
              <w:rPr>
                <w:rFonts w:hint="default"/>
                <w:color w:val="000000"/>
                <w:sz w:val="16"/>
                <w:szCs w:val="16"/>
              </w:rPr>
            </w:pPr>
            <w:r>
              <w:rPr>
                <w:rFonts w:cs="宋体"/>
                <w:color w:val="000000"/>
                <w:sz w:val="16"/>
                <w:szCs w:val="16"/>
              </w:rPr>
              <w:t>　完成全年各项工作，并获得综合目标考核一等奖</w:t>
            </w:r>
          </w:p>
        </w:tc>
      </w:tr>
      <w:tr>
        <w:tblPrEx>
          <w:tblCellMar>
            <w:top w:w="0" w:type="dxa"/>
            <w:left w:w="108" w:type="dxa"/>
            <w:bottom w:w="0" w:type="dxa"/>
            <w:right w:w="108" w:type="dxa"/>
          </w:tblCellMar>
        </w:tblPrEx>
        <w:trPr>
          <w:trHeight w:val="600"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808080"/>
                <w:sz w:val="28"/>
                <w:szCs w:val="28"/>
              </w:rPr>
            </w:pPr>
            <w:r>
              <w:rPr>
                <w:rFonts w:ascii="微软雅黑" w:hAnsi="微软雅黑" w:eastAsia="微软雅黑" w:cs="微软雅黑"/>
                <w:b/>
                <w:bCs/>
                <w:color w:val="808080"/>
              </w:rPr>
              <w:t>绩效指标</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名称</w:t>
            </w:r>
          </w:p>
        </w:tc>
        <w:tc>
          <w:tcPr>
            <w:tcW w:w="506"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计量单位</w:t>
            </w:r>
          </w:p>
        </w:tc>
        <w:tc>
          <w:tcPr>
            <w:tcW w:w="1264"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性质</w:t>
            </w:r>
          </w:p>
        </w:tc>
        <w:tc>
          <w:tcPr>
            <w:tcW w:w="885"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指标值</w:t>
            </w:r>
          </w:p>
        </w:tc>
        <w:tc>
          <w:tcPr>
            <w:tcW w:w="727"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全年完成值</w:t>
            </w:r>
          </w:p>
        </w:tc>
        <w:tc>
          <w:tcPr>
            <w:tcW w:w="915"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偏离度（%）</w:t>
            </w:r>
          </w:p>
        </w:tc>
        <w:tc>
          <w:tcPr>
            <w:tcW w:w="1095"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得分系数（%）</w:t>
            </w:r>
          </w:p>
        </w:tc>
        <w:tc>
          <w:tcPr>
            <w:tcW w:w="630"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权重</w:t>
            </w:r>
          </w:p>
        </w:tc>
        <w:tc>
          <w:tcPr>
            <w:tcW w:w="690"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得分</w:t>
            </w:r>
          </w:p>
        </w:tc>
        <w:tc>
          <w:tcPr>
            <w:tcW w:w="1075"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是否核心指标</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说明</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color w:val="000000"/>
                <w:sz w:val="16"/>
                <w:szCs w:val="16"/>
              </w:rPr>
              <w:t>场镇卫生、安全、水旱灾害、春秋防疫、河长制、武装工作、阵地建设等工作</w:t>
            </w:r>
            <w:r>
              <w:rPr>
                <w:rFonts w:cs="宋体"/>
                <w:b/>
                <w:bCs/>
                <w:color w:val="000000"/>
                <w:sz w:val="16"/>
                <w:szCs w:val="16"/>
              </w:rPr>
              <w:t>　</w:t>
            </w:r>
          </w:p>
        </w:tc>
        <w:tc>
          <w:tcPr>
            <w:tcW w:w="506"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color w:val="000000"/>
                <w:sz w:val="16"/>
                <w:szCs w:val="16"/>
              </w:rPr>
              <w:t>元</w:t>
            </w:r>
            <w:r>
              <w:rPr>
                <w:rFonts w:cs="宋体"/>
                <w:b/>
                <w:bCs/>
                <w:color w:val="000000"/>
                <w:sz w:val="16"/>
                <w:szCs w:val="16"/>
              </w:rPr>
              <w:t>　</w:t>
            </w:r>
          </w:p>
        </w:tc>
        <w:tc>
          <w:tcPr>
            <w:tcW w:w="1264"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定性　</w:t>
            </w:r>
          </w:p>
        </w:tc>
        <w:tc>
          <w:tcPr>
            <w:tcW w:w="88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好　</w:t>
            </w:r>
          </w:p>
        </w:tc>
        <w:tc>
          <w:tcPr>
            <w:tcW w:w="727"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91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0　</w:t>
            </w:r>
          </w:p>
        </w:tc>
        <w:tc>
          <w:tcPr>
            <w:tcW w:w="1095"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100　</w:t>
            </w:r>
          </w:p>
        </w:tc>
        <w:tc>
          <w:tcPr>
            <w:tcW w:w="630"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20　</w:t>
            </w:r>
          </w:p>
        </w:tc>
        <w:tc>
          <w:tcPr>
            <w:tcW w:w="690"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20　</w:t>
            </w:r>
          </w:p>
        </w:tc>
        <w:tc>
          <w:tcPr>
            <w:tcW w:w="1075"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　</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hint="eastAsia" w:cs="宋体"/>
                <w:color w:val="000000"/>
                <w:sz w:val="16"/>
                <w:szCs w:val="16"/>
                <w:lang w:eastAsia="zh-CN"/>
              </w:rPr>
              <w:t>人民代表大会</w:t>
            </w:r>
            <w:r>
              <w:rPr>
                <w:rFonts w:cs="宋体"/>
                <w:color w:val="000000"/>
                <w:sz w:val="16"/>
                <w:szCs w:val="16"/>
              </w:rPr>
              <w:t>、政府维修维护、村居目标考核、工会等活动经费</w:t>
            </w:r>
          </w:p>
        </w:tc>
        <w:tc>
          <w:tcPr>
            <w:tcW w:w="506"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元</w:t>
            </w:r>
          </w:p>
        </w:tc>
        <w:tc>
          <w:tcPr>
            <w:tcW w:w="126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定性</w:t>
            </w:r>
          </w:p>
        </w:tc>
        <w:tc>
          <w:tcPr>
            <w:tcW w:w="88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好</w:t>
            </w:r>
          </w:p>
        </w:tc>
        <w:tc>
          <w:tcPr>
            <w:tcW w:w="727"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91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0　</w:t>
            </w:r>
          </w:p>
        </w:tc>
        <w:tc>
          <w:tcPr>
            <w:tcW w:w="1095"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100　　</w:t>
            </w:r>
          </w:p>
        </w:tc>
        <w:tc>
          <w:tcPr>
            <w:tcW w:w="63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69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107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社会事业、民生保障、社会保障</w:t>
            </w:r>
          </w:p>
        </w:tc>
        <w:tc>
          <w:tcPr>
            <w:tcW w:w="506"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元</w:t>
            </w:r>
          </w:p>
        </w:tc>
        <w:tc>
          <w:tcPr>
            <w:tcW w:w="126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定性</w:t>
            </w:r>
          </w:p>
        </w:tc>
        <w:tc>
          <w:tcPr>
            <w:tcW w:w="88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好　</w:t>
            </w:r>
          </w:p>
        </w:tc>
        <w:tc>
          <w:tcPr>
            <w:tcW w:w="727"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91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0　</w:t>
            </w:r>
          </w:p>
        </w:tc>
        <w:tc>
          <w:tcPr>
            <w:tcW w:w="1095"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100　　</w:t>
            </w:r>
          </w:p>
        </w:tc>
        <w:tc>
          <w:tcPr>
            <w:tcW w:w="63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69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107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基层组织建设、阵地建设</w:t>
            </w:r>
          </w:p>
        </w:tc>
        <w:tc>
          <w:tcPr>
            <w:tcW w:w="506"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人　</w:t>
            </w:r>
          </w:p>
        </w:tc>
        <w:tc>
          <w:tcPr>
            <w:tcW w:w="126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定性</w:t>
            </w:r>
          </w:p>
        </w:tc>
        <w:tc>
          <w:tcPr>
            <w:tcW w:w="88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好　</w:t>
            </w:r>
          </w:p>
        </w:tc>
        <w:tc>
          <w:tcPr>
            <w:tcW w:w="727"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91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0　</w:t>
            </w:r>
          </w:p>
        </w:tc>
        <w:tc>
          <w:tcPr>
            <w:tcW w:w="1095"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100　　</w:t>
            </w:r>
          </w:p>
        </w:tc>
        <w:tc>
          <w:tcPr>
            <w:tcW w:w="63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69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107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38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群众满意度</w:t>
            </w:r>
          </w:p>
        </w:tc>
        <w:tc>
          <w:tcPr>
            <w:tcW w:w="506"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人　</w:t>
            </w:r>
          </w:p>
        </w:tc>
        <w:tc>
          <w:tcPr>
            <w:tcW w:w="1264" w:type="dxa"/>
            <w:tcBorders>
              <w:top w:val="nil"/>
              <w:left w:val="nil"/>
              <w:bottom w:val="single" w:color="auto" w:sz="4" w:space="0"/>
              <w:right w:val="single" w:color="auto" w:sz="4" w:space="0"/>
            </w:tcBorders>
            <w:shd w:val="clear" w:color="auto" w:fill="auto"/>
            <w:noWrap/>
            <w:vAlign w:val="center"/>
          </w:tcPr>
          <w:p>
            <w:pPr>
              <w:ind w:firstLine="480" w:firstLineChars="300"/>
              <w:jc w:val="both"/>
              <w:rPr>
                <w:rFonts w:hint="default"/>
                <w:color w:val="000000"/>
                <w:sz w:val="16"/>
                <w:szCs w:val="16"/>
              </w:rPr>
            </w:pPr>
            <w:r>
              <w:rPr>
                <w:rFonts w:cs="宋体"/>
                <w:color w:val="000000"/>
                <w:sz w:val="16"/>
                <w:szCs w:val="16"/>
              </w:rPr>
              <w:t>≥　</w:t>
            </w:r>
          </w:p>
        </w:tc>
        <w:tc>
          <w:tcPr>
            <w:tcW w:w="88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90　</w:t>
            </w:r>
          </w:p>
        </w:tc>
        <w:tc>
          <w:tcPr>
            <w:tcW w:w="727"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90　</w:t>
            </w:r>
          </w:p>
        </w:tc>
        <w:tc>
          <w:tcPr>
            <w:tcW w:w="915" w:type="dxa"/>
            <w:tcBorders>
              <w:top w:val="nil"/>
              <w:left w:val="nil"/>
              <w:bottom w:val="single" w:color="auto" w:sz="4" w:space="0"/>
              <w:right w:val="single" w:color="auto" w:sz="4" w:space="0"/>
            </w:tcBorders>
            <w:shd w:val="clear" w:color="auto" w:fill="auto"/>
            <w:noWrap/>
            <w:vAlign w:val="center"/>
          </w:tcPr>
          <w:p>
            <w:pPr>
              <w:ind w:firstLine="320" w:firstLineChars="200"/>
              <w:jc w:val="both"/>
              <w:rPr>
                <w:rFonts w:hint="default"/>
                <w:color w:val="000000"/>
                <w:sz w:val="16"/>
                <w:szCs w:val="16"/>
              </w:rPr>
            </w:pPr>
            <w:r>
              <w:rPr>
                <w:rFonts w:cs="宋体"/>
                <w:color w:val="000000"/>
                <w:sz w:val="16"/>
                <w:szCs w:val="16"/>
              </w:rPr>
              <w:t>0　</w:t>
            </w:r>
          </w:p>
        </w:tc>
        <w:tc>
          <w:tcPr>
            <w:tcW w:w="1095"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100　　</w:t>
            </w:r>
          </w:p>
        </w:tc>
        <w:tc>
          <w:tcPr>
            <w:tcW w:w="63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69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1075"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bl>
    <w:p>
      <w:pPr>
        <w:pStyle w:val="14"/>
        <w:spacing w:beforeAutospacing="0"/>
        <w:jc w:val="both"/>
        <w:rPr>
          <w:rFonts w:hint="default" w:cs="宋体"/>
          <w:shd w:val="clear" w:color="auto" w:fill="FFFF00"/>
        </w:rPr>
      </w:pPr>
    </w:p>
    <w:tbl>
      <w:tblPr>
        <w:tblStyle w:val="11"/>
        <w:tblW w:w="11068" w:type="dxa"/>
        <w:jc w:val="center"/>
        <w:tblLayout w:type="autofit"/>
        <w:tblCellMar>
          <w:top w:w="0" w:type="dxa"/>
          <w:left w:w="108" w:type="dxa"/>
          <w:bottom w:w="0" w:type="dxa"/>
          <w:right w:w="108" w:type="dxa"/>
        </w:tblCellMar>
      </w:tblPr>
      <w:tblGrid>
        <w:gridCol w:w="1277"/>
        <w:gridCol w:w="616"/>
        <w:gridCol w:w="850"/>
        <w:gridCol w:w="992"/>
        <w:gridCol w:w="1034"/>
        <w:gridCol w:w="862"/>
        <w:gridCol w:w="1043"/>
        <w:gridCol w:w="709"/>
        <w:gridCol w:w="799"/>
        <w:gridCol w:w="992"/>
        <w:gridCol w:w="902"/>
        <w:gridCol w:w="992"/>
      </w:tblGrid>
      <w:tr>
        <w:tblPrEx>
          <w:tblCellMar>
            <w:top w:w="0" w:type="dxa"/>
            <w:left w:w="108" w:type="dxa"/>
            <w:bottom w:w="0" w:type="dxa"/>
            <w:right w:w="108" w:type="dxa"/>
          </w:tblCellMar>
        </w:tblPrEx>
        <w:trPr>
          <w:trHeight w:val="584"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000000"/>
                <w:sz w:val="36"/>
                <w:szCs w:val="36"/>
              </w:rPr>
            </w:pPr>
            <w:r>
              <w:rPr>
                <w:rFonts w:ascii="微软雅黑" w:hAnsi="微软雅黑" w:eastAsia="微软雅黑" w:cs="微软雅黑"/>
                <w:b/>
                <w:bCs/>
                <w:color w:val="000000"/>
                <w:sz w:val="32"/>
                <w:szCs w:val="32"/>
              </w:rPr>
              <w:t>2022年度项目绩效自评表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项目名称：</w:t>
            </w:r>
          </w:p>
        </w:tc>
        <w:tc>
          <w:tcPr>
            <w:tcW w:w="1466" w:type="dxa"/>
            <w:gridSpan w:val="2"/>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color w:val="000000"/>
                <w:sz w:val="16"/>
                <w:szCs w:val="16"/>
              </w:rPr>
            </w:pPr>
            <w:r>
              <w:rPr>
                <w:rFonts w:cs="宋体"/>
                <w:color w:val="000000"/>
                <w:sz w:val="16"/>
                <w:szCs w:val="16"/>
              </w:rPr>
              <w:t>新县城饮用水源保护区河道维护垃圾收运系统经费　</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项目编码：</w:t>
            </w:r>
          </w:p>
        </w:tc>
        <w:tc>
          <w:tcPr>
            <w:tcW w:w="1896"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50023023T000002798136</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自评总分：</w:t>
            </w:r>
          </w:p>
        </w:tc>
        <w:tc>
          <w:tcPr>
            <w:tcW w:w="1508"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100.00</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p>
        </w:tc>
        <w:tc>
          <w:tcPr>
            <w:tcW w:w="1894" w:type="dxa"/>
            <w:gridSpan w:val="2"/>
            <w:tcBorders>
              <w:top w:val="nil"/>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项目主管部门：</w:t>
            </w:r>
          </w:p>
        </w:tc>
        <w:tc>
          <w:tcPr>
            <w:tcW w:w="1466"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jc w:val="both"/>
              <w:rPr>
                <w:rFonts w:hint="default"/>
                <w:color w:val="000000"/>
                <w:sz w:val="16"/>
                <w:szCs w:val="16"/>
              </w:rPr>
            </w:pPr>
            <w:r>
              <w:rPr>
                <w:rFonts w:cs="宋体"/>
                <w:color w:val="000000"/>
                <w:sz w:val="16"/>
                <w:szCs w:val="16"/>
              </w:rPr>
              <w:t>930-丰都县包鸾镇</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jc w:val="both"/>
              <w:rPr>
                <w:rFonts w:hint="default"/>
                <w:b/>
                <w:bCs/>
                <w:color w:val="000000"/>
                <w:sz w:val="16"/>
                <w:szCs w:val="16"/>
              </w:rPr>
            </w:pPr>
            <w:r>
              <w:rPr>
                <w:rFonts w:cs="宋体"/>
                <w:b/>
                <w:bCs/>
                <w:color w:val="000000"/>
                <w:sz w:val="16"/>
                <w:szCs w:val="16"/>
              </w:rPr>
              <w:t>财政归口处室：</w:t>
            </w:r>
          </w:p>
        </w:tc>
        <w:tc>
          <w:tcPr>
            <w:tcW w:w="1896"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jc w:val="both"/>
              <w:rPr>
                <w:rFonts w:hint="default"/>
                <w:color w:val="000000"/>
                <w:sz w:val="16"/>
                <w:szCs w:val="16"/>
              </w:rPr>
            </w:pPr>
            <w:r>
              <w:rPr>
                <w:rFonts w:cs="宋体"/>
                <w:color w:val="000000"/>
                <w:sz w:val="16"/>
                <w:szCs w:val="16"/>
              </w:rPr>
              <w:t>007-基财科　</w:t>
            </w:r>
          </w:p>
        </w:tc>
        <w:tc>
          <w:tcPr>
            <w:tcW w:w="1043" w:type="dxa"/>
            <w:tcBorders>
              <w:top w:val="nil"/>
              <w:left w:val="nil"/>
              <w:bottom w:val="single" w:color="auto" w:sz="4" w:space="0"/>
              <w:right w:val="single" w:color="auto" w:sz="4" w:space="0"/>
            </w:tcBorders>
            <w:shd w:val="clear" w:color="auto" w:fill="auto"/>
            <w:noWrap/>
            <w:vAlign w:val="center"/>
          </w:tcPr>
          <w:p>
            <w:pPr>
              <w:spacing w:line="240" w:lineRule="atLeast"/>
              <w:ind w:right="483"/>
              <w:jc w:val="both"/>
              <w:rPr>
                <w:rFonts w:hint="default"/>
                <w:b/>
                <w:bCs/>
                <w:color w:val="000000"/>
                <w:sz w:val="16"/>
                <w:szCs w:val="16"/>
              </w:rPr>
            </w:pPr>
            <w:r>
              <w:rPr>
                <w:rFonts w:cs="宋体"/>
                <w:b/>
                <w:bCs/>
                <w:color w:val="000000"/>
                <w:sz w:val="16"/>
                <w:szCs w:val="16"/>
              </w:rPr>
              <w:t>部门</w:t>
            </w:r>
          </w:p>
          <w:p>
            <w:pPr>
              <w:spacing w:line="240" w:lineRule="atLeast"/>
              <w:ind w:right="161"/>
              <w:jc w:val="both"/>
              <w:rPr>
                <w:rFonts w:hint="default"/>
                <w:b/>
                <w:bCs/>
                <w:color w:val="000000"/>
                <w:sz w:val="16"/>
                <w:szCs w:val="16"/>
              </w:rPr>
            </w:pPr>
            <w:r>
              <w:rPr>
                <w:rFonts w:cs="宋体"/>
                <w:b/>
                <w:bCs/>
                <w:color w:val="000000"/>
                <w:sz w:val="16"/>
                <w:szCs w:val="16"/>
              </w:rPr>
              <w:t>联系人：</w:t>
            </w:r>
          </w:p>
        </w:tc>
        <w:tc>
          <w:tcPr>
            <w:tcW w:w="1508"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彭江河</w:t>
            </w:r>
          </w:p>
        </w:tc>
        <w:tc>
          <w:tcPr>
            <w:tcW w:w="992" w:type="dxa"/>
            <w:tcBorders>
              <w:top w:val="nil"/>
              <w:left w:val="nil"/>
              <w:bottom w:val="single" w:color="auto" w:sz="4" w:space="0"/>
              <w:right w:val="single" w:color="auto" w:sz="4" w:space="0"/>
            </w:tcBorders>
            <w:shd w:val="clear" w:color="auto" w:fill="auto"/>
            <w:noWrap/>
            <w:vAlign w:val="center"/>
          </w:tcPr>
          <w:p>
            <w:pPr>
              <w:spacing w:line="240" w:lineRule="atLeast"/>
              <w:ind w:right="181"/>
              <w:jc w:val="both"/>
              <w:rPr>
                <w:rFonts w:hint="default"/>
                <w:b/>
                <w:bCs/>
                <w:color w:val="000000"/>
                <w:sz w:val="16"/>
                <w:szCs w:val="16"/>
              </w:rPr>
            </w:pPr>
            <w:r>
              <w:rPr>
                <w:rFonts w:cs="宋体"/>
                <w:b/>
                <w:bCs/>
                <w:color w:val="000000"/>
                <w:sz w:val="16"/>
                <w:szCs w:val="16"/>
              </w:rPr>
              <w:t>联系</w:t>
            </w:r>
          </w:p>
          <w:p>
            <w:pPr>
              <w:spacing w:line="240" w:lineRule="atLeast"/>
              <w:ind w:right="181"/>
              <w:jc w:val="both"/>
              <w:rPr>
                <w:rFonts w:hint="default"/>
                <w:b/>
                <w:bCs/>
                <w:color w:val="000000"/>
                <w:sz w:val="16"/>
                <w:szCs w:val="16"/>
              </w:rPr>
            </w:pPr>
            <w:r>
              <w:rPr>
                <w:rFonts w:cs="宋体"/>
                <w:b/>
                <w:bCs/>
                <w:color w:val="000000"/>
                <w:sz w:val="16"/>
                <w:szCs w:val="16"/>
              </w:rPr>
              <w:t>电话</w:t>
            </w:r>
          </w:p>
        </w:tc>
        <w:tc>
          <w:tcPr>
            <w:tcW w:w="1894" w:type="dxa"/>
            <w:gridSpan w:val="2"/>
            <w:tcBorders>
              <w:top w:val="single" w:color="auto" w:sz="4" w:space="0"/>
              <w:left w:val="nil"/>
              <w:bottom w:val="single" w:color="auto" w:sz="4" w:space="0"/>
              <w:right w:val="single" w:color="auto" w:sz="4" w:space="0"/>
            </w:tcBorders>
            <w:shd w:val="clear" w:color="auto" w:fill="auto"/>
            <w:noWrap/>
            <w:vAlign w:val="center"/>
          </w:tcPr>
          <w:p>
            <w:pPr>
              <w:spacing w:line="240" w:lineRule="atLeast"/>
              <w:ind w:firstLine="160" w:firstLineChars="100"/>
              <w:jc w:val="both"/>
              <w:rPr>
                <w:rFonts w:hint="default"/>
                <w:color w:val="000000"/>
                <w:sz w:val="16"/>
                <w:szCs w:val="16"/>
              </w:rPr>
            </w:pPr>
            <w:r>
              <w:rPr>
                <w:rFonts w:cs="宋体"/>
                <w:color w:val="000000"/>
                <w:sz w:val="16"/>
                <w:szCs w:val="16"/>
              </w:rPr>
              <w:t>　15978973607</w:t>
            </w:r>
          </w:p>
        </w:tc>
      </w:tr>
      <w:tr>
        <w:tblPrEx>
          <w:tblCellMar>
            <w:top w:w="0" w:type="dxa"/>
            <w:left w:w="108" w:type="dxa"/>
            <w:bottom w:w="0" w:type="dxa"/>
            <w:right w:w="108" w:type="dxa"/>
          </w:tblCellMar>
        </w:tblPrEx>
        <w:trPr>
          <w:trHeight w:val="469"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808080"/>
                <w:sz w:val="28"/>
                <w:szCs w:val="28"/>
              </w:rPr>
            </w:pPr>
            <w:r>
              <w:rPr>
                <w:rFonts w:ascii="微软雅黑" w:hAnsi="微软雅黑" w:eastAsia="微软雅黑" w:cs="微软雅黑"/>
                <w:b/>
                <w:bCs/>
                <w:color w:val="808080"/>
                <w:sz w:val="18"/>
                <w:szCs w:val="18"/>
              </w:rPr>
              <w:t>资金情况</w:t>
            </w:r>
          </w:p>
        </w:tc>
      </w:tr>
      <w:tr>
        <w:tblPrEx>
          <w:tblCellMar>
            <w:top w:w="0" w:type="dxa"/>
            <w:left w:w="108" w:type="dxa"/>
            <w:bottom w:w="0" w:type="dxa"/>
            <w:right w:w="108" w:type="dxa"/>
          </w:tblCellMar>
        </w:tblPrEx>
        <w:trPr>
          <w:trHeight w:val="445" w:hRule="atLeast"/>
          <w:jc w:val="center"/>
        </w:trPr>
        <w:tc>
          <w:tcPr>
            <w:tcW w:w="189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c>
          <w:tcPr>
            <w:tcW w:w="1842" w:type="dxa"/>
            <w:gridSpan w:val="2"/>
            <w:tcBorders>
              <w:top w:val="single" w:color="auto" w:sz="4" w:space="0"/>
              <w:left w:val="nil"/>
              <w:bottom w:val="single" w:color="auto" w:sz="4" w:space="0"/>
              <w:right w:val="single" w:color="000000" w:sz="4" w:space="0"/>
            </w:tcBorders>
            <w:shd w:val="clear" w:color="auto" w:fill="auto"/>
            <w:noWrap/>
            <w:vAlign w:val="center"/>
          </w:tcPr>
          <w:p>
            <w:pPr>
              <w:ind w:right="724"/>
              <w:jc w:val="both"/>
              <w:rPr>
                <w:rFonts w:hint="default"/>
                <w:b/>
                <w:bCs/>
                <w:color w:val="000000"/>
                <w:sz w:val="16"/>
                <w:szCs w:val="16"/>
              </w:rPr>
            </w:pPr>
            <w:r>
              <w:rPr>
                <w:rFonts w:cs="宋体"/>
                <w:b/>
                <w:bCs/>
                <w:color w:val="000000"/>
                <w:sz w:val="16"/>
                <w:szCs w:val="16"/>
              </w:rPr>
              <w:t>年初预算数</w:t>
            </w:r>
          </w:p>
        </w:tc>
        <w:tc>
          <w:tcPr>
            <w:tcW w:w="1896"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全年（调整）</w:t>
            </w:r>
          </w:p>
          <w:p>
            <w:pPr>
              <w:jc w:val="both"/>
              <w:rPr>
                <w:rFonts w:hint="default"/>
                <w:b/>
                <w:bCs/>
                <w:color w:val="000000"/>
                <w:sz w:val="16"/>
                <w:szCs w:val="16"/>
              </w:rPr>
            </w:pPr>
            <w:r>
              <w:rPr>
                <w:rFonts w:cs="宋体"/>
                <w:b/>
                <w:bCs/>
                <w:color w:val="000000"/>
                <w:sz w:val="16"/>
                <w:szCs w:val="16"/>
              </w:rPr>
              <w:t>预算数</w:t>
            </w:r>
          </w:p>
        </w:tc>
        <w:tc>
          <w:tcPr>
            <w:tcW w:w="1752" w:type="dxa"/>
            <w:gridSpan w:val="2"/>
            <w:tcBorders>
              <w:top w:val="single" w:color="auto" w:sz="4" w:space="0"/>
              <w:left w:val="nil"/>
              <w:bottom w:val="single" w:color="auto" w:sz="4" w:space="0"/>
              <w:right w:val="single" w:color="000000" w:sz="4" w:space="0"/>
            </w:tcBorders>
            <w:shd w:val="clear" w:color="auto" w:fill="auto"/>
            <w:noWrap/>
            <w:vAlign w:val="center"/>
          </w:tcPr>
          <w:p>
            <w:pPr>
              <w:ind w:right="161"/>
              <w:jc w:val="both"/>
              <w:rPr>
                <w:rFonts w:hint="default"/>
                <w:b/>
                <w:bCs/>
                <w:color w:val="000000"/>
                <w:sz w:val="16"/>
                <w:szCs w:val="16"/>
              </w:rPr>
            </w:pPr>
            <w:r>
              <w:rPr>
                <w:rFonts w:cs="宋体"/>
                <w:b/>
                <w:bCs/>
                <w:color w:val="000000"/>
                <w:sz w:val="16"/>
                <w:szCs w:val="16"/>
              </w:rPr>
              <w:t>全年执行数</w:t>
            </w:r>
          </w:p>
        </w:tc>
        <w:tc>
          <w:tcPr>
            <w:tcW w:w="1791" w:type="dxa"/>
            <w:gridSpan w:val="2"/>
            <w:tcBorders>
              <w:top w:val="single" w:color="auto" w:sz="4" w:space="0"/>
              <w:left w:val="nil"/>
              <w:bottom w:val="single" w:color="auto" w:sz="4" w:space="0"/>
              <w:right w:val="single" w:color="000000" w:sz="4" w:space="0"/>
            </w:tcBorders>
            <w:shd w:val="clear" w:color="auto" w:fill="auto"/>
            <w:noWrap/>
            <w:vAlign w:val="center"/>
          </w:tcPr>
          <w:p>
            <w:pPr>
              <w:ind w:right="322"/>
              <w:jc w:val="both"/>
              <w:rPr>
                <w:rFonts w:hint="default"/>
                <w:b/>
                <w:bCs/>
                <w:color w:val="000000"/>
                <w:sz w:val="16"/>
                <w:szCs w:val="16"/>
              </w:rPr>
            </w:pPr>
            <w:r>
              <w:rPr>
                <w:rFonts w:cs="宋体"/>
                <w:b/>
                <w:bCs/>
                <w:color w:val="000000"/>
                <w:sz w:val="16"/>
                <w:szCs w:val="16"/>
              </w:rPr>
              <w:t>执行率</w:t>
            </w:r>
          </w:p>
        </w:tc>
        <w:tc>
          <w:tcPr>
            <w:tcW w:w="90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执行率</w:t>
            </w:r>
          </w:p>
          <w:p>
            <w:pPr>
              <w:jc w:val="both"/>
              <w:rPr>
                <w:rFonts w:hint="default"/>
                <w:b/>
                <w:bCs/>
                <w:color w:val="000000"/>
                <w:sz w:val="16"/>
                <w:szCs w:val="16"/>
              </w:rPr>
            </w:pPr>
            <w:r>
              <w:rPr>
                <w:rFonts w:cs="宋体"/>
                <w:b/>
                <w:bCs/>
                <w:color w:val="000000"/>
                <w:sz w:val="16"/>
                <w:szCs w:val="16"/>
              </w:rPr>
              <w:t>权重</w:t>
            </w:r>
          </w:p>
        </w:tc>
        <w:tc>
          <w:tcPr>
            <w:tcW w:w="99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执行率</w:t>
            </w:r>
          </w:p>
          <w:p>
            <w:pPr>
              <w:jc w:val="both"/>
              <w:rPr>
                <w:rFonts w:hint="default"/>
                <w:b/>
                <w:bCs/>
                <w:color w:val="000000"/>
                <w:sz w:val="16"/>
                <w:szCs w:val="16"/>
              </w:rPr>
            </w:pPr>
            <w:r>
              <w:rPr>
                <w:rFonts w:cs="宋体"/>
                <w:b/>
                <w:bCs/>
                <w:color w:val="000000"/>
                <w:sz w:val="16"/>
                <w:szCs w:val="16"/>
              </w:rPr>
              <w:t>得分</w:t>
            </w:r>
          </w:p>
        </w:tc>
      </w:tr>
      <w:tr>
        <w:tblPrEx>
          <w:tblCellMar>
            <w:top w:w="0" w:type="dxa"/>
            <w:left w:w="108" w:type="dxa"/>
            <w:bottom w:w="0" w:type="dxa"/>
            <w:right w:w="108" w:type="dxa"/>
          </w:tblCellMar>
        </w:tblPrEx>
        <w:trPr>
          <w:trHeight w:val="499" w:hRule="atLeast"/>
          <w:jc w:val="center"/>
        </w:trPr>
        <w:tc>
          <w:tcPr>
            <w:tcW w:w="18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年度总金额</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896"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293364.02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293364.02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　</w:t>
            </w:r>
          </w:p>
        </w:tc>
      </w:tr>
      <w:tr>
        <w:tblPrEx>
          <w:tblCellMar>
            <w:top w:w="0" w:type="dxa"/>
            <w:left w:w="108" w:type="dxa"/>
            <w:bottom w:w="0" w:type="dxa"/>
            <w:right w:w="108" w:type="dxa"/>
          </w:tblCellMar>
        </w:tblPrEx>
        <w:trPr>
          <w:trHeight w:val="415" w:hRule="atLeast"/>
          <w:jc w:val="center"/>
        </w:trPr>
        <w:tc>
          <w:tcPr>
            <w:tcW w:w="18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其中：财政拨款</w:t>
            </w:r>
          </w:p>
        </w:tc>
        <w:tc>
          <w:tcPr>
            <w:tcW w:w="184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896"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293364.02　</w:t>
            </w:r>
          </w:p>
        </w:tc>
        <w:tc>
          <w:tcPr>
            <w:tcW w:w="1752"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293364.02　</w:t>
            </w:r>
          </w:p>
        </w:tc>
        <w:tc>
          <w:tcPr>
            <w:tcW w:w="1791" w:type="dxa"/>
            <w:gridSpan w:val="2"/>
            <w:tcBorders>
              <w:top w:val="single" w:color="auto" w:sz="4" w:space="0"/>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90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10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sz w:val="16"/>
                <w:szCs w:val="16"/>
              </w:rPr>
            </w:pPr>
            <w:r>
              <w:rPr>
                <w:rFonts w:cs="宋体"/>
                <w:sz w:val="16"/>
                <w:szCs w:val="16"/>
              </w:rPr>
              <w:t>10　</w:t>
            </w:r>
          </w:p>
        </w:tc>
      </w:tr>
      <w:tr>
        <w:tblPrEx>
          <w:tblCellMar>
            <w:top w:w="0" w:type="dxa"/>
            <w:left w:w="108" w:type="dxa"/>
            <w:bottom w:w="0" w:type="dxa"/>
            <w:right w:w="108" w:type="dxa"/>
          </w:tblCellMar>
        </w:tblPrEx>
        <w:trPr>
          <w:trHeight w:val="600"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808080"/>
                <w:sz w:val="28"/>
                <w:szCs w:val="28"/>
              </w:rPr>
            </w:pPr>
            <w:r>
              <w:rPr>
                <w:rFonts w:ascii="微软雅黑" w:hAnsi="微软雅黑" w:eastAsia="微软雅黑" w:cs="微软雅黑"/>
                <w:b/>
                <w:bCs/>
                <w:color w:val="808080"/>
              </w:rPr>
              <w:t>绩效目标</w:t>
            </w:r>
          </w:p>
        </w:tc>
      </w:tr>
      <w:tr>
        <w:tblPrEx>
          <w:tblCellMar>
            <w:top w:w="0" w:type="dxa"/>
            <w:left w:w="108" w:type="dxa"/>
            <w:bottom w:w="0" w:type="dxa"/>
            <w:right w:w="108" w:type="dxa"/>
          </w:tblCellMar>
        </w:tblPrEx>
        <w:trPr>
          <w:trHeight w:val="499" w:hRule="atLeast"/>
          <w:jc w:val="center"/>
        </w:trPr>
        <w:tc>
          <w:tcPr>
            <w:tcW w:w="37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年初绩效目标</w:t>
            </w:r>
          </w:p>
        </w:tc>
        <w:tc>
          <w:tcPr>
            <w:tcW w:w="3648"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全年（调整）绩效目标</w:t>
            </w:r>
          </w:p>
        </w:tc>
        <w:tc>
          <w:tcPr>
            <w:tcW w:w="3685"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全年目标实际完成情况</w:t>
            </w:r>
          </w:p>
        </w:tc>
      </w:tr>
      <w:tr>
        <w:tblPrEx>
          <w:tblCellMar>
            <w:top w:w="0" w:type="dxa"/>
            <w:left w:w="108" w:type="dxa"/>
            <w:bottom w:w="0" w:type="dxa"/>
            <w:right w:w="108" w:type="dxa"/>
          </w:tblCellMar>
        </w:tblPrEx>
        <w:trPr>
          <w:trHeight w:val="797" w:hRule="atLeast"/>
          <w:jc w:val="center"/>
        </w:trPr>
        <w:tc>
          <w:tcPr>
            <w:tcW w:w="3735" w:type="dxa"/>
            <w:gridSpan w:val="4"/>
            <w:tcBorders>
              <w:top w:val="single" w:color="auto" w:sz="4" w:space="0"/>
              <w:left w:val="single" w:color="auto" w:sz="4" w:space="0"/>
              <w:bottom w:val="single" w:color="auto" w:sz="4" w:space="0"/>
              <w:right w:val="single" w:color="auto" w:sz="4" w:space="0"/>
            </w:tcBorders>
            <w:shd w:val="clear" w:color="auto" w:fill="auto"/>
          </w:tcPr>
          <w:p>
            <w:pPr>
              <w:jc w:val="both"/>
              <w:rPr>
                <w:rFonts w:hint="default"/>
                <w:color w:val="000000"/>
                <w:sz w:val="16"/>
                <w:szCs w:val="16"/>
              </w:rPr>
            </w:pPr>
            <w:r>
              <w:rPr>
                <w:rFonts w:cs="宋体"/>
                <w:color w:val="000000"/>
                <w:sz w:val="16"/>
                <w:szCs w:val="16"/>
              </w:rPr>
              <w:t>　</w:t>
            </w:r>
          </w:p>
        </w:tc>
        <w:tc>
          <w:tcPr>
            <w:tcW w:w="3648" w:type="dxa"/>
            <w:gridSpan w:val="4"/>
            <w:tcBorders>
              <w:top w:val="single" w:color="auto" w:sz="4" w:space="0"/>
              <w:left w:val="nil"/>
              <w:bottom w:val="single" w:color="auto" w:sz="4" w:space="0"/>
              <w:right w:val="single" w:color="auto" w:sz="4" w:space="0"/>
            </w:tcBorders>
            <w:shd w:val="clear" w:color="auto" w:fill="auto"/>
          </w:tcPr>
          <w:p>
            <w:pPr>
              <w:jc w:val="both"/>
              <w:rPr>
                <w:rFonts w:hint="default"/>
                <w:color w:val="000000"/>
                <w:sz w:val="16"/>
                <w:szCs w:val="16"/>
              </w:rPr>
            </w:pPr>
            <w:r>
              <w:rPr>
                <w:rFonts w:cs="宋体"/>
                <w:color w:val="000000"/>
                <w:sz w:val="16"/>
                <w:szCs w:val="16"/>
              </w:rPr>
              <w:t>维护14条88.1公里河道的清洁卫生，收运饮用水源保护区各类垃圾和污染物，保障县城16万人口的饮水安全。</w:t>
            </w:r>
          </w:p>
        </w:tc>
        <w:tc>
          <w:tcPr>
            <w:tcW w:w="3685" w:type="dxa"/>
            <w:gridSpan w:val="4"/>
            <w:tcBorders>
              <w:top w:val="single" w:color="auto" w:sz="4" w:space="0"/>
              <w:left w:val="nil"/>
              <w:bottom w:val="single" w:color="auto" w:sz="4" w:space="0"/>
              <w:right w:val="single" w:color="auto" w:sz="4" w:space="0"/>
            </w:tcBorders>
            <w:shd w:val="clear" w:color="auto" w:fill="auto"/>
          </w:tcPr>
          <w:p>
            <w:pPr>
              <w:jc w:val="both"/>
              <w:rPr>
                <w:rFonts w:hint="default"/>
                <w:color w:val="000000"/>
                <w:sz w:val="16"/>
                <w:szCs w:val="16"/>
              </w:rPr>
            </w:pPr>
            <w:r>
              <w:rPr>
                <w:rFonts w:cs="宋体"/>
                <w:color w:val="000000"/>
                <w:sz w:val="16"/>
                <w:szCs w:val="16"/>
              </w:rPr>
              <w:t>维护14条88.1公里河道的清洁卫生，收运饮用水源保护区各类垃圾和污染物，保障县城16万人口的饮水安全。</w:t>
            </w:r>
          </w:p>
        </w:tc>
      </w:tr>
      <w:tr>
        <w:tblPrEx>
          <w:tblCellMar>
            <w:top w:w="0" w:type="dxa"/>
            <w:left w:w="108" w:type="dxa"/>
            <w:bottom w:w="0" w:type="dxa"/>
            <w:right w:w="108" w:type="dxa"/>
          </w:tblCellMar>
        </w:tblPrEx>
        <w:trPr>
          <w:trHeight w:val="600" w:hRule="atLeast"/>
          <w:jc w:val="center"/>
        </w:trPr>
        <w:tc>
          <w:tcPr>
            <w:tcW w:w="11068"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default" w:ascii="微软雅黑" w:hAnsi="微软雅黑" w:eastAsia="微软雅黑"/>
                <w:b/>
                <w:bCs/>
                <w:color w:val="808080"/>
                <w:sz w:val="28"/>
                <w:szCs w:val="28"/>
              </w:rPr>
            </w:pPr>
            <w:r>
              <w:rPr>
                <w:rFonts w:ascii="微软雅黑" w:hAnsi="微软雅黑" w:eastAsia="微软雅黑" w:cs="微软雅黑"/>
                <w:b/>
                <w:bCs/>
                <w:color w:val="808080"/>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名称</w:t>
            </w:r>
          </w:p>
        </w:tc>
        <w:tc>
          <w:tcPr>
            <w:tcW w:w="616"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计量单位</w:t>
            </w:r>
          </w:p>
        </w:tc>
        <w:tc>
          <w:tcPr>
            <w:tcW w:w="850"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性质</w:t>
            </w:r>
          </w:p>
        </w:tc>
        <w:tc>
          <w:tcPr>
            <w:tcW w:w="99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指标值</w:t>
            </w:r>
          </w:p>
        </w:tc>
        <w:tc>
          <w:tcPr>
            <w:tcW w:w="1034"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全年完成值</w:t>
            </w:r>
          </w:p>
        </w:tc>
        <w:tc>
          <w:tcPr>
            <w:tcW w:w="86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偏离度（%）</w:t>
            </w:r>
          </w:p>
        </w:tc>
        <w:tc>
          <w:tcPr>
            <w:tcW w:w="1043"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得分系数（%）</w:t>
            </w:r>
          </w:p>
        </w:tc>
        <w:tc>
          <w:tcPr>
            <w:tcW w:w="709"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权重</w:t>
            </w:r>
          </w:p>
        </w:tc>
        <w:tc>
          <w:tcPr>
            <w:tcW w:w="799"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指标</w:t>
            </w:r>
          </w:p>
          <w:p>
            <w:pPr>
              <w:jc w:val="both"/>
              <w:rPr>
                <w:rFonts w:hint="default"/>
                <w:b/>
                <w:bCs/>
                <w:color w:val="000000"/>
                <w:sz w:val="16"/>
                <w:szCs w:val="16"/>
              </w:rPr>
            </w:pPr>
            <w:r>
              <w:rPr>
                <w:rFonts w:cs="宋体"/>
                <w:b/>
                <w:bCs/>
                <w:color w:val="000000"/>
                <w:sz w:val="16"/>
                <w:szCs w:val="16"/>
              </w:rPr>
              <w:t>得分</w:t>
            </w:r>
          </w:p>
        </w:tc>
        <w:tc>
          <w:tcPr>
            <w:tcW w:w="99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是否核心指标</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维护河道里程</w:t>
            </w:r>
          </w:p>
        </w:tc>
        <w:tc>
          <w:tcPr>
            <w:tcW w:w="616"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千米</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88.1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88.1</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100</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　</w:t>
            </w:r>
          </w:p>
        </w:tc>
        <w:tc>
          <w:tcPr>
            <w:tcW w:w="992" w:type="dxa"/>
            <w:tcBorders>
              <w:top w:val="nil"/>
              <w:left w:val="nil"/>
              <w:bottom w:val="single" w:color="auto" w:sz="4" w:space="0"/>
              <w:right w:val="single" w:color="auto"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b/>
                <w:bCs/>
                <w:color w:val="000000"/>
                <w:sz w:val="16"/>
                <w:szCs w:val="16"/>
              </w:rPr>
            </w:pPr>
            <w:r>
              <w:rPr>
                <w:rFonts w:cs="宋体"/>
                <w:b/>
                <w:bCs/>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维护保护区环境卫生</w:t>
            </w:r>
          </w:p>
        </w:tc>
        <w:tc>
          <w:tcPr>
            <w:tcW w:w="616"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　定性</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优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15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15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饮用水源质量</w:t>
            </w:r>
          </w:p>
        </w:tc>
        <w:tc>
          <w:tcPr>
            <w:tcW w:w="616"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优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及时清运垃圾</w:t>
            </w:r>
          </w:p>
        </w:tc>
        <w:tc>
          <w:tcPr>
            <w:tcW w:w="616"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小时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24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15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15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生态环境</w:t>
            </w:r>
          </w:p>
        </w:tc>
        <w:tc>
          <w:tcPr>
            <w:tcW w:w="616"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定性</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优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20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保护区内居民满意度</w:t>
            </w:r>
          </w:p>
        </w:tc>
        <w:tc>
          <w:tcPr>
            <w:tcW w:w="616"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90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90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5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5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新县城饮用水源</w:t>
            </w:r>
          </w:p>
        </w:tc>
        <w:tc>
          <w:tcPr>
            <w:tcW w:w="616"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850"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90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90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5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5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维护费用</w:t>
            </w:r>
          </w:p>
        </w:tc>
        <w:tc>
          <w:tcPr>
            <w:tcW w:w="616"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万元　</w:t>
            </w:r>
          </w:p>
        </w:tc>
        <w:tc>
          <w:tcPr>
            <w:tcW w:w="850" w:type="dxa"/>
            <w:tcBorders>
              <w:top w:val="nil"/>
              <w:left w:val="nil"/>
              <w:bottom w:val="single" w:color="auto" w:sz="4" w:space="0"/>
              <w:right w:val="single" w:color="auto"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30　</w:t>
            </w:r>
          </w:p>
        </w:tc>
        <w:tc>
          <w:tcPr>
            <w:tcW w:w="1034"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29.7　</w:t>
            </w:r>
          </w:p>
        </w:tc>
        <w:tc>
          <w:tcPr>
            <w:tcW w:w="86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0　</w:t>
            </w:r>
          </w:p>
        </w:tc>
        <w:tc>
          <w:tcPr>
            <w:tcW w:w="1043"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100　</w:t>
            </w:r>
          </w:p>
        </w:tc>
        <w:tc>
          <w:tcPr>
            <w:tcW w:w="70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　</w:t>
            </w:r>
          </w:p>
        </w:tc>
        <w:tc>
          <w:tcPr>
            <w:tcW w:w="799"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10　</w:t>
            </w:r>
          </w:p>
        </w:tc>
        <w:tc>
          <w:tcPr>
            <w:tcW w:w="992" w:type="dxa"/>
            <w:tcBorders>
              <w:top w:val="nil"/>
              <w:left w:val="nil"/>
              <w:bottom w:val="single" w:color="auto" w:sz="4" w:space="0"/>
              <w:right w:val="single" w:color="auto" w:sz="4" w:space="0"/>
            </w:tcBorders>
            <w:shd w:val="clear" w:color="auto" w:fill="auto"/>
            <w:noWrap/>
            <w:vAlign w:val="center"/>
          </w:tcPr>
          <w:p>
            <w:pPr>
              <w:ind w:firstLine="160" w:firstLineChars="100"/>
              <w:jc w:val="both"/>
              <w:rPr>
                <w:rFonts w:hint="default"/>
                <w:color w:val="000000"/>
                <w:sz w:val="16"/>
                <w:szCs w:val="16"/>
              </w:rPr>
            </w:pPr>
            <w:r>
              <w:rPr>
                <w:rFonts w:cs="宋体"/>
                <w:color w:val="000000"/>
                <w:sz w:val="16"/>
                <w:szCs w:val="16"/>
              </w:rPr>
              <w:t>　</w:t>
            </w:r>
          </w:p>
        </w:tc>
        <w:tc>
          <w:tcPr>
            <w:tcW w:w="1894" w:type="dxa"/>
            <w:gridSpan w:val="2"/>
            <w:tcBorders>
              <w:top w:val="single" w:color="auto" w:sz="4" w:space="0"/>
              <w:left w:val="nil"/>
              <w:bottom w:val="single" w:color="auto" w:sz="4" w:space="0"/>
              <w:right w:val="single" w:color="000000" w:sz="4" w:space="0"/>
            </w:tcBorders>
            <w:shd w:val="clear" w:color="auto" w:fill="auto"/>
            <w:noWrap/>
            <w:vAlign w:val="center"/>
          </w:tcPr>
          <w:p>
            <w:pPr>
              <w:jc w:val="both"/>
              <w:rPr>
                <w:rFonts w:hint="default"/>
                <w:color w:val="000000"/>
                <w:sz w:val="16"/>
                <w:szCs w:val="16"/>
              </w:rPr>
            </w:pPr>
            <w:r>
              <w:rPr>
                <w:rFonts w:cs="宋体"/>
                <w:color w:val="000000"/>
                <w:sz w:val="16"/>
                <w:szCs w:val="16"/>
              </w:rPr>
              <w:t>　</w:t>
            </w:r>
          </w:p>
        </w:tc>
      </w:tr>
    </w:tbl>
    <w:p>
      <w:pPr>
        <w:autoSpaceDE w:val="0"/>
        <w:spacing w:line="570" w:lineRule="exact"/>
        <w:ind w:firstLine="640" w:firstLineChars="200"/>
        <w:jc w:val="both"/>
        <w:rPr>
          <w:rFonts w:hint="default" w:ascii="Times New Roman" w:hAnsi="Times New Roman" w:eastAsia="方正仿宋_GBK"/>
          <w:color w:val="000000" w:themeColor="text1"/>
          <w:sz w:val="32"/>
          <w:szCs w:val="32"/>
          <w14:textFill>
            <w14:solidFill>
              <w14:schemeClr w14:val="tx1"/>
            </w14:solidFill>
          </w14:textFill>
        </w:rPr>
      </w:pPr>
      <w:r>
        <w:rPr>
          <w:rFonts w:hint="default" w:ascii="Times New Roman" w:hAnsi="Times New Roman" w:eastAsia="方正仿宋_GBK"/>
          <w:color w:val="000000" w:themeColor="text1"/>
          <w:sz w:val="32"/>
          <w:szCs w:val="32"/>
          <w14:textFill>
            <w14:solidFill>
              <w14:schemeClr w14:val="tx1"/>
            </w14:solidFill>
          </w14:textFill>
        </w:rPr>
        <w:t>2.</w:t>
      </w:r>
      <w:r>
        <w:rPr>
          <w:rFonts w:ascii="Times New Roman" w:hAnsi="Times New Roman" w:eastAsia="方正仿宋_GBK"/>
          <w:color w:val="000000" w:themeColor="text1"/>
          <w:sz w:val="32"/>
          <w:szCs w:val="32"/>
          <w14:textFill>
            <w14:solidFill>
              <w14:schemeClr w14:val="tx1"/>
            </w14:solidFill>
          </w14:textFill>
        </w:rPr>
        <w:t>绩效自评报告或案例</w:t>
      </w:r>
    </w:p>
    <w:p>
      <w:pPr>
        <w:autoSpaceDE w:val="0"/>
        <w:spacing w:line="570" w:lineRule="exact"/>
        <w:ind w:firstLine="640" w:firstLineChars="200"/>
        <w:jc w:val="both"/>
        <w:rPr>
          <w:rFonts w:hint="default"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我单位未委托第三方开展绩效自评。</w:t>
      </w:r>
    </w:p>
    <w:p>
      <w:pPr>
        <w:autoSpaceDE w:val="0"/>
        <w:spacing w:line="570" w:lineRule="exact"/>
        <w:ind w:firstLine="640" w:firstLineChars="200"/>
        <w:jc w:val="both"/>
        <w:rPr>
          <w:rFonts w:hint="default" w:ascii="Times New Roman" w:hAnsi="Times New Roman" w:eastAsia="方正仿宋_GBK" w:cs="宋体"/>
          <w:color w:val="000000" w:themeColor="text1"/>
          <w:sz w:val="32"/>
          <w:szCs w:val="32"/>
          <w14:textFill>
            <w14:solidFill>
              <w14:schemeClr w14:val="tx1"/>
            </w14:solidFill>
          </w14:textFill>
        </w:rPr>
      </w:pPr>
      <w:r>
        <w:rPr>
          <w:rFonts w:hint="default" w:ascii="Times New Roman" w:hAnsi="Times New Roman" w:eastAsia="方正仿宋_GBK"/>
          <w:color w:val="000000" w:themeColor="text1"/>
          <w:sz w:val="32"/>
          <w:szCs w:val="32"/>
          <w14:textFill>
            <w14:solidFill>
              <w14:schemeClr w14:val="tx1"/>
            </w14:solidFill>
          </w14:textFill>
        </w:rPr>
        <w:t>3</w:t>
      </w:r>
      <w:r>
        <w:rPr>
          <w:rFonts w:ascii="方正仿宋_GBK" w:hAnsi="方正仿宋_GBK" w:eastAsia="方正仿宋_GBK" w:cs="方正仿宋_GBK"/>
          <w:color w:val="000000" w:themeColor="text1"/>
          <w:sz w:val="32"/>
          <w:szCs w:val="32"/>
          <w14:textFill>
            <w14:solidFill>
              <w14:schemeClr w14:val="tx1"/>
            </w14:solidFill>
          </w14:textFill>
        </w:rPr>
        <w:t>．关于绩效自评结果的说明</w:t>
      </w:r>
    </w:p>
    <w:p>
      <w:pPr>
        <w:autoSpaceDE w:val="0"/>
        <w:spacing w:line="600" w:lineRule="exact"/>
        <w:ind w:firstLine="640" w:firstLineChars="200"/>
        <w:jc w:val="both"/>
        <w:outlineLvl w:val="0"/>
        <w:rPr>
          <w:rFonts w:hint="default" w:cs="宋体"/>
          <w:b/>
          <w:color w:val="000000" w:themeColor="text1"/>
          <w:shd w:val="clear" w:color="auto" w:fill="FFFFFF"/>
          <w14:textFill>
            <w14:solidFill>
              <w14:schemeClr w14:val="tx1"/>
            </w14:solidFill>
          </w14:textFill>
        </w:rPr>
      </w:pPr>
      <w:r>
        <w:rPr>
          <w:rFonts w:ascii="方正仿宋_GBK" w:hAnsi="方正仿宋_GBK" w:eastAsia="方正仿宋_GBK" w:cs="方正仿宋_GBK"/>
          <w:color w:val="000000" w:themeColor="text1"/>
          <w:sz w:val="32"/>
          <w:szCs w:val="32"/>
          <w14:textFill>
            <w14:solidFill>
              <w14:schemeClr w14:val="tx1"/>
            </w14:solidFill>
          </w14:textFill>
        </w:rPr>
        <w:t>我单位绩效自评均已完成年度绩效目标。</w:t>
      </w:r>
    </w:p>
    <w:p>
      <w:pPr>
        <w:autoSpaceDE w:val="0"/>
        <w:spacing w:line="570" w:lineRule="exact"/>
        <w:ind w:firstLine="640" w:firstLineChars="200"/>
        <w:jc w:val="both"/>
        <w:rPr>
          <w:rFonts w:hint="default" w:ascii="Times New Roman" w:hAnsi="Times New Roman" w:eastAsia="方正黑体_GBK" w:cs="宋体"/>
          <w:sz w:val="32"/>
          <w:szCs w:val="32"/>
        </w:rPr>
      </w:pPr>
      <w:r>
        <w:rPr>
          <w:rFonts w:ascii="方正黑体_GBK" w:hAnsi="方正黑体_GBK" w:eastAsia="方正黑体_GBK" w:cs="方正黑体_GBK"/>
          <w:sz w:val="32"/>
          <w:szCs w:val="32"/>
        </w:rPr>
        <w:t>六、专有名词解释</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（一）财政拨款收入：指本年度从本级财政部门取得的财政拨款，包括一般公共预算财政拨款和政府性基金预算财政拨款。</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（二）年末结转和结余：指单位结转下年的基本支出结转、项目支出结转和结余、经营结余。</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三）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（四）项目支出：指在基本支出之外为完成特定行政任务和事业发展目标所发生的支出。</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五）“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六）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autoSpaceDE w:val="0"/>
        <w:spacing w:beforeAutospacing="0" w:afterAutospacing="0"/>
        <w:ind w:firstLine="640" w:firstLineChars="200"/>
        <w:jc w:val="both"/>
        <w:rPr>
          <w:rFonts w:hint="default" w:ascii="Times New Roman" w:hAnsi="Times New Roman" w:eastAsia="方正黑体_GBK" w:cs="宋体"/>
          <w:sz w:val="32"/>
          <w:szCs w:val="32"/>
        </w:rPr>
      </w:pPr>
      <w:r>
        <w:rPr>
          <w:rFonts w:ascii="方正黑体_GBK" w:hAnsi="方正黑体_GBK" w:eastAsia="方正黑体_GBK" w:cs="方正黑体_GBK"/>
          <w:sz w:val="32"/>
          <w:szCs w:val="32"/>
        </w:rPr>
        <w:t>七、决算公开联系方式及信息反馈渠道</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本单位决算公开信息反馈和联系方式：</w:t>
      </w:r>
    </w:p>
    <w:p>
      <w:pPr>
        <w:pStyle w:val="14"/>
        <w:autoSpaceDE w:val="0"/>
        <w:spacing w:beforeAutospacing="0" w:afterAutospacing="0"/>
        <w:ind w:firstLine="640" w:firstLineChars="200"/>
        <w:jc w:val="both"/>
        <w:rPr>
          <w:rFonts w:hint="default" w:ascii="Times New Roman" w:hAnsi="Times New Roman" w:eastAsia="方正仿宋_GBK" w:cs="宋体"/>
          <w:sz w:val="32"/>
          <w:szCs w:val="32"/>
        </w:rPr>
      </w:pPr>
      <w:r>
        <w:rPr>
          <w:rFonts w:ascii="方正仿宋_GBK" w:hAnsi="方正仿宋_GBK" w:eastAsia="方正仿宋_GBK" w:cs="方正仿宋_GBK"/>
          <w:sz w:val="32"/>
          <w:szCs w:val="32"/>
        </w:rPr>
        <w:t>张蓓</w:t>
      </w:r>
      <w:r>
        <w:rPr>
          <w:rFonts w:ascii="Times New Roman" w:hAnsi="Times New Roman" w:eastAsia="方正仿宋_GBK" w:cs="宋体"/>
          <w:sz w:val="32"/>
          <w:szCs w:val="32"/>
        </w:rPr>
        <w:t xml:space="preserve">    </w:t>
      </w:r>
      <w:r>
        <w:rPr>
          <w:rFonts w:hint="default" w:ascii="Times New Roman" w:hAnsi="Times New Roman" w:eastAsia="方正仿宋_GBK"/>
          <w:sz w:val="32"/>
          <w:szCs w:val="32"/>
        </w:rPr>
        <w:t>18184755094</w:t>
      </w:r>
    </w:p>
    <w:p>
      <w:pPr>
        <w:pStyle w:val="14"/>
        <w:autoSpaceDE w:val="0"/>
        <w:spacing w:beforeAutospacing="0"/>
        <w:jc w:val="both"/>
        <w:rPr>
          <w:rFonts w:hint="default" w:cs="宋体"/>
        </w:rPr>
      </w:pPr>
      <w:r>
        <w:rPr>
          <w:rFonts w:cs="宋体"/>
        </w:rPr>
        <w:t xml:space="preserve"> </w:t>
      </w:r>
    </w:p>
    <w:sectPr>
      <w:pgSz w:w="11906" w:h="16838"/>
      <w:pgMar w:top="1440" w:right="1800" w:bottom="149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BA8EC"/>
    <w:multiLevelType w:val="singleLevel"/>
    <w:tmpl w:val="4D4BA8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7"/>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DF25EF"/>
    <w:rsid w:val="000E3854"/>
    <w:rsid w:val="005E646A"/>
    <w:rsid w:val="00634154"/>
    <w:rsid w:val="00764DF8"/>
    <w:rsid w:val="009025E3"/>
    <w:rsid w:val="009F72DA"/>
    <w:rsid w:val="00DF25EF"/>
    <w:rsid w:val="00EE3613"/>
    <w:rsid w:val="11F21229"/>
    <w:rsid w:val="1E0F335B"/>
    <w:rsid w:val="252F1D70"/>
    <w:rsid w:val="2F8F7DD1"/>
    <w:rsid w:val="33DF2C22"/>
    <w:rsid w:val="38EF24BC"/>
    <w:rsid w:val="4B314F6A"/>
    <w:rsid w:val="4F2A3CD2"/>
    <w:rsid w:val="51E5333A"/>
    <w:rsid w:val="621E73AF"/>
    <w:rsid w:val="7BCEDB04"/>
    <w:rsid w:val="B6FC5D44"/>
    <w:rsid w:val="FFCE9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rPr>
      <w:rFonts w:hint="eastAsia" w:ascii="宋体" w:hAnsi="宋体" w:eastAsia="宋体" w:cs="Times New Roman"/>
      <w:sz w:val="24"/>
      <w:szCs w:val="24"/>
      <w:lang w:val="en-US" w:eastAsia="zh-CN" w:bidi="ar-SA"/>
    </w:rPr>
  </w:style>
  <w:style w:type="paragraph" w:styleId="2">
    <w:name w:val="heading 1"/>
    <w:basedOn w:val="1"/>
    <w:next w:val="1"/>
    <w:qFormat/>
    <w:uiPriority w:val="0"/>
    <w:pPr>
      <w:spacing w:beforeAutospacing="1" w:afterAutospacing="1"/>
      <w:outlineLvl w:val="0"/>
    </w:pPr>
    <w:rPr>
      <w:b/>
      <w:bCs/>
      <w:kern w:val="44"/>
      <w:sz w:val="48"/>
      <w:szCs w:val="48"/>
    </w:rPr>
  </w:style>
  <w:style w:type="paragraph" w:styleId="3">
    <w:name w:val="heading 2"/>
    <w:basedOn w:val="1"/>
    <w:next w:val="1"/>
    <w:qFormat/>
    <w:uiPriority w:val="0"/>
    <w:pPr>
      <w:spacing w:beforeAutospacing="1" w:afterAutospacing="1"/>
      <w:outlineLvl w:val="1"/>
    </w:pPr>
    <w:rPr>
      <w:b/>
      <w:bCs/>
      <w:sz w:val="36"/>
      <w:szCs w:val="36"/>
    </w:rPr>
  </w:style>
  <w:style w:type="paragraph" w:styleId="4">
    <w:name w:val="heading 3"/>
    <w:basedOn w:val="1"/>
    <w:next w:val="1"/>
    <w:qFormat/>
    <w:uiPriority w:val="0"/>
    <w:pPr>
      <w:spacing w:beforeAutospacing="1" w:afterAutospacing="1"/>
      <w:outlineLvl w:val="2"/>
    </w:pPr>
    <w:rPr>
      <w:b/>
      <w:bCs/>
      <w:sz w:val="27"/>
      <w:szCs w:val="27"/>
    </w:rPr>
  </w:style>
  <w:style w:type="paragraph" w:styleId="5">
    <w:name w:val="heading 4"/>
    <w:basedOn w:val="1"/>
    <w:next w:val="1"/>
    <w:qFormat/>
    <w:uiPriority w:val="0"/>
    <w:pPr>
      <w:spacing w:beforeAutospacing="1" w:afterAutospacing="1"/>
      <w:outlineLvl w:val="3"/>
    </w:pPr>
    <w:rPr>
      <w:b/>
      <w:bCs/>
    </w:rPr>
  </w:style>
  <w:style w:type="paragraph" w:styleId="6">
    <w:name w:val="heading 5"/>
    <w:basedOn w:val="1"/>
    <w:next w:val="1"/>
    <w:qFormat/>
    <w:uiPriority w:val="0"/>
    <w:pPr>
      <w:spacing w:beforeAutospacing="1" w:afterAutospacing="1"/>
      <w:outlineLvl w:val="4"/>
    </w:pPr>
    <w:rPr>
      <w:b/>
      <w:bCs/>
      <w:sz w:val="20"/>
      <w:szCs w:val="20"/>
    </w:rPr>
  </w:style>
  <w:style w:type="paragraph" w:styleId="7">
    <w:name w:val="heading 6"/>
    <w:basedOn w:val="1"/>
    <w:next w:val="1"/>
    <w:qFormat/>
    <w:uiPriority w:val="0"/>
    <w:pPr>
      <w:spacing w:beforeAutospacing="1" w:afterAutospacing="1"/>
      <w:outlineLvl w:val="5"/>
    </w:pPr>
    <w:rPr>
      <w:b/>
      <w:bCs/>
      <w:sz w:val="15"/>
      <w:szCs w:val="15"/>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ody Text"/>
    <w:basedOn w:val="1"/>
    <w:next w:val="1"/>
    <w:qFormat/>
    <w:uiPriority w:val="0"/>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0">
    <w:name w:val="Normal (Web)"/>
    <w:basedOn w:val="1"/>
    <w:qFormat/>
    <w:uiPriority w:val="0"/>
    <w:pPr>
      <w:spacing w:beforeAutospacing="1" w:afterAutospacing="1"/>
    </w:pPr>
  </w:style>
  <w:style w:type="character" w:customStyle="1" w:styleId="13">
    <w:name w:val="23"/>
    <w:basedOn w:val="12"/>
    <w:qFormat/>
    <w:uiPriority w:val="0"/>
    <w:rPr>
      <w:rFonts w:hint="default" w:ascii="Times New Roman" w:hAnsi="Times New Roman" w:cs="Times New Roman"/>
    </w:rPr>
  </w:style>
  <w:style w:type="paragraph" w:customStyle="1" w:styleId="14">
    <w:name w:val="普通(网站) Char"/>
    <w:basedOn w:val="1"/>
    <w:qFormat/>
    <w:uiPriority w:val="0"/>
    <w:pPr>
      <w:spacing w:beforeAutospacing="1" w:afterAutospacing="1"/>
    </w:pPr>
  </w:style>
  <w:style w:type="character" w:customStyle="1" w:styleId="15">
    <w:name w:val="20"/>
    <w:basedOn w:val="12"/>
    <w:qFormat/>
    <w:uiPriority w:val="0"/>
    <w:rPr>
      <w:rFonts w:hint="default" w:ascii="Times New Roman" w:hAnsi="Times New Roman" w:cs="Times New Roman"/>
      <w:b/>
    </w:rPr>
  </w:style>
  <w:style w:type="paragraph" w:customStyle="1" w:styleId="16">
    <w:name w:val="HTML 预设格式 Char"/>
    <w:basedOn w:val="1"/>
    <w:qFormat/>
    <w:uiPriority w:val="0"/>
  </w:style>
  <w:style w:type="character" w:customStyle="1" w:styleId="17">
    <w:name w:val="10"/>
    <w:basedOn w:val="12"/>
    <w:qFormat/>
    <w:uiPriority w:val="0"/>
    <w:rPr>
      <w:rFonts w:hint="default" w:ascii="Times New Roman" w:hAnsi="Times New Roman" w:cs="Times New Roman"/>
    </w:rPr>
  </w:style>
  <w:style w:type="character" w:customStyle="1" w:styleId="18">
    <w:name w:val="19"/>
    <w:basedOn w:val="12"/>
    <w:qFormat/>
    <w:uiPriority w:val="0"/>
    <w:rPr>
      <w:rFonts w:hint="default" w:ascii="Times New Roman" w:hAnsi="Times New Roman" w:cs="Times New Roman"/>
    </w:rPr>
  </w:style>
  <w:style w:type="character" w:customStyle="1" w:styleId="19">
    <w:name w:val="21"/>
    <w:basedOn w:val="12"/>
    <w:qFormat/>
    <w:uiPriority w:val="0"/>
    <w:rPr>
      <w:rFonts w:hint="default" w:ascii="Times New Roman" w:hAnsi="Times New Roman" w:cs="Times New Roman"/>
    </w:rPr>
  </w:style>
  <w:style w:type="character" w:customStyle="1" w:styleId="20">
    <w:name w:val="15"/>
    <w:basedOn w:val="12"/>
    <w:qFormat/>
    <w:uiPriority w:val="0"/>
    <w:rPr>
      <w:rFonts w:hint="default" w:ascii="Times New Roman" w:hAnsi="Times New Roman" w:cs="Times New Roman"/>
    </w:rPr>
  </w:style>
  <w:style w:type="character" w:customStyle="1" w:styleId="21">
    <w:name w:val="16"/>
    <w:basedOn w:val="12"/>
    <w:qFormat/>
    <w:uiPriority w:val="0"/>
    <w:rPr>
      <w:rFonts w:hint="default" w:ascii="Times New Roman" w:hAnsi="Times New Roman" w:cs="Times New Roman"/>
    </w:rPr>
  </w:style>
  <w:style w:type="character" w:customStyle="1" w:styleId="22">
    <w:name w:val="17"/>
    <w:basedOn w:val="12"/>
    <w:qFormat/>
    <w:uiPriority w:val="0"/>
    <w:rPr>
      <w:rFonts w:hint="default" w:ascii="Times New Roman" w:hAnsi="Times New Roman" w:cs="Times New Roman"/>
    </w:rPr>
  </w:style>
  <w:style w:type="character" w:customStyle="1" w:styleId="23">
    <w:name w:val="18"/>
    <w:basedOn w:val="12"/>
    <w:qFormat/>
    <w:uiPriority w:val="0"/>
    <w:rPr>
      <w:rFonts w:hint="default" w:ascii="Times New Roman" w:hAnsi="Times New Roman" w:cs="Times New Roman"/>
    </w:rPr>
  </w:style>
  <w:style w:type="character" w:customStyle="1" w:styleId="24">
    <w:name w:val="22"/>
    <w:basedOn w:val="12"/>
    <w:qFormat/>
    <w:uiPriority w:val="0"/>
    <w:rPr>
      <w:rFonts w:hint="default" w:ascii="Times New Roman" w:hAnsi="Times New Roman" w:cs="Times New Roman"/>
    </w:rPr>
  </w:style>
  <w:style w:type="paragraph" w:customStyle="1" w:styleId="25">
    <w:name w:val="普通(网站) Char Char"/>
    <w:basedOn w:val="1"/>
    <w:qFormat/>
    <w:uiPriority w:val="0"/>
    <w:pPr>
      <w:spacing w:beforeAutospacing="1" w:afterAutospacing="1"/>
    </w:pPr>
  </w:style>
  <w:style w:type="paragraph" w:customStyle="1" w:styleId="26">
    <w:name w:val="HTML 预设格式 Char Char"/>
    <w:basedOn w:val="1"/>
    <w:qFormat/>
    <w:uiPriority w:val="0"/>
  </w:style>
  <w:style w:type="paragraph" w:customStyle="1" w:styleId="27">
    <w:name w:val="普通(网站) Char Char Char"/>
    <w:basedOn w:val="1"/>
    <w:qFormat/>
    <w:uiPriority w:val="0"/>
    <w:pPr>
      <w:spacing w:beforeAutospacing="1"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1060</Words>
  <Characters>6047</Characters>
  <Lines>50</Lines>
  <Paragraphs>14</Paragraphs>
  <TotalTime>28</TotalTime>
  <ScaleCrop>false</ScaleCrop>
  <LinksUpToDate>false</LinksUpToDate>
  <CharactersWithSpaces>7093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2023-09-13T10:22:00Z</dcterms:created>
  <dc:creator>86177</dc:creator>
  <cp:lastModifiedBy>温星星</cp:lastModifiedBy>
  <dcterms:modified xsi:type="dcterms:W3CDTF">2023-12-21T03:41:05Z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EB70C61824FE452286F716D78AB75947_13</vt:lpwstr>
  </property>
</Properties>
</file>