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979FC85">
      <w:pPr>
        <w:keepNext w:val="0"/>
        <w:keepLines w:val="0"/>
        <w:pageBreakBefore w:val="0"/>
        <w:widowControl w:val="0"/>
        <w:kinsoku/>
        <w:wordWrap/>
        <w:overflowPunct/>
        <w:topLinePunct w:val="0"/>
        <w:autoSpaceDN/>
        <w:bidi w:val="0"/>
        <w:spacing w:line="560" w:lineRule="exact"/>
        <w:ind w:left="0" w:leftChars="0"/>
        <w:jc w:val="both"/>
        <w:textAlignment w:val="auto"/>
        <w:rPr>
          <w:rFonts w:hint="default" w:ascii="Times New Roman" w:hAnsi="Times New Roman" w:eastAsia="方正小标宋_GBK" w:cs="Times New Roman"/>
          <w:kern w:val="0"/>
          <w:sz w:val="44"/>
          <w:szCs w:val="44"/>
          <w:lang w:val="zh-CN"/>
        </w:rPr>
      </w:pPr>
    </w:p>
    <w:p w14:paraId="4DCA469A">
      <w:pPr>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center"/>
        <w:textAlignment w:val="auto"/>
        <w:rPr>
          <w:rFonts w:hint="default" w:ascii="Times New Roman" w:hAnsi="Times New Roman" w:eastAsia="方正小标宋_GBK" w:cs="Times New Roman"/>
          <w:sz w:val="44"/>
          <w:szCs w:val="44"/>
          <w:lang w:val="en-US" w:eastAsia="zh-CN"/>
        </w:rPr>
      </w:pPr>
      <w:r>
        <w:rPr>
          <w:rFonts w:hint="default" w:ascii="Times New Roman" w:hAnsi="Times New Roman" w:eastAsia="方正小标宋_GBK" w:cs="Times New Roman"/>
          <w:sz w:val="44"/>
          <w:szCs w:val="44"/>
          <w:lang w:val="en-US" w:eastAsia="zh-CN"/>
        </w:rPr>
        <w:t>丰都县住房和城乡建设委员会</w:t>
      </w:r>
    </w:p>
    <w:p w14:paraId="6FF0E4E3">
      <w:pPr>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center"/>
        <w:textAlignment w:val="auto"/>
        <w:rPr>
          <w:rFonts w:hint="default" w:ascii="Times New Roman" w:hAnsi="Times New Roman" w:eastAsia="方正小标宋_GBK" w:cs="Times New Roman"/>
          <w:kern w:val="0"/>
          <w:sz w:val="44"/>
          <w:szCs w:val="44"/>
          <w:lang w:val="zh-CN"/>
        </w:rPr>
      </w:pPr>
      <w:r>
        <w:rPr>
          <w:rFonts w:hint="eastAsia" w:ascii="Times New Roman" w:hAnsi="Times New Roman" w:eastAsia="方正小标宋_GBK" w:cs="方正小标宋_GBK"/>
          <w:b w:val="0"/>
          <w:bCs w:val="0"/>
          <w:color w:val="auto"/>
          <w:spacing w:val="-15"/>
          <w:sz w:val="44"/>
          <w:szCs w:val="44"/>
          <w:highlight w:val="none"/>
          <w:lang w:eastAsia="zh-CN"/>
        </w:rPr>
        <w:t>关于规范</w:t>
      </w:r>
      <w:r>
        <w:rPr>
          <w:rFonts w:hint="eastAsia" w:ascii="Times New Roman" w:hAnsi="Times New Roman" w:eastAsia="方正小标宋_GBK" w:cs="方正小标宋_GBK"/>
          <w:b w:val="0"/>
          <w:bCs w:val="0"/>
          <w:color w:val="auto"/>
          <w:spacing w:val="-15"/>
          <w:sz w:val="44"/>
          <w:szCs w:val="44"/>
          <w:highlight w:val="none"/>
        </w:rPr>
        <w:t>物业管理区域公共收益管理</w:t>
      </w:r>
      <w:r>
        <w:rPr>
          <w:rFonts w:hint="eastAsia" w:ascii="Times New Roman" w:hAnsi="Times New Roman" w:eastAsia="方正小标宋_GBK" w:cs="方正小标宋_GBK"/>
          <w:b w:val="0"/>
          <w:bCs w:val="0"/>
          <w:color w:val="auto"/>
          <w:spacing w:val="-15"/>
          <w:sz w:val="44"/>
          <w:szCs w:val="44"/>
          <w:highlight w:val="none"/>
          <w:lang w:eastAsia="zh-CN"/>
        </w:rPr>
        <w:t>的通知</w:t>
      </w:r>
    </w:p>
    <w:p w14:paraId="64CF0B3B">
      <w:pPr>
        <w:keepNext w:val="0"/>
        <w:keepLines w:val="0"/>
        <w:pageBreakBefore w:val="0"/>
        <w:widowControl w:val="0"/>
        <w:kinsoku/>
        <w:wordWrap/>
        <w:overflowPunct/>
        <w:topLinePunct w:val="0"/>
        <w:autoSpaceDE/>
        <w:autoSpaceDN/>
        <w:bidi w:val="0"/>
        <w:adjustRightInd/>
        <w:snapToGrid w:val="0"/>
        <w:spacing w:line="560" w:lineRule="exact"/>
        <w:ind w:left="0" w:leftChars="0"/>
        <w:jc w:val="center"/>
        <w:textAlignment w:val="auto"/>
        <w:rPr>
          <w:rFonts w:hint="default" w:ascii="Times New Roman" w:hAnsi="Times New Roman" w:cs="Times New Roman"/>
        </w:rPr>
      </w:pPr>
      <w:r>
        <w:rPr>
          <w:rFonts w:hint="default" w:ascii="Times New Roman" w:hAnsi="Times New Roman" w:eastAsia="方正仿宋_GBK" w:cs="Times New Roman"/>
          <w:sz w:val="32"/>
          <w:szCs w:val="32"/>
        </w:rPr>
        <w:t>丰都住建</w:t>
      </w:r>
      <w:r>
        <w:rPr>
          <w:rFonts w:hint="default" w:ascii="Times New Roman" w:hAnsi="Times New Roman" w:eastAsia="方正仿宋_GBK" w:cs="Times New Roman"/>
          <w:sz w:val="32"/>
          <w:szCs w:val="32"/>
          <w:lang w:eastAsia="zh-CN"/>
        </w:rPr>
        <w:t>发</w:t>
      </w:r>
      <w:r>
        <w:rPr>
          <w:rFonts w:hint="default" w:ascii="Times New Roman" w:hAnsi="Times New Roman" w:eastAsia="方正仿宋_GBK" w:cs="Times New Roman"/>
          <w:sz w:val="32"/>
          <w:szCs w:val="32"/>
        </w:rPr>
        <w:t>〔20</w:t>
      </w:r>
      <w:r>
        <w:rPr>
          <w:rFonts w:hint="default" w:ascii="Times New Roman" w:hAnsi="Times New Roman" w:cs="Times New Roman"/>
          <w:sz w:val="32"/>
          <w:szCs w:val="32"/>
          <w:lang w:val="en-US" w:eastAsia="zh-CN"/>
        </w:rPr>
        <w:t>2</w:t>
      </w:r>
      <w:r>
        <w:rPr>
          <w:rFonts w:hint="eastAsia" w:ascii="Times New Roman" w:hAnsi="Times New Roman" w:cs="Times New Roman"/>
          <w:sz w:val="32"/>
          <w:szCs w:val="32"/>
          <w:lang w:val="en-US" w:eastAsia="zh-CN"/>
        </w:rPr>
        <w:t>5</w:t>
      </w:r>
      <w:r>
        <w:rPr>
          <w:rFonts w:hint="default" w:ascii="Times New Roman" w:hAnsi="Times New Roman" w:eastAsia="方正仿宋_GBK" w:cs="Times New Roman"/>
          <w:sz w:val="32"/>
          <w:szCs w:val="32"/>
        </w:rPr>
        <w:t>〕</w:t>
      </w:r>
      <w:r>
        <w:rPr>
          <w:rFonts w:hint="eastAsia" w:ascii="Times New Roman" w:hAnsi="Times New Roman" w:eastAsia="方正仿宋_GBK" w:cs="Times New Roman"/>
          <w:sz w:val="32"/>
          <w:szCs w:val="32"/>
          <w:lang w:val="en-US" w:eastAsia="zh-CN"/>
        </w:rPr>
        <w:t>99</w:t>
      </w:r>
      <w:r>
        <w:rPr>
          <w:rFonts w:hint="default" w:ascii="Times New Roman" w:hAnsi="Times New Roman" w:eastAsia="方正仿宋_GBK" w:cs="Times New Roman"/>
          <w:sz w:val="32"/>
          <w:szCs w:val="32"/>
        </w:rPr>
        <w:t>号</w:t>
      </w:r>
    </w:p>
    <w:p w14:paraId="56F2E23E">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560" w:lineRule="exact"/>
        <w:ind w:left="0" w:leftChars="0" w:right="0"/>
        <w:jc w:val="both"/>
        <w:textAlignment w:val="auto"/>
        <w:rPr>
          <w:rFonts w:hint="eastAsia" w:ascii="Times New Roman" w:hAnsi="Times New Roman" w:eastAsia="方正小标宋_GBK" w:cs="方正小标宋_GBK"/>
          <w:kern w:val="2"/>
          <w:sz w:val="44"/>
          <w:szCs w:val="44"/>
          <w:lang w:val="en-US" w:eastAsia="zh-CN" w:bidi="ar"/>
        </w:rPr>
      </w:pPr>
    </w:p>
    <w:p w14:paraId="677FACF0">
      <w:pPr>
        <w:keepNext w:val="0"/>
        <w:keepLines w:val="0"/>
        <w:pageBreakBefore w:val="0"/>
        <w:widowControl/>
        <w:kinsoku w:val="0"/>
        <w:wordWrap/>
        <w:overflowPunct/>
        <w:topLinePunct w:val="0"/>
        <w:autoSpaceDE w:val="0"/>
        <w:autoSpaceDN w:val="0"/>
        <w:bidi w:val="0"/>
        <w:adjustRightInd w:val="0"/>
        <w:snapToGrid w:val="0"/>
        <w:spacing w:line="560" w:lineRule="exact"/>
        <w:ind w:left="144"/>
        <w:textAlignment w:val="baseline"/>
        <w:rPr>
          <w:rFonts w:hint="eastAsia" w:ascii="Times New Roman" w:hAnsi="Times New Roman" w:eastAsia="方正仿宋_GBK" w:cs="方正仿宋_GBK"/>
          <w:color w:val="auto"/>
          <w:w w:val="90"/>
          <w:sz w:val="32"/>
          <w:szCs w:val="32"/>
          <w:highlight w:val="none"/>
        </w:rPr>
      </w:pPr>
      <w:r>
        <w:rPr>
          <w:rFonts w:hint="eastAsia" w:ascii="Times New Roman" w:hAnsi="Times New Roman" w:eastAsia="方正仿宋_GBK" w:cs="方正仿宋_GBK"/>
          <w:color w:val="auto"/>
          <w:spacing w:val="4"/>
          <w:w w:val="90"/>
          <w:sz w:val="32"/>
          <w:szCs w:val="32"/>
          <w:highlight w:val="none"/>
        </w:rPr>
        <w:t>各镇人民政府、街道办事处，各业主委员会，各物业服务企业：</w:t>
      </w:r>
    </w:p>
    <w:p w14:paraId="6FA0532C">
      <w:pPr>
        <w:keepNext w:val="0"/>
        <w:keepLines w:val="0"/>
        <w:pageBreakBefore w:val="0"/>
        <w:widowControl/>
        <w:kinsoku w:val="0"/>
        <w:wordWrap/>
        <w:overflowPunct/>
        <w:topLinePunct w:val="0"/>
        <w:autoSpaceDE w:val="0"/>
        <w:autoSpaceDN w:val="0"/>
        <w:bidi w:val="0"/>
        <w:adjustRightInd w:val="0"/>
        <w:snapToGrid w:val="0"/>
        <w:spacing w:line="560" w:lineRule="exact"/>
        <w:ind w:firstLine="714"/>
        <w:jc w:val="both"/>
        <w:textAlignment w:val="baseline"/>
        <w:rPr>
          <w:rFonts w:hint="eastAsia" w:ascii="Times New Roman" w:hAnsi="Times New Roman" w:eastAsia="方正仿宋_GBK" w:cs="方正仿宋_GBK"/>
          <w:color w:val="auto"/>
          <w:spacing w:val="5"/>
          <w:sz w:val="32"/>
          <w:szCs w:val="32"/>
          <w:highlight w:val="none"/>
        </w:rPr>
      </w:pPr>
      <w:r>
        <w:rPr>
          <w:rFonts w:hint="eastAsia" w:ascii="Times New Roman" w:hAnsi="Times New Roman" w:eastAsia="方正仿宋_GBK" w:cs="方正仿宋_GBK"/>
          <w:color w:val="auto"/>
          <w:spacing w:val="2"/>
          <w:sz w:val="32"/>
          <w:szCs w:val="32"/>
          <w:highlight w:val="none"/>
        </w:rPr>
        <w:t>为</w:t>
      </w:r>
      <w:r>
        <w:rPr>
          <w:rFonts w:hint="eastAsia" w:ascii="Times New Roman" w:hAnsi="Times New Roman" w:eastAsia="方正仿宋_GBK" w:cs="方正仿宋_GBK"/>
          <w:color w:val="auto"/>
          <w:spacing w:val="2"/>
          <w:sz w:val="32"/>
          <w:szCs w:val="32"/>
          <w:highlight w:val="none"/>
          <w:lang w:eastAsia="zh-CN"/>
        </w:rPr>
        <w:t>规范全县</w:t>
      </w:r>
      <w:r>
        <w:rPr>
          <w:rFonts w:hint="eastAsia" w:ascii="Times New Roman" w:hAnsi="Times New Roman" w:eastAsia="方正仿宋_GBK" w:cs="方正仿宋_GBK"/>
          <w:color w:val="auto"/>
          <w:spacing w:val="2"/>
          <w:sz w:val="32"/>
          <w:szCs w:val="32"/>
          <w:highlight w:val="none"/>
        </w:rPr>
        <w:t>物业管理区域公共收益的管理，维护业主的合法</w:t>
      </w:r>
      <w:r>
        <w:rPr>
          <w:rFonts w:hint="eastAsia" w:ascii="Times New Roman" w:hAnsi="Times New Roman" w:eastAsia="方正仿宋_GBK" w:cs="方正仿宋_GBK"/>
          <w:color w:val="auto"/>
          <w:spacing w:val="12"/>
          <w:sz w:val="32"/>
          <w:szCs w:val="32"/>
          <w:highlight w:val="none"/>
        </w:rPr>
        <w:t>权益，根据《中华人民共和国民法典》</w:t>
      </w:r>
      <w:r>
        <w:rPr>
          <w:rFonts w:hint="eastAsia" w:ascii="Times New Roman" w:hAnsi="Times New Roman" w:eastAsia="方正仿宋_GBK" w:cs="方正仿宋_GBK"/>
          <w:color w:val="auto"/>
          <w:spacing w:val="12"/>
          <w:sz w:val="32"/>
          <w:szCs w:val="32"/>
          <w:highlight w:val="none"/>
          <w:lang w:eastAsia="zh-CN"/>
        </w:rPr>
        <w:t>《</w:t>
      </w:r>
      <w:r>
        <w:rPr>
          <w:rFonts w:hint="eastAsia" w:ascii="Times New Roman" w:hAnsi="Times New Roman" w:eastAsia="方正仿宋_GBK" w:cs="方正仿宋_GBK"/>
          <w:color w:val="auto"/>
          <w:spacing w:val="12"/>
          <w:sz w:val="32"/>
          <w:szCs w:val="32"/>
          <w:highlight w:val="none"/>
          <w:lang w:val="en-US" w:eastAsia="zh-CN"/>
        </w:rPr>
        <w:t>物业管理条例</w:t>
      </w:r>
      <w:r>
        <w:rPr>
          <w:rFonts w:hint="eastAsia" w:ascii="Times New Roman" w:hAnsi="Times New Roman" w:eastAsia="方正仿宋_GBK" w:cs="方正仿宋_GBK"/>
          <w:color w:val="auto"/>
          <w:spacing w:val="12"/>
          <w:sz w:val="32"/>
          <w:szCs w:val="32"/>
          <w:highlight w:val="none"/>
          <w:lang w:eastAsia="zh-CN"/>
        </w:rPr>
        <w:t>》</w:t>
      </w:r>
      <w:r>
        <w:rPr>
          <w:rFonts w:hint="eastAsia" w:ascii="Times New Roman" w:hAnsi="Times New Roman" w:eastAsia="方正仿宋_GBK" w:cs="方正仿宋_GBK"/>
          <w:color w:val="auto"/>
          <w:spacing w:val="12"/>
          <w:sz w:val="32"/>
          <w:szCs w:val="32"/>
          <w:highlight w:val="none"/>
        </w:rPr>
        <w:t>《重庆市物业管理条例》</w:t>
      </w:r>
      <w:r>
        <w:rPr>
          <w:rFonts w:hint="eastAsia" w:ascii="Times New Roman" w:hAnsi="Times New Roman" w:eastAsia="方正仿宋_GBK" w:cs="方正仿宋_GBK"/>
          <w:color w:val="auto"/>
          <w:spacing w:val="5"/>
          <w:sz w:val="32"/>
          <w:szCs w:val="32"/>
          <w:highlight w:val="none"/>
        </w:rPr>
        <w:t>《重庆市物业专项维修资金管理办法》等相关</w:t>
      </w:r>
      <w:r>
        <w:rPr>
          <w:rFonts w:hint="eastAsia" w:ascii="Times New Roman" w:hAnsi="Times New Roman" w:eastAsia="方正仿宋_GBK" w:cs="方正仿宋_GBK"/>
          <w:color w:val="auto"/>
          <w:spacing w:val="5"/>
          <w:sz w:val="32"/>
          <w:szCs w:val="32"/>
          <w:highlight w:val="none"/>
          <w:lang w:val="en-US" w:eastAsia="zh-CN"/>
        </w:rPr>
        <w:t>法律法规</w:t>
      </w:r>
      <w:r>
        <w:rPr>
          <w:rFonts w:hint="eastAsia" w:ascii="Times New Roman" w:hAnsi="Times New Roman" w:eastAsia="方正仿宋_GBK" w:cs="方正仿宋_GBK"/>
          <w:color w:val="auto"/>
          <w:spacing w:val="5"/>
          <w:sz w:val="32"/>
          <w:szCs w:val="32"/>
          <w:highlight w:val="none"/>
        </w:rPr>
        <w:t>规</w:t>
      </w:r>
      <w:r>
        <w:rPr>
          <w:rFonts w:hint="eastAsia" w:ascii="Times New Roman" w:hAnsi="Times New Roman" w:eastAsia="方正仿宋_GBK" w:cs="方正仿宋_GBK"/>
          <w:color w:val="auto"/>
          <w:spacing w:val="4"/>
          <w:sz w:val="32"/>
          <w:szCs w:val="32"/>
          <w:highlight w:val="none"/>
        </w:rPr>
        <w:t>定，</w:t>
      </w:r>
      <w:r>
        <w:rPr>
          <w:rFonts w:hint="eastAsia" w:ascii="Times New Roman" w:hAnsi="Times New Roman" w:eastAsia="方正仿宋_GBK" w:cs="方正仿宋_GBK"/>
          <w:color w:val="auto"/>
          <w:spacing w:val="4"/>
          <w:sz w:val="32"/>
          <w:szCs w:val="32"/>
          <w:highlight w:val="none"/>
          <w:lang w:eastAsia="zh-CN"/>
        </w:rPr>
        <w:t>结合我县物业管理工作实际，</w:t>
      </w:r>
      <w:r>
        <w:rPr>
          <w:rFonts w:hint="eastAsia" w:ascii="Times New Roman" w:hAnsi="Times New Roman" w:eastAsia="方正仿宋_GBK" w:cs="方正仿宋_GBK"/>
          <w:color w:val="auto"/>
          <w:spacing w:val="4"/>
          <w:sz w:val="32"/>
          <w:szCs w:val="32"/>
          <w:highlight w:val="none"/>
        </w:rPr>
        <w:t>现就有关事</w:t>
      </w:r>
      <w:r>
        <w:rPr>
          <w:rFonts w:hint="eastAsia" w:ascii="Times New Roman" w:hAnsi="Times New Roman" w:eastAsia="方正仿宋_GBK" w:cs="方正仿宋_GBK"/>
          <w:color w:val="auto"/>
          <w:spacing w:val="5"/>
          <w:sz w:val="32"/>
          <w:szCs w:val="32"/>
          <w:highlight w:val="none"/>
        </w:rPr>
        <w:t>项通知如下：</w:t>
      </w:r>
    </w:p>
    <w:p w14:paraId="43948C45">
      <w:pPr>
        <w:keepNext w:val="0"/>
        <w:keepLines w:val="0"/>
        <w:pageBreakBefore w:val="0"/>
        <w:widowControl/>
        <w:kinsoku w:val="0"/>
        <w:wordWrap/>
        <w:overflowPunct/>
        <w:topLinePunct w:val="0"/>
        <w:autoSpaceDE w:val="0"/>
        <w:autoSpaceDN w:val="0"/>
        <w:bidi w:val="0"/>
        <w:adjustRightInd w:val="0"/>
        <w:snapToGrid w:val="0"/>
        <w:spacing w:line="560" w:lineRule="exact"/>
        <w:ind w:firstLine="624" w:firstLineChars="200"/>
        <w:textAlignment w:val="baseline"/>
        <w:outlineLvl w:val="2"/>
        <w:rPr>
          <w:rFonts w:hint="default" w:ascii="Times New Roman" w:hAnsi="Times New Roman" w:eastAsia="方正黑体_GBK" w:cs="方正黑体_GBK"/>
          <w:b w:val="0"/>
          <w:bCs w:val="0"/>
          <w:color w:val="auto"/>
          <w:spacing w:val="-4"/>
          <w:sz w:val="32"/>
          <w:szCs w:val="32"/>
          <w:highlight w:val="none"/>
          <w:lang w:val="en-US" w:eastAsia="zh-CN"/>
        </w:rPr>
      </w:pPr>
      <w:r>
        <w:rPr>
          <w:rFonts w:hint="eastAsia" w:ascii="Times New Roman" w:hAnsi="Times New Roman" w:eastAsia="方正黑体_GBK" w:cs="方正黑体_GBK"/>
          <w:b w:val="0"/>
          <w:bCs w:val="0"/>
          <w:color w:val="auto"/>
          <w:spacing w:val="-4"/>
          <w:sz w:val="32"/>
          <w:szCs w:val="32"/>
          <w:highlight w:val="none"/>
        </w:rPr>
        <w:t>一、公共收益</w:t>
      </w:r>
      <w:r>
        <w:rPr>
          <w:rFonts w:hint="eastAsia" w:ascii="Times New Roman" w:hAnsi="Times New Roman" w:eastAsia="方正黑体_GBK" w:cs="方正黑体_GBK"/>
          <w:b w:val="0"/>
          <w:bCs w:val="0"/>
          <w:color w:val="auto"/>
          <w:spacing w:val="-4"/>
          <w:sz w:val="32"/>
          <w:szCs w:val="32"/>
          <w:highlight w:val="none"/>
          <w:lang w:val="en-US" w:eastAsia="zh-CN"/>
        </w:rPr>
        <w:t>范围</w:t>
      </w:r>
    </w:p>
    <w:p w14:paraId="139B358B">
      <w:pPr>
        <w:keepNext w:val="0"/>
        <w:keepLines w:val="0"/>
        <w:pageBreakBefore w:val="0"/>
        <w:widowControl/>
        <w:kinsoku w:val="0"/>
        <w:wordWrap/>
        <w:overflowPunct/>
        <w:topLinePunct w:val="0"/>
        <w:autoSpaceDE w:val="0"/>
        <w:autoSpaceDN w:val="0"/>
        <w:bidi w:val="0"/>
        <w:adjustRightInd w:val="0"/>
        <w:snapToGrid w:val="0"/>
        <w:spacing w:line="560" w:lineRule="exact"/>
        <w:ind w:left="144" w:firstLine="656" w:firstLineChars="200"/>
        <w:textAlignment w:val="baseline"/>
        <w:rPr>
          <w:rFonts w:hint="eastAsia" w:ascii="Times New Roman" w:hAnsi="Times New Roman" w:eastAsia="方正仿宋_GBK" w:cs="方正仿宋_GBK"/>
          <w:color w:val="auto"/>
          <w:spacing w:val="4"/>
          <w:sz w:val="32"/>
          <w:szCs w:val="32"/>
          <w:highlight w:val="none"/>
          <w:lang w:eastAsia="zh-CN"/>
        </w:rPr>
      </w:pPr>
      <w:r>
        <w:rPr>
          <w:rFonts w:hint="eastAsia" w:ascii="Times New Roman" w:hAnsi="Times New Roman" w:eastAsia="方正仿宋_GBK" w:cs="方正仿宋_GBK"/>
          <w:color w:val="auto"/>
          <w:spacing w:val="4"/>
          <w:sz w:val="32"/>
          <w:szCs w:val="32"/>
          <w:highlight w:val="none"/>
        </w:rPr>
        <w:t>公共收益</w:t>
      </w:r>
      <w:r>
        <w:rPr>
          <w:rFonts w:hint="eastAsia" w:ascii="Times New Roman" w:hAnsi="Times New Roman" w:eastAsia="方正仿宋_GBK" w:cs="方正仿宋_GBK"/>
          <w:color w:val="auto"/>
          <w:spacing w:val="4"/>
          <w:sz w:val="32"/>
          <w:szCs w:val="32"/>
          <w:highlight w:val="none"/>
          <w:lang w:eastAsia="zh-CN"/>
        </w:rPr>
        <w:t>，</w:t>
      </w:r>
      <w:r>
        <w:rPr>
          <w:rFonts w:hint="eastAsia" w:ascii="Times New Roman" w:hAnsi="Times New Roman" w:eastAsia="方正仿宋_GBK" w:cs="方正仿宋_GBK"/>
          <w:color w:val="auto"/>
          <w:spacing w:val="4"/>
          <w:sz w:val="32"/>
          <w:szCs w:val="32"/>
          <w:highlight w:val="none"/>
        </w:rPr>
        <w:t>是指利用物业共有部位、共有设施设备经营所得收入扣除</w:t>
      </w:r>
      <w:r>
        <w:rPr>
          <w:rFonts w:hint="default" w:ascii="Times New Roman" w:hAnsi="Times New Roman" w:eastAsia="方正仿宋_GBK" w:cs="方正仿宋_GBK"/>
          <w:color w:val="auto"/>
          <w:spacing w:val="4"/>
          <w:sz w:val="32"/>
          <w:szCs w:val="32"/>
          <w:highlight w:val="none"/>
          <w:lang w:val="en-US" w:eastAsia="zh-CN"/>
        </w:rPr>
        <w:t>合理成本</w:t>
      </w:r>
      <w:r>
        <w:rPr>
          <w:rFonts w:hint="eastAsia" w:ascii="Times New Roman" w:hAnsi="Times New Roman" w:eastAsia="方正仿宋_GBK" w:cs="方正仿宋_GBK"/>
          <w:color w:val="auto"/>
          <w:spacing w:val="4"/>
          <w:sz w:val="32"/>
          <w:szCs w:val="32"/>
          <w:highlight w:val="none"/>
          <w:lang w:val="en-US" w:eastAsia="zh-CN"/>
        </w:rPr>
        <w:t>（经营所需</w:t>
      </w:r>
      <w:r>
        <w:rPr>
          <w:rFonts w:hint="eastAsia" w:ascii="Times New Roman" w:hAnsi="Times New Roman" w:eastAsia="方正仿宋_GBK" w:cs="方正仿宋_GBK"/>
          <w:color w:val="auto"/>
          <w:spacing w:val="4"/>
          <w:sz w:val="32"/>
          <w:szCs w:val="32"/>
          <w:highlight w:val="none"/>
          <w:lang w:eastAsia="zh-CN"/>
        </w:rPr>
        <w:t>设施设备、</w:t>
      </w:r>
      <w:r>
        <w:rPr>
          <w:rFonts w:hint="default" w:ascii="Times New Roman" w:hAnsi="Times New Roman" w:eastAsia="方正仿宋_GBK" w:cs="方正仿宋_GBK"/>
          <w:color w:val="auto"/>
          <w:spacing w:val="4"/>
          <w:sz w:val="32"/>
          <w:szCs w:val="32"/>
          <w:highlight w:val="none"/>
        </w:rPr>
        <w:t>法定税收、能耗</w:t>
      </w:r>
      <w:r>
        <w:rPr>
          <w:rFonts w:hint="eastAsia" w:ascii="Times New Roman" w:hAnsi="Times New Roman" w:eastAsia="方正仿宋_GBK" w:cs="方正仿宋_GBK"/>
          <w:color w:val="auto"/>
          <w:spacing w:val="4"/>
          <w:sz w:val="32"/>
          <w:szCs w:val="32"/>
          <w:highlight w:val="none"/>
          <w:lang w:eastAsia="zh-CN"/>
        </w:rPr>
        <w:t>等</w:t>
      </w:r>
      <w:r>
        <w:rPr>
          <w:rFonts w:hint="eastAsia" w:ascii="Times New Roman" w:hAnsi="Times New Roman" w:eastAsia="方正仿宋_GBK" w:cs="方正仿宋_GBK"/>
          <w:color w:val="auto"/>
          <w:spacing w:val="4"/>
          <w:sz w:val="32"/>
          <w:szCs w:val="32"/>
          <w:highlight w:val="none"/>
          <w:lang w:val="en-US" w:eastAsia="zh-CN"/>
        </w:rPr>
        <w:t>直接成本）和</w:t>
      </w:r>
      <w:r>
        <w:rPr>
          <w:rFonts w:hint="eastAsia" w:ascii="Times New Roman" w:hAnsi="Times New Roman" w:eastAsia="方正仿宋_GBK" w:cs="方正仿宋_GBK"/>
          <w:color w:val="auto"/>
          <w:spacing w:val="4"/>
          <w:sz w:val="32"/>
          <w:szCs w:val="32"/>
          <w:highlight w:val="none"/>
        </w:rPr>
        <w:t>管理服务费用</w:t>
      </w:r>
      <w:r>
        <w:rPr>
          <w:rFonts w:hint="eastAsia" w:ascii="Times New Roman" w:hAnsi="Times New Roman" w:eastAsia="方正仿宋_GBK" w:cs="方正仿宋_GBK"/>
          <w:color w:val="auto"/>
          <w:spacing w:val="4"/>
          <w:sz w:val="32"/>
          <w:szCs w:val="32"/>
          <w:highlight w:val="none"/>
          <w:lang w:eastAsia="zh-CN"/>
        </w:rPr>
        <w:t>（含人工）</w:t>
      </w:r>
      <w:r>
        <w:rPr>
          <w:rFonts w:hint="eastAsia" w:ascii="Times New Roman" w:hAnsi="Times New Roman" w:eastAsia="方正仿宋_GBK" w:cs="方正仿宋_GBK"/>
          <w:color w:val="auto"/>
          <w:spacing w:val="4"/>
          <w:sz w:val="32"/>
          <w:szCs w:val="32"/>
          <w:highlight w:val="none"/>
        </w:rPr>
        <w:t>后的收益，主要包括</w:t>
      </w:r>
      <w:r>
        <w:rPr>
          <w:rFonts w:hint="eastAsia" w:ascii="Times New Roman" w:hAnsi="Times New Roman" w:eastAsia="方正仿宋_GBK" w:cs="方正仿宋_GBK"/>
          <w:color w:val="auto"/>
          <w:spacing w:val="4"/>
          <w:sz w:val="32"/>
          <w:szCs w:val="32"/>
          <w:highlight w:val="none"/>
          <w:lang w:eastAsia="zh-CN"/>
        </w:rPr>
        <w:t>：</w:t>
      </w:r>
    </w:p>
    <w:p w14:paraId="7F29B474">
      <w:pPr>
        <w:keepNext w:val="0"/>
        <w:keepLines w:val="0"/>
        <w:pageBreakBefore w:val="0"/>
        <w:widowControl/>
        <w:kinsoku w:val="0"/>
        <w:wordWrap/>
        <w:overflowPunct/>
        <w:topLinePunct w:val="0"/>
        <w:autoSpaceDE w:val="0"/>
        <w:autoSpaceDN w:val="0"/>
        <w:bidi w:val="0"/>
        <w:adjustRightInd w:val="0"/>
        <w:snapToGrid w:val="0"/>
        <w:spacing w:line="560" w:lineRule="exact"/>
        <w:ind w:left="144" w:firstLine="656" w:firstLineChars="200"/>
        <w:textAlignment w:val="baseline"/>
        <w:rPr>
          <w:rFonts w:hint="default" w:ascii="Times New Roman" w:hAnsi="Times New Roman" w:eastAsia="方正仿宋_GBK" w:cs="方正仿宋_GBK"/>
          <w:color w:val="auto"/>
          <w:spacing w:val="4"/>
          <w:sz w:val="32"/>
          <w:szCs w:val="32"/>
          <w:highlight w:val="none"/>
        </w:rPr>
      </w:pPr>
      <w:r>
        <w:rPr>
          <w:rFonts w:hint="eastAsia" w:ascii="Times New Roman" w:hAnsi="Times New Roman" w:eastAsia="方正楷体_GBK" w:cs="方正楷体_GBK"/>
          <w:color w:val="auto"/>
          <w:spacing w:val="4"/>
          <w:sz w:val="32"/>
          <w:szCs w:val="32"/>
          <w:highlight w:val="none"/>
        </w:rPr>
        <w:t>（一）</w:t>
      </w:r>
      <w:r>
        <w:rPr>
          <w:rFonts w:hint="default" w:ascii="Times New Roman" w:hAnsi="Times New Roman" w:eastAsia="方正仿宋_GBK" w:cs="方正仿宋_GBK"/>
          <w:color w:val="auto"/>
          <w:spacing w:val="4"/>
          <w:sz w:val="32"/>
          <w:szCs w:val="32"/>
          <w:highlight w:val="none"/>
        </w:rPr>
        <w:t>依法利用</w:t>
      </w:r>
      <w:r>
        <w:rPr>
          <w:rFonts w:hint="eastAsia" w:ascii="Times New Roman" w:hAnsi="Times New Roman" w:eastAsia="方正仿宋_GBK" w:cs="方正仿宋_GBK"/>
          <w:color w:val="auto"/>
          <w:spacing w:val="4"/>
          <w:sz w:val="32"/>
          <w:szCs w:val="32"/>
          <w:highlight w:val="none"/>
          <w:lang w:eastAsia="zh-CN"/>
        </w:rPr>
        <w:t>物业管理区域</w:t>
      </w:r>
      <w:r>
        <w:rPr>
          <w:rFonts w:hint="default" w:ascii="Times New Roman" w:hAnsi="Times New Roman" w:eastAsia="方正仿宋_GBK" w:cs="方正仿宋_GBK"/>
          <w:color w:val="auto"/>
          <w:spacing w:val="4"/>
          <w:sz w:val="32"/>
          <w:szCs w:val="32"/>
          <w:highlight w:val="none"/>
        </w:rPr>
        <w:t>全体业主共有的房屋进行租赁或者经营产生的收入；</w:t>
      </w:r>
    </w:p>
    <w:p w14:paraId="6987210A">
      <w:pPr>
        <w:keepNext w:val="0"/>
        <w:keepLines w:val="0"/>
        <w:pageBreakBefore w:val="0"/>
        <w:widowControl w:val="0"/>
        <w:kinsoku/>
        <w:wordWrap w:val="0"/>
        <w:overflowPunct/>
        <w:topLinePunct w:val="0"/>
        <w:autoSpaceDE w:val="0"/>
        <w:autoSpaceDN w:val="0"/>
        <w:bidi w:val="0"/>
        <w:adjustRightInd w:val="0"/>
        <w:snapToGrid w:val="0"/>
        <w:spacing w:line="560" w:lineRule="exact"/>
        <w:ind w:left="779" w:leftChars="371" w:firstLine="0" w:firstLineChars="0"/>
        <w:textAlignment w:val="baseline"/>
        <w:rPr>
          <w:rFonts w:hint="default" w:ascii="Times New Roman" w:hAnsi="Times New Roman" w:eastAsia="方正仿宋_GBK" w:cs="方正仿宋_GBK"/>
          <w:color w:val="auto"/>
          <w:spacing w:val="4"/>
          <w:sz w:val="32"/>
          <w:szCs w:val="32"/>
          <w:highlight w:val="none"/>
        </w:rPr>
      </w:pPr>
      <w:r>
        <w:rPr>
          <w:rFonts w:hint="default" w:ascii="Times New Roman" w:hAnsi="Times New Roman" w:eastAsia="方正楷体_GBK" w:cs="方正楷体_GBK"/>
          <w:color w:val="auto"/>
          <w:spacing w:val="4"/>
          <w:sz w:val="32"/>
          <w:szCs w:val="32"/>
          <w:highlight w:val="none"/>
        </w:rPr>
        <w:t>（二）</w:t>
      </w:r>
      <w:r>
        <w:rPr>
          <w:rFonts w:hint="default" w:ascii="Times New Roman" w:hAnsi="Times New Roman" w:eastAsia="方正仿宋_GBK" w:cs="方正仿宋_GBK"/>
          <w:color w:val="auto"/>
          <w:spacing w:val="4"/>
          <w:sz w:val="32"/>
          <w:szCs w:val="32"/>
          <w:highlight w:val="none"/>
        </w:rPr>
        <w:t>利用业主共有道路、公共场地停放车辆产生的收入；</w:t>
      </w:r>
      <w:r>
        <w:rPr>
          <w:rFonts w:hint="default" w:ascii="Times New Roman" w:hAnsi="Times New Roman" w:eastAsia="方正楷体_GBK" w:cs="方正楷体_GBK"/>
          <w:color w:val="auto"/>
          <w:spacing w:val="4"/>
          <w:sz w:val="32"/>
          <w:szCs w:val="32"/>
          <w:highlight w:val="none"/>
        </w:rPr>
        <w:t>（三）</w:t>
      </w:r>
      <w:r>
        <w:rPr>
          <w:rFonts w:hint="default" w:ascii="Times New Roman" w:hAnsi="Times New Roman" w:eastAsia="方正仿宋_GBK" w:cs="方正仿宋_GBK"/>
          <w:color w:val="auto"/>
          <w:spacing w:val="4"/>
          <w:sz w:val="32"/>
          <w:szCs w:val="32"/>
          <w:highlight w:val="none"/>
        </w:rPr>
        <w:t>利用业主共有场地、灯箱、单元门、外墙等设置户外广告以及利用电梯轿厢、单元门厅、走廊通道等设置室内广告产生的收入；</w:t>
      </w:r>
    </w:p>
    <w:p w14:paraId="16C0EB0A">
      <w:pPr>
        <w:keepNext w:val="0"/>
        <w:keepLines w:val="0"/>
        <w:pageBreakBefore w:val="0"/>
        <w:widowControl/>
        <w:kinsoku w:val="0"/>
        <w:wordWrap/>
        <w:overflowPunct/>
        <w:topLinePunct w:val="0"/>
        <w:autoSpaceDE w:val="0"/>
        <w:autoSpaceDN w:val="0"/>
        <w:bidi w:val="0"/>
        <w:adjustRightInd w:val="0"/>
        <w:snapToGrid w:val="0"/>
        <w:spacing w:line="560" w:lineRule="exact"/>
        <w:ind w:left="144" w:firstLine="656" w:firstLineChars="200"/>
        <w:textAlignment w:val="baseline"/>
        <w:rPr>
          <w:rFonts w:hint="default" w:ascii="Times New Roman" w:hAnsi="Times New Roman" w:eastAsia="方正仿宋_GBK" w:cs="方正仿宋_GBK"/>
          <w:color w:val="auto"/>
          <w:spacing w:val="4"/>
          <w:sz w:val="32"/>
          <w:szCs w:val="32"/>
          <w:highlight w:val="none"/>
        </w:rPr>
      </w:pPr>
      <w:r>
        <w:rPr>
          <w:rFonts w:hint="default" w:ascii="Times New Roman" w:hAnsi="Times New Roman" w:eastAsia="方正楷体_GBK" w:cs="方正楷体_GBK"/>
          <w:color w:val="auto"/>
          <w:spacing w:val="4"/>
          <w:sz w:val="32"/>
          <w:szCs w:val="32"/>
          <w:highlight w:val="none"/>
        </w:rPr>
        <w:t>（四）</w:t>
      </w:r>
      <w:r>
        <w:rPr>
          <w:rFonts w:hint="default" w:ascii="Times New Roman" w:hAnsi="Times New Roman" w:eastAsia="方正仿宋_GBK" w:cs="方正仿宋_GBK"/>
          <w:color w:val="auto"/>
          <w:spacing w:val="4"/>
          <w:sz w:val="32"/>
          <w:szCs w:val="32"/>
          <w:highlight w:val="none"/>
        </w:rPr>
        <w:t>利用小区公共场地开展商业活动及投放快递柜、净水机、自动售卖机等设施产生的收入；</w:t>
      </w:r>
    </w:p>
    <w:p w14:paraId="71A999C7">
      <w:pPr>
        <w:keepNext w:val="0"/>
        <w:keepLines w:val="0"/>
        <w:pageBreakBefore w:val="0"/>
        <w:widowControl/>
        <w:kinsoku w:val="0"/>
        <w:wordWrap/>
        <w:overflowPunct/>
        <w:topLinePunct w:val="0"/>
        <w:autoSpaceDE w:val="0"/>
        <w:autoSpaceDN w:val="0"/>
        <w:bidi w:val="0"/>
        <w:adjustRightInd w:val="0"/>
        <w:snapToGrid w:val="0"/>
        <w:spacing w:line="560" w:lineRule="exact"/>
        <w:ind w:left="144" w:firstLine="656" w:firstLineChars="200"/>
        <w:textAlignment w:val="baseline"/>
        <w:rPr>
          <w:rFonts w:hint="default" w:ascii="Times New Roman" w:hAnsi="Times New Roman" w:eastAsia="方正仿宋_GBK" w:cs="方正仿宋_GBK"/>
          <w:color w:val="auto"/>
          <w:spacing w:val="4"/>
          <w:sz w:val="32"/>
          <w:szCs w:val="32"/>
          <w:highlight w:val="none"/>
        </w:rPr>
      </w:pPr>
      <w:r>
        <w:rPr>
          <w:rFonts w:hint="default" w:ascii="Times New Roman" w:hAnsi="Times New Roman" w:eastAsia="方正楷体_GBK" w:cs="方正楷体_GBK"/>
          <w:color w:val="auto"/>
          <w:spacing w:val="4"/>
          <w:sz w:val="32"/>
          <w:szCs w:val="32"/>
          <w:highlight w:val="none"/>
        </w:rPr>
        <w:t>（五）</w:t>
      </w:r>
      <w:r>
        <w:rPr>
          <w:rFonts w:hint="default" w:ascii="Times New Roman" w:hAnsi="Times New Roman" w:eastAsia="方正仿宋_GBK" w:cs="方正仿宋_GBK"/>
          <w:color w:val="auto"/>
          <w:spacing w:val="4"/>
          <w:sz w:val="32"/>
          <w:szCs w:val="32"/>
          <w:highlight w:val="none"/>
        </w:rPr>
        <w:t>对通信运营商设立的通信设施设备等所收取的占用场地费用；</w:t>
      </w:r>
    </w:p>
    <w:p w14:paraId="66817D2C">
      <w:pPr>
        <w:keepNext w:val="0"/>
        <w:keepLines w:val="0"/>
        <w:pageBreakBefore w:val="0"/>
        <w:widowControl/>
        <w:kinsoku w:val="0"/>
        <w:wordWrap/>
        <w:overflowPunct/>
        <w:topLinePunct w:val="0"/>
        <w:autoSpaceDE w:val="0"/>
        <w:autoSpaceDN w:val="0"/>
        <w:bidi w:val="0"/>
        <w:adjustRightInd w:val="0"/>
        <w:snapToGrid w:val="0"/>
        <w:spacing w:line="560" w:lineRule="exact"/>
        <w:ind w:left="144" w:firstLine="656" w:firstLineChars="200"/>
        <w:textAlignment w:val="baseline"/>
        <w:rPr>
          <w:rFonts w:hint="default" w:ascii="Times New Roman" w:hAnsi="Times New Roman" w:eastAsia="方正仿宋_GBK" w:cs="方正仿宋_GBK"/>
          <w:color w:val="auto"/>
          <w:spacing w:val="4"/>
          <w:sz w:val="32"/>
          <w:szCs w:val="32"/>
          <w:highlight w:val="none"/>
        </w:rPr>
      </w:pPr>
      <w:r>
        <w:rPr>
          <w:rFonts w:hint="default" w:ascii="Times New Roman" w:hAnsi="Times New Roman" w:eastAsia="方正楷体_GBK" w:cs="方正楷体_GBK"/>
          <w:color w:val="auto"/>
          <w:spacing w:val="4"/>
          <w:sz w:val="32"/>
          <w:szCs w:val="32"/>
          <w:highlight w:val="none"/>
        </w:rPr>
        <w:t>（六）</w:t>
      </w:r>
      <w:r>
        <w:rPr>
          <w:rFonts w:hint="default" w:ascii="Times New Roman" w:hAnsi="Times New Roman" w:eastAsia="方正仿宋_GBK" w:cs="方正仿宋_GBK"/>
          <w:color w:val="auto"/>
          <w:spacing w:val="4"/>
          <w:sz w:val="32"/>
          <w:szCs w:val="32"/>
          <w:highlight w:val="none"/>
        </w:rPr>
        <w:t>处置经业主大会同意报废的共用设施设备回收残值等产生的收入；</w:t>
      </w:r>
    </w:p>
    <w:p w14:paraId="65AA16DB">
      <w:pPr>
        <w:keepNext w:val="0"/>
        <w:keepLines w:val="0"/>
        <w:pageBreakBefore w:val="0"/>
        <w:widowControl/>
        <w:kinsoku w:val="0"/>
        <w:wordWrap/>
        <w:overflowPunct/>
        <w:topLinePunct w:val="0"/>
        <w:autoSpaceDE w:val="0"/>
        <w:autoSpaceDN w:val="0"/>
        <w:bidi w:val="0"/>
        <w:adjustRightInd w:val="0"/>
        <w:snapToGrid w:val="0"/>
        <w:spacing w:line="560" w:lineRule="exact"/>
        <w:ind w:left="144" w:firstLine="656" w:firstLineChars="200"/>
        <w:textAlignment w:val="baseline"/>
        <w:rPr>
          <w:rFonts w:hint="default" w:ascii="Times New Roman" w:hAnsi="Times New Roman" w:eastAsia="方正仿宋_GBK" w:cs="方正仿宋_GBK"/>
          <w:color w:val="auto"/>
          <w:spacing w:val="4"/>
          <w:sz w:val="32"/>
          <w:szCs w:val="32"/>
          <w:highlight w:val="none"/>
        </w:rPr>
      </w:pPr>
      <w:r>
        <w:rPr>
          <w:rFonts w:hint="default" w:ascii="Times New Roman" w:hAnsi="Times New Roman" w:eastAsia="方正楷体_GBK" w:cs="方正楷体_GBK"/>
          <w:color w:val="auto"/>
          <w:spacing w:val="4"/>
          <w:sz w:val="32"/>
          <w:szCs w:val="32"/>
          <w:highlight w:val="none"/>
        </w:rPr>
        <w:t>（七）</w:t>
      </w:r>
      <w:r>
        <w:rPr>
          <w:rFonts w:hint="default" w:ascii="Times New Roman" w:hAnsi="Times New Roman" w:eastAsia="方正仿宋_GBK" w:cs="方正仿宋_GBK"/>
          <w:color w:val="auto"/>
          <w:spacing w:val="4"/>
          <w:sz w:val="32"/>
          <w:szCs w:val="32"/>
          <w:highlight w:val="none"/>
        </w:rPr>
        <w:t>相关单位支付的归全体业主共有的违约金、赔偿金等；</w:t>
      </w:r>
    </w:p>
    <w:p w14:paraId="38FC1F45">
      <w:pPr>
        <w:keepNext w:val="0"/>
        <w:keepLines w:val="0"/>
        <w:pageBreakBefore w:val="0"/>
        <w:widowControl/>
        <w:kinsoku w:val="0"/>
        <w:wordWrap/>
        <w:overflowPunct/>
        <w:topLinePunct w:val="0"/>
        <w:autoSpaceDE w:val="0"/>
        <w:autoSpaceDN w:val="0"/>
        <w:bidi w:val="0"/>
        <w:adjustRightInd w:val="0"/>
        <w:snapToGrid w:val="0"/>
        <w:spacing w:line="560" w:lineRule="exact"/>
        <w:ind w:left="144" w:firstLine="656" w:firstLineChars="200"/>
        <w:textAlignment w:val="baseline"/>
        <w:rPr>
          <w:rFonts w:hint="default" w:ascii="Times New Roman" w:hAnsi="Times New Roman" w:eastAsia="方正仿宋_GBK" w:cs="方正仿宋_GBK"/>
          <w:color w:val="auto"/>
          <w:spacing w:val="4"/>
          <w:sz w:val="32"/>
          <w:szCs w:val="32"/>
          <w:highlight w:val="none"/>
        </w:rPr>
      </w:pPr>
      <w:r>
        <w:rPr>
          <w:rFonts w:hint="default" w:ascii="Times New Roman" w:hAnsi="Times New Roman" w:eastAsia="方正楷体_GBK" w:cs="方正楷体_GBK"/>
          <w:color w:val="auto"/>
          <w:spacing w:val="4"/>
          <w:sz w:val="32"/>
          <w:szCs w:val="32"/>
          <w:highlight w:val="none"/>
        </w:rPr>
        <w:t>（八）</w:t>
      </w:r>
      <w:r>
        <w:rPr>
          <w:rFonts w:hint="default" w:ascii="Times New Roman" w:hAnsi="Times New Roman" w:eastAsia="方正仿宋_GBK" w:cs="方正仿宋_GBK"/>
          <w:color w:val="auto"/>
          <w:spacing w:val="4"/>
          <w:sz w:val="32"/>
          <w:szCs w:val="32"/>
          <w:highlight w:val="none"/>
        </w:rPr>
        <w:t>公共收益利息收入；</w:t>
      </w:r>
    </w:p>
    <w:p w14:paraId="70AE3A19">
      <w:pPr>
        <w:keepNext w:val="0"/>
        <w:keepLines w:val="0"/>
        <w:pageBreakBefore w:val="0"/>
        <w:widowControl/>
        <w:kinsoku w:val="0"/>
        <w:wordWrap/>
        <w:overflowPunct/>
        <w:topLinePunct w:val="0"/>
        <w:autoSpaceDE w:val="0"/>
        <w:autoSpaceDN w:val="0"/>
        <w:bidi w:val="0"/>
        <w:adjustRightInd w:val="0"/>
        <w:snapToGrid w:val="0"/>
        <w:spacing w:line="560" w:lineRule="exact"/>
        <w:ind w:left="144" w:firstLine="656" w:firstLineChars="200"/>
        <w:textAlignment w:val="baseline"/>
        <w:rPr>
          <w:rFonts w:hint="eastAsia" w:ascii="Times New Roman" w:hAnsi="Times New Roman" w:eastAsia="方正仿宋_GBK" w:cs="方正仿宋_GBK"/>
          <w:color w:val="auto"/>
          <w:spacing w:val="4"/>
          <w:sz w:val="32"/>
          <w:szCs w:val="32"/>
          <w:highlight w:val="none"/>
          <w:lang w:eastAsia="zh-CN"/>
        </w:rPr>
      </w:pPr>
      <w:r>
        <w:rPr>
          <w:rFonts w:hint="default" w:ascii="Times New Roman" w:hAnsi="Times New Roman" w:eastAsia="方正楷体_GBK" w:cs="方正楷体_GBK"/>
          <w:color w:val="auto"/>
          <w:spacing w:val="4"/>
          <w:sz w:val="32"/>
          <w:szCs w:val="32"/>
          <w:highlight w:val="none"/>
        </w:rPr>
        <w:t>（九）</w:t>
      </w:r>
      <w:r>
        <w:rPr>
          <w:rFonts w:hint="default" w:ascii="Times New Roman" w:hAnsi="Times New Roman" w:eastAsia="方正仿宋_GBK" w:cs="方正仿宋_GBK"/>
          <w:color w:val="auto"/>
          <w:spacing w:val="4"/>
          <w:sz w:val="32"/>
          <w:szCs w:val="32"/>
          <w:highlight w:val="none"/>
        </w:rPr>
        <w:t>其他依法属于全体业主的收入。</w:t>
      </w:r>
    </w:p>
    <w:p w14:paraId="3184C8D2">
      <w:pPr>
        <w:keepNext w:val="0"/>
        <w:keepLines w:val="0"/>
        <w:pageBreakBefore w:val="0"/>
        <w:widowControl/>
        <w:kinsoku w:val="0"/>
        <w:wordWrap/>
        <w:overflowPunct/>
        <w:topLinePunct w:val="0"/>
        <w:autoSpaceDE w:val="0"/>
        <w:autoSpaceDN w:val="0"/>
        <w:bidi w:val="0"/>
        <w:adjustRightInd w:val="0"/>
        <w:snapToGrid w:val="0"/>
        <w:spacing w:line="560" w:lineRule="exact"/>
        <w:ind w:firstLine="624" w:firstLineChars="200"/>
        <w:textAlignment w:val="baseline"/>
        <w:outlineLvl w:val="2"/>
        <w:rPr>
          <w:rFonts w:hint="eastAsia" w:ascii="Times New Roman" w:hAnsi="Times New Roman" w:eastAsia="方正黑体_GBK" w:cs="方正黑体_GBK"/>
          <w:b w:val="0"/>
          <w:bCs w:val="0"/>
          <w:color w:val="auto"/>
          <w:spacing w:val="-4"/>
          <w:sz w:val="32"/>
          <w:szCs w:val="32"/>
          <w:highlight w:val="none"/>
          <w:lang w:val="en-US" w:eastAsia="zh-CN"/>
        </w:rPr>
      </w:pPr>
      <w:r>
        <w:rPr>
          <w:rFonts w:hint="eastAsia" w:ascii="Times New Roman" w:hAnsi="Times New Roman" w:eastAsia="方正黑体_GBK" w:cs="方正黑体_GBK"/>
          <w:b w:val="0"/>
          <w:bCs w:val="0"/>
          <w:color w:val="auto"/>
          <w:spacing w:val="-4"/>
          <w:sz w:val="32"/>
          <w:szCs w:val="32"/>
          <w:highlight w:val="none"/>
          <w:lang w:val="en-US" w:eastAsia="zh-CN"/>
        </w:rPr>
        <w:t>二、</w:t>
      </w:r>
      <w:r>
        <w:rPr>
          <w:rFonts w:hint="eastAsia" w:ascii="Times New Roman" w:hAnsi="Times New Roman" w:eastAsia="方正黑体_GBK" w:cs="方正黑体_GBK"/>
          <w:b w:val="0"/>
          <w:bCs w:val="0"/>
          <w:color w:val="auto"/>
          <w:spacing w:val="-4"/>
          <w:sz w:val="32"/>
          <w:szCs w:val="32"/>
          <w:highlight w:val="none"/>
        </w:rPr>
        <w:t>公共收益</w:t>
      </w:r>
      <w:r>
        <w:rPr>
          <w:rFonts w:hint="eastAsia" w:ascii="Times New Roman" w:hAnsi="Times New Roman" w:eastAsia="方正黑体_GBK" w:cs="方正黑体_GBK"/>
          <w:b w:val="0"/>
          <w:bCs w:val="0"/>
          <w:color w:val="auto"/>
          <w:spacing w:val="-4"/>
          <w:sz w:val="32"/>
          <w:szCs w:val="32"/>
          <w:highlight w:val="none"/>
          <w:lang w:val="en-US" w:eastAsia="zh-CN"/>
        </w:rPr>
        <w:t>归属</w:t>
      </w:r>
    </w:p>
    <w:p w14:paraId="616843C9">
      <w:pPr>
        <w:keepNext w:val="0"/>
        <w:keepLines w:val="0"/>
        <w:pageBreakBefore w:val="0"/>
        <w:widowControl/>
        <w:kinsoku w:val="0"/>
        <w:wordWrap/>
        <w:overflowPunct/>
        <w:topLinePunct w:val="0"/>
        <w:autoSpaceDE w:val="0"/>
        <w:autoSpaceDN w:val="0"/>
        <w:bidi w:val="0"/>
        <w:adjustRightInd w:val="0"/>
        <w:snapToGrid w:val="0"/>
        <w:spacing w:line="560" w:lineRule="exact"/>
        <w:ind w:left="144" w:firstLine="656" w:firstLineChars="200"/>
        <w:textAlignment w:val="baseline"/>
        <w:rPr>
          <w:rFonts w:hint="eastAsia" w:ascii="Times New Roman" w:hAnsi="Times New Roman" w:eastAsia="方正仿宋_GBK" w:cs="方正仿宋_GBK"/>
          <w:color w:val="auto"/>
          <w:spacing w:val="4"/>
          <w:sz w:val="32"/>
          <w:szCs w:val="32"/>
          <w:highlight w:val="none"/>
          <w:lang w:eastAsia="zh-CN"/>
        </w:rPr>
      </w:pPr>
      <w:r>
        <w:rPr>
          <w:rFonts w:hint="eastAsia" w:ascii="Times New Roman" w:hAnsi="Times New Roman" w:eastAsia="方正仿宋_GBK" w:cs="方正仿宋_GBK"/>
          <w:color w:val="auto"/>
          <w:spacing w:val="4"/>
          <w:sz w:val="32"/>
          <w:szCs w:val="32"/>
          <w:highlight w:val="none"/>
          <w:lang w:val="en-US" w:eastAsia="zh-CN"/>
        </w:rPr>
        <w:t>全体业主</w:t>
      </w:r>
      <w:r>
        <w:rPr>
          <w:rFonts w:hint="eastAsia" w:ascii="Times New Roman" w:hAnsi="Times New Roman" w:eastAsia="方正仿宋_GBK" w:cs="方正仿宋_GBK"/>
          <w:color w:val="auto"/>
          <w:spacing w:val="4"/>
          <w:sz w:val="32"/>
          <w:szCs w:val="32"/>
          <w:highlight w:val="none"/>
          <w:lang w:eastAsia="zh-CN"/>
        </w:rPr>
        <w:t>共有</w:t>
      </w:r>
      <w:r>
        <w:rPr>
          <w:rFonts w:hint="eastAsia" w:ascii="Times New Roman" w:hAnsi="Times New Roman" w:eastAsia="方正仿宋_GBK" w:cs="方正仿宋_GBK"/>
          <w:color w:val="auto"/>
          <w:spacing w:val="4"/>
          <w:sz w:val="32"/>
          <w:szCs w:val="32"/>
          <w:highlight w:val="none"/>
        </w:rPr>
        <w:t>部位、共有设施设备经营</w:t>
      </w:r>
      <w:r>
        <w:rPr>
          <w:rFonts w:hint="eastAsia" w:ascii="Times New Roman" w:hAnsi="Times New Roman" w:eastAsia="方正仿宋_GBK" w:cs="方正仿宋_GBK"/>
          <w:color w:val="auto"/>
          <w:spacing w:val="4"/>
          <w:sz w:val="32"/>
          <w:szCs w:val="32"/>
          <w:highlight w:val="none"/>
          <w:lang w:eastAsia="zh-CN"/>
        </w:rPr>
        <w:t>产生</w:t>
      </w:r>
      <w:r>
        <w:rPr>
          <w:rFonts w:hint="eastAsia" w:ascii="Times New Roman" w:hAnsi="Times New Roman" w:eastAsia="方正仿宋_GBK" w:cs="方正仿宋_GBK"/>
          <w:color w:val="auto"/>
          <w:spacing w:val="4"/>
          <w:sz w:val="32"/>
          <w:szCs w:val="32"/>
          <w:highlight w:val="none"/>
          <w:lang w:val="en-US" w:eastAsia="zh-CN"/>
        </w:rPr>
        <w:t>的</w:t>
      </w:r>
      <w:r>
        <w:rPr>
          <w:rFonts w:hint="eastAsia" w:ascii="Times New Roman" w:hAnsi="Times New Roman" w:eastAsia="方正仿宋_GBK" w:cs="方正仿宋_GBK"/>
          <w:color w:val="auto"/>
          <w:spacing w:val="4"/>
          <w:sz w:val="32"/>
          <w:szCs w:val="32"/>
          <w:highlight w:val="none"/>
          <w:lang w:eastAsia="zh-CN"/>
        </w:rPr>
        <w:t>公共收益归</w:t>
      </w:r>
      <w:r>
        <w:rPr>
          <w:rFonts w:hint="eastAsia" w:ascii="Times New Roman" w:hAnsi="Times New Roman" w:eastAsia="方正仿宋_GBK" w:cs="方正仿宋_GBK"/>
          <w:color w:val="auto"/>
          <w:spacing w:val="4"/>
          <w:sz w:val="32"/>
          <w:szCs w:val="32"/>
          <w:highlight w:val="none"/>
        </w:rPr>
        <w:t>全体业主所有</w:t>
      </w:r>
      <w:r>
        <w:rPr>
          <w:rFonts w:hint="eastAsia" w:ascii="Times New Roman" w:hAnsi="Times New Roman" w:eastAsia="方正仿宋_GBK" w:cs="方正仿宋_GBK"/>
          <w:color w:val="auto"/>
          <w:spacing w:val="4"/>
          <w:sz w:val="32"/>
          <w:szCs w:val="32"/>
          <w:highlight w:val="none"/>
          <w:lang w:eastAsia="zh-CN"/>
        </w:rPr>
        <w:t>；部分业主共有</w:t>
      </w:r>
      <w:r>
        <w:rPr>
          <w:rFonts w:hint="eastAsia" w:ascii="Times New Roman" w:hAnsi="Times New Roman" w:eastAsia="方正仿宋_GBK" w:cs="方正仿宋_GBK"/>
          <w:color w:val="auto"/>
          <w:spacing w:val="4"/>
          <w:sz w:val="32"/>
          <w:szCs w:val="32"/>
          <w:highlight w:val="none"/>
        </w:rPr>
        <w:t>部位、共有设施设备经营</w:t>
      </w:r>
      <w:r>
        <w:rPr>
          <w:rFonts w:hint="eastAsia" w:ascii="Times New Roman" w:hAnsi="Times New Roman" w:eastAsia="方正仿宋_GBK" w:cs="方正仿宋_GBK"/>
          <w:color w:val="auto"/>
          <w:spacing w:val="4"/>
          <w:sz w:val="32"/>
          <w:szCs w:val="32"/>
          <w:highlight w:val="none"/>
          <w:lang w:eastAsia="zh-CN"/>
        </w:rPr>
        <w:t>产生公共收益归该部分业主共有。</w:t>
      </w:r>
    </w:p>
    <w:p w14:paraId="7F29534C">
      <w:pPr>
        <w:keepNext w:val="0"/>
        <w:keepLines w:val="0"/>
        <w:pageBreakBefore w:val="0"/>
        <w:widowControl/>
        <w:kinsoku w:val="0"/>
        <w:wordWrap/>
        <w:overflowPunct/>
        <w:topLinePunct w:val="0"/>
        <w:autoSpaceDE w:val="0"/>
        <w:autoSpaceDN w:val="0"/>
        <w:bidi w:val="0"/>
        <w:adjustRightInd w:val="0"/>
        <w:snapToGrid w:val="0"/>
        <w:spacing w:line="560" w:lineRule="exact"/>
        <w:ind w:left="144" w:firstLine="656" w:firstLineChars="200"/>
        <w:textAlignment w:val="baseline"/>
        <w:rPr>
          <w:rFonts w:hint="default" w:ascii="Times New Roman" w:hAnsi="Times New Roman" w:eastAsia="方正仿宋_GBK" w:cs="方正仿宋_GBK"/>
          <w:color w:val="auto"/>
          <w:spacing w:val="4"/>
          <w:sz w:val="32"/>
          <w:szCs w:val="32"/>
          <w:highlight w:val="none"/>
        </w:rPr>
      </w:pPr>
      <w:r>
        <w:rPr>
          <w:rFonts w:hint="default" w:ascii="Times New Roman" w:hAnsi="Times New Roman" w:eastAsia="方正仿宋_GBK" w:cs="方正仿宋_GBK"/>
          <w:color w:val="auto"/>
          <w:spacing w:val="4"/>
          <w:sz w:val="32"/>
          <w:szCs w:val="32"/>
          <w:highlight w:val="none"/>
        </w:rPr>
        <w:t>公共收益分配事项，有约定的，按照约定；没有约定或者约定不明确的，按照业主专有部分面积所占比例确定。</w:t>
      </w:r>
    </w:p>
    <w:p w14:paraId="720F670D">
      <w:pPr>
        <w:keepNext w:val="0"/>
        <w:keepLines w:val="0"/>
        <w:pageBreakBefore w:val="0"/>
        <w:widowControl/>
        <w:kinsoku w:val="0"/>
        <w:wordWrap/>
        <w:overflowPunct/>
        <w:topLinePunct w:val="0"/>
        <w:autoSpaceDE w:val="0"/>
        <w:autoSpaceDN w:val="0"/>
        <w:bidi w:val="0"/>
        <w:adjustRightInd w:val="0"/>
        <w:snapToGrid w:val="0"/>
        <w:spacing w:line="560" w:lineRule="exact"/>
        <w:ind w:left="144" w:firstLine="656" w:firstLineChars="200"/>
        <w:textAlignment w:val="baseline"/>
        <w:rPr>
          <w:rFonts w:hint="eastAsia" w:ascii="Times New Roman" w:hAnsi="Times New Roman" w:eastAsia="方正仿宋_GBK" w:cs="方正仿宋_GBK"/>
          <w:strike w:val="0"/>
          <w:dstrike w:val="0"/>
          <w:color w:val="auto"/>
          <w:spacing w:val="4"/>
          <w:sz w:val="32"/>
          <w:szCs w:val="32"/>
          <w:highlight w:val="none"/>
          <w:lang w:eastAsia="zh-CN"/>
        </w:rPr>
      </w:pPr>
      <w:r>
        <w:rPr>
          <w:rFonts w:hint="default" w:ascii="Times New Roman" w:hAnsi="Times New Roman" w:eastAsia="方正仿宋_GBK" w:cs="方正仿宋_GBK"/>
          <w:color w:val="auto"/>
          <w:spacing w:val="4"/>
          <w:sz w:val="32"/>
          <w:szCs w:val="32"/>
          <w:highlight w:val="none"/>
        </w:rPr>
        <w:t>委托物业服务人经营管理的，应当在物业服务合同（包括前期物业服务合同）中就物业服务人提取合理成本的扣除标准、扣除方式等作出约定。</w:t>
      </w:r>
    </w:p>
    <w:p w14:paraId="63B6867B">
      <w:pPr>
        <w:keepNext w:val="0"/>
        <w:keepLines w:val="0"/>
        <w:pageBreakBefore w:val="0"/>
        <w:widowControl w:val="0"/>
        <w:kinsoku w:val="0"/>
        <w:wordWrap/>
        <w:overflowPunct/>
        <w:topLinePunct w:val="0"/>
        <w:autoSpaceDE w:val="0"/>
        <w:autoSpaceDN w:val="0"/>
        <w:bidi w:val="0"/>
        <w:adjustRightInd w:val="0"/>
        <w:snapToGrid w:val="0"/>
        <w:spacing w:line="560" w:lineRule="exact"/>
        <w:ind w:left="679"/>
        <w:textAlignment w:val="baseline"/>
        <w:outlineLvl w:val="2"/>
        <w:rPr>
          <w:rFonts w:hint="eastAsia" w:ascii="Times New Roman" w:hAnsi="Times New Roman" w:eastAsia="方正黑体_GBK" w:cs="方正黑体_GBK"/>
          <w:b w:val="0"/>
          <w:bCs w:val="0"/>
          <w:color w:val="auto"/>
          <w:spacing w:val="-4"/>
          <w:sz w:val="32"/>
          <w:szCs w:val="32"/>
          <w:highlight w:val="none"/>
          <w:lang w:eastAsia="zh-CN"/>
        </w:rPr>
      </w:pPr>
      <w:r>
        <w:rPr>
          <w:rFonts w:hint="eastAsia" w:ascii="Times New Roman" w:hAnsi="Times New Roman" w:eastAsia="方正黑体_GBK" w:cs="方正黑体_GBK"/>
          <w:b w:val="0"/>
          <w:bCs w:val="0"/>
          <w:color w:val="auto"/>
          <w:spacing w:val="-4"/>
          <w:sz w:val="32"/>
          <w:szCs w:val="32"/>
          <w:highlight w:val="none"/>
          <w:lang w:val="en-US" w:eastAsia="zh-CN"/>
        </w:rPr>
        <w:t>三</w:t>
      </w:r>
      <w:r>
        <w:rPr>
          <w:rFonts w:hint="eastAsia" w:ascii="Times New Roman" w:hAnsi="Times New Roman" w:eastAsia="方正黑体_GBK" w:cs="方正黑体_GBK"/>
          <w:b w:val="0"/>
          <w:bCs w:val="0"/>
          <w:color w:val="auto"/>
          <w:spacing w:val="-4"/>
          <w:sz w:val="32"/>
          <w:szCs w:val="32"/>
          <w:highlight w:val="none"/>
        </w:rPr>
        <w:t>、公共收益</w:t>
      </w:r>
      <w:r>
        <w:rPr>
          <w:rFonts w:hint="eastAsia" w:ascii="Times New Roman" w:hAnsi="Times New Roman" w:eastAsia="方正黑体_GBK" w:cs="方正黑体_GBK"/>
          <w:b w:val="0"/>
          <w:bCs w:val="0"/>
          <w:color w:val="auto"/>
          <w:spacing w:val="-4"/>
          <w:sz w:val="32"/>
          <w:szCs w:val="32"/>
          <w:highlight w:val="none"/>
          <w:lang w:val="en-US" w:eastAsia="zh-CN"/>
        </w:rPr>
        <w:t>管理</w:t>
      </w:r>
    </w:p>
    <w:p w14:paraId="54669F41">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jc w:val="both"/>
        <w:textAlignment w:val="auto"/>
        <w:rPr>
          <w:rFonts w:hint="default" w:ascii="Times New Roman" w:hAnsi="Times New Roman" w:eastAsia="仿宋_GB2312" w:cs="仿宋_GB2312"/>
          <w:i w:val="0"/>
          <w:iCs w:val="0"/>
          <w:caps w:val="0"/>
          <w:color w:val="auto"/>
          <w:spacing w:val="0"/>
          <w:sz w:val="32"/>
          <w:szCs w:val="32"/>
          <w:highlight w:val="none"/>
        </w:rPr>
      </w:pPr>
      <w:r>
        <w:rPr>
          <w:rFonts w:hint="default" w:ascii="Times New Roman" w:hAnsi="Times New Roman" w:eastAsia="方正楷体_GBK" w:cs="方正楷体_GBK"/>
          <w:b w:val="0"/>
          <w:bCs w:val="0"/>
          <w:snapToGrid w:val="0"/>
          <w:color w:val="auto"/>
          <w:kern w:val="0"/>
          <w:sz w:val="32"/>
          <w:szCs w:val="32"/>
          <w:highlight w:val="none"/>
          <w:lang w:val="en-US" w:eastAsia="zh-CN" w:bidi="ar-SA"/>
        </w:rPr>
        <w:t>（一）</w:t>
      </w:r>
      <w:r>
        <w:rPr>
          <w:rFonts w:hint="eastAsia" w:ascii="Times New Roman" w:hAnsi="Times New Roman" w:eastAsia="方正楷体_GBK" w:cs="方正楷体_GBK"/>
          <w:b w:val="0"/>
          <w:bCs w:val="0"/>
          <w:snapToGrid w:val="0"/>
          <w:color w:val="auto"/>
          <w:kern w:val="0"/>
          <w:sz w:val="32"/>
          <w:szCs w:val="32"/>
          <w:highlight w:val="none"/>
          <w:lang w:val="en-US" w:eastAsia="zh-CN" w:bidi="ar-SA"/>
        </w:rPr>
        <w:t>经营管理。</w:t>
      </w:r>
      <w:r>
        <w:rPr>
          <w:rFonts w:hint="default" w:ascii="Times New Roman" w:hAnsi="Times New Roman" w:eastAsia="方正仿宋_GBK" w:cs="方正仿宋_GBK"/>
          <w:snapToGrid w:val="0"/>
          <w:color w:val="auto"/>
          <w:spacing w:val="4"/>
          <w:kern w:val="0"/>
          <w:sz w:val="32"/>
          <w:szCs w:val="32"/>
          <w:highlight w:val="none"/>
          <w:lang w:val="en-US" w:eastAsia="en-US" w:bidi="ar-SA"/>
        </w:rPr>
        <w:t>业主大会成立前，临时管理规约、前期物业服务合同有相关约定的，物业服务人可根据约定作为管理主体代为管理住宅小区公共收益。临时管理规约、前期物业服务合同未作约定的，可由临时代行业主委员会职责的</w:t>
      </w:r>
      <w:r>
        <w:rPr>
          <w:rFonts w:hint="eastAsia" w:ascii="Times New Roman" w:hAnsi="Times New Roman" w:eastAsia="方正仿宋_GBK" w:cs="方正仿宋_GBK"/>
          <w:snapToGrid w:val="0"/>
          <w:color w:val="auto"/>
          <w:spacing w:val="4"/>
          <w:kern w:val="0"/>
          <w:sz w:val="32"/>
          <w:szCs w:val="32"/>
          <w:highlight w:val="none"/>
          <w:lang w:val="en-US" w:eastAsia="zh-CN" w:bidi="ar-SA"/>
        </w:rPr>
        <w:t>物业自管小组</w:t>
      </w:r>
      <w:r>
        <w:rPr>
          <w:rFonts w:hint="default" w:ascii="Times New Roman" w:hAnsi="Times New Roman" w:eastAsia="方正仿宋_GBK" w:cs="方正仿宋_GBK"/>
          <w:snapToGrid w:val="0"/>
          <w:color w:val="auto"/>
          <w:spacing w:val="4"/>
          <w:kern w:val="0"/>
          <w:sz w:val="32"/>
          <w:szCs w:val="32"/>
          <w:highlight w:val="none"/>
          <w:lang w:val="en-US" w:eastAsia="en-US" w:bidi="ar-SA"/>
        </w:rPr>
        <w:t>或者居（村）民委员会作为公共收益经营管理主体；在</w:t>
      </w:r>
      <w:r>
        <w:rPr>
          <w:rFonts w:hint="eastAsia" w:ascii="Times New Roman" w:hAnsi="Times New Roman" w:eastAsia="方正仿宋_GBK" w:cs="方正仿宋_GBK"/>
          <w:snapToGrid w:val="0"/>
          <w:color w:val="auto"/>
          <w:spacing w:val="4"/>
          <w:kern w:val="0"/>
          <w:sz w:val="32"/>
          <w:szCs w:val="32"/>
          <w:highlight w:val="none"/>
          <w:lang w:val="en-US" w:eastAsia="zh-CN" w:bidi="ar-SA"/>
        </w:rPr>
        <w:t>物业自管小组</w:t>
      </w:r>
      <w:r>
        <w:rPr>
          <w:rFonts w:hint="default" w:ascii="Times New Roman" w:hAnsi="Times New Roman" w:eastAsia="方正仿宋_GBK" w:cs="方正仿宋_GBK"/>
          <w:snapToGrid w:val="0"/>
          <w:color w:val="auto"/>
          <w:spacing w:val="4"/>
          <w:kern w:val="0"/>
          <w:sz w:val="32"/>
          <w:szCs w:val="32"/>
          <w:highlight w:val="none"/>
          <w:lang w:val="en-US" w:eastAsia="en-US" w:bidi="ar-SA"/>
        </w:rPr>
        <w:t>或者居（村）民委员会监督下，征求业主意见并形成业主共同决定后，也可由物业服务人作为经营管理主体；未依法征得业主同意的，物业服务人不得擅自利用业主的共有部分从事经营活动。</w:t>
      </w:r>
    </w:p>
    <w:p w14:paraId="1B770CA8">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jc w:val="both"/>
        <w:textAlignment w:val="auto"/>
        <w:rPr>
          <w:rFonts w:hint="default" w:ascii="Times New Roman" w:hAnsi="Times New Roman" w:eastAsia="方正仿宋_GBK" w:cs="方正仿宋_GBK"/>
          <w:snapToGrid w:val="0"/>
          <w:color w:val="auto"/>
          <w:spacing w:val="4"/>
          <w:kern w:val="0"/>
          <w:sz w:val="32"/>
          <w:szCs w:val="32"/>
          <w:highlight w:val="none"/>
          <w:lang w:val="en-US" w:eastAsia="en-US" w:bidi="ar-SA"/>
        </w:rPr>
      </w:pPr>
      <w:r>
        <w:rPr>
          <w:rFonts w:hint="default" w:ascii="Times New Roman" w:hAnsi="Times New Roman" w:eastAsia="方正仿宋_GBK" w:cs="方正仿宋_GBK"/>
          <w:snapToGrid w:val="0"/>
          <w:color w:val="auto"/>
          <w:spacing w:val="4"/>
          <w:kern w:val="0"/>
          <w:sz w:val="32"/>
          <w:szCs w:val="32"/>
          <w:highlight w:val="none"/>
          <w:lang w:val="en-US" w:eastAsia="en-US" w:bidi="ar-SA"/>
        </w:rPr>
        <w:t>业主大会成立后，利用业主的共有部分从事经营活动、公共收益的分配、使用和管理应当由业主共同决定，并在业主大会议事规则、管理规约及物业服务合同中作出约定。决定利用共有部分从事经营活动</w:t>
      </w:r>
      <w:r>
        <w:rPr>
          <w:rFonts w:hint="eastAsia" w:ascii="Times New Roman" w:hAnsi="Times New Roman" w:eastAsia="方正仿宋_GBK" w:cs="方正仿宋_GBK"/>
          <w:snapToGrid w:val="0"/>
          <w:color w:val="auto"/>
          <w:spacing w:val="4"/>
          <w:kern w:val="0"/>
          <w:sz w:val="32"/>
          <w:szCs w:val="32"/>
          <w:highlight w:val="none"/>
          <w:lang w:val="en-US" w:eastAsia="zh-CN" w:bidi="ar-SA"/>
        </w:rPr>
        <w:t>、</w:t>
      </w:r>
      <w:r>
        <w:rPr>
          <w:rFonts w:hint="default" w:ascii="Times New Roman" w:hAnsi="Times New Roman" w:eastAsia="方正仿宋_GBK" w:cs="方正仿宋_GBK"/>
          <w:snapToGrid w:val="0"/>
          <w:color w:val="auto"/>
          <w:spacing w:val="4"/>
          <w:kern w:val="0"/>
          <w:sz w:val="32"/>
          <w:szCs w:val="32"/>
          <w:highlight w:val="none"/>
          <w:lang w:val="en-US" w:eastAsia="en-US" w:bidi="ar-SA"/>
        </w:rPr>
        <w:t>决定公共收益的使用和管理有关事项的，</w:t>
      </w:r>
      <w:r>
        <w:rPr>
          <w:rFonts w:hint="eastAsia" w:ascii="Times New Roman" w:hAnsi="Times New Roman" w:eastAsia="方正仿宋_GBK" w:cs="方正仿宋_GBK"/>
          <w:snapToGrid w:val="0"/>
          <w:color w:val="auto"/>
          <w:spacing w:val="4"/>
          <w:kern w:val="0"/>
          <w:sz w:val="32"/>
          <w:szCs w:val="32"/>
          <w:highlight w:val="none"/>
          <w:lang w:val="en-US" w:eastAsia="zh-CN" w:bidi="ar-SA"/>
        </w:rPr>
        <w:t>须</w:t>
      </w:r>
      <w:r>
        <w:rPr>
          <w:rFonts w:hint="default" w:ascii="Times New Roman" w:hAnsi="Times New Roman" w:eastAsia="方正仿宋_GBK" w:cs="方正仿宋_GBK"/>
          <w:snapToGrid w:val="0"/>
          <w:color w:val="auto"/>
          <w:spacing w:val="4"/>
          <w:kern w:val="0"/>
          <w:sz w:val="32"/>
          <w:szCs w:val="32"/>
          <w:highlight w:val="none"/>
          <w:lang w:val="en-US" w:eastAsia="en-US" w:bidi="ar-SA"/>
        </w:rPr>
        <w:t>由符合</w:t>
      </w:r>
      <w:r>
        <w:rPr>
          <w:rFonts w:hint="eastAsia" w:ascii="Times New Roman" w:hAnsi="Times New Roman" w:eastAsia="方正仿宋_GBK" w:cs="方正仿宋_GBK"/>
          <w:snapToGrid w:val="0"/>
          <w:color w:val="auto"/>
          <w:spacing w:val="4"/>
          <w:kern w:val="0"/>
          <w:sz w:val="32"/>
          <w:szCs w:val="32"/>
          <w:highlight w:val="none"/>
          <w:lang w:val="en-US" w:eastAsia="zh-CN" w:bidi="ar-SA"/>
        </w:rPr>
        <w:t>民法典</w:t>
      </w:r>
      <w:r>
        <w:rPr>
          <w:rFonts w:hint="default" w:ascii="Times New Roman" w:hAnsi="Times New Roman" w:eastAsia="方正仿宋_GBK" w:cs="方正仿宋_GBK"/>
          <w:snapToGrid w:val="0"/>
          <w:color w:val="auto"/>
          <w:spacing w:val="4"/>
          <w:kern w:val="0"/>
          <w:sz w:val="32"/>
          <w:szCs w:val="32"/>
          <w:highlight w:val="none"/>
          <w:lang w:val="en-US" w:eastAsia="en-US" w:bidi="ar-SA"/>
        </w:rPr>
        <w:t>规定比例的业主表决通过。业主大会决定利用共有部分开展经营活动的，可以授权业主委员会或者</w:t>
      </w:r>
      <w:r>
        <w:rPr>
          <w:rFonts w:hint="eastAsia" w:ascii="Times New Roman" w:hAnsi="Times New Roman" w:eastAsia="方正仿宋_GBK" w:cs="方正仿宋_GBK"/>
          <w:snapToGrid w:val="0"/>
          <w:color w:val="auto"/>
          <w:spacing w:val="4"/>
          <w:kern w:val="0"/>
          <w:sz w:val="32"/>
          <w:szCs w:val="32"/>
          <w:highlight w:val="none"/>
          <w:lang w:val="en-US" w:eastAsia="zh-CN" w:bidi="ar-SA"/>
        </w:rPr>
        <w:t>物业自管小组</w:t>
      </w:r>
      <w:r>
        <w:rPr>
          <w:rFonts w:hint="default" w:ascii="Times New Roman" w:hAnsi="Times New Roman" w:eastAsia="方正仿宋_GBK" w:cs="方正仿宋_GBK"/>
          <w:snapToGrid w:val="0"/>
          <w:color w:val="auto"/>
          <w:spacing w:val="4"/>
          <w:kern w:val="0"/>
          <w:sz w:val="32"/>
          <w:szCs w:val="32"/>
          <w:highlight w:val="none"/>
          <w:lang w:val="en-US" w:eastAsia="en-US" w:bidi="ar-SA"/>
        </w:rPr>
        <w:t>经营管理，也可以以合同方式委托物业服务人经营管理。委托物业服务人经营的，委托经营期限原则上不得超过物业服务合同中约定的合同期限；业主大会授权业主委员会或者</w:t>
      </w:r>
      <w:r>
        <w:rPr>
          <w:rFonts w:hint="eastAsia" w:ascii="Times New Roman" w:hAnsi="Times New Roman" w:eastAsia="方正仿宋_GBK" w:cs="方正仿宋_GBK"/>
          <w:snapToGrid w:val="0"/>
          <w:color w:val="auto"/>
          <w:spacing w:val="4"/>
          <w:kern w:val="0"/>
          <w:sz w:val="32"/>
          <w:szCs w:val="32"/>
          <w:highlight w:val="none"/>
          <w:lang w:val="en-US" w:eastAsia="zh-CN" w:bidi="ar-SA"/>
        </w:rPr>
        <w:t>物业自管小组</w:t>
      </w:r>
      <w:r>
        <w:rPr>
          <w:rFonts w:hint="default" w:ascii="Times New Roman" w:hAnsi="Times New Roman" w:eastAsia="方正仿宋_GBK" w:cs="方正仿宋_GBK"/>
          <w:snapToGrid w:val="0"/>
          <w:color w:val="auto"/>
          <w:spacing w:val="4"/>
          <w:kern w:val="0"/>
          <w:sz w:val="32"/>
          <w:szCs w:val="32"/>
          <w:highlight w:val="none"/>
          <w:lang w:val="en-US" w:eastAsia="en-US" w:bidi="ar-SA"/>
        </w:rPr>
        <w:t>经营的，授权经营期限原则上不得超过业主委员会或者</w:t>
      </w:r>
      <w:r>
        <w:rPr>
          <w:rFonts w:hint="eastAsia" w:ascii="Times New Roman" w:hAnsi="Times New Roman" w:eastAsia="方正仿宋_GBK" w:cs="方正仿宋_GBK"/>
          <w:snapToGrid w:val="0"/>
          <w:color w:val="auto"/>
          <w:spacing w:val="4"/>
          <w:kern w:val="0"/>
          <w:sz w:val="32"/>
          <w:szCs w:val="32"/>
          <w:highlight w:val="none"/>
          <w:lang w:val="en-US" w:eastAsia="zh-CN" w:bidi="ar-SA"/>
        </w:rPr>
        <w:t>物业自管小组</w:t>
      </w:r>
      <w:r>
        <w:rPr>
          <w:rFonts w:hint="default" w:ascii="Times New Roman" w:hAnsi="Times New Roman" w:eastAsia="方正仿宋_GBK" w:cs="方正仿宋_GBK"/>
          <w:snapToGrid w:val="0"/>
          <w:color w:val="auto"/>
          <w:spacing w:val="4"/>
          <w:kern w:val="0"/>
          <w:sz w:val="32"/>
          <w:szCs w:val="32"/>
          <w:highlight w:val="none"/>
          <w:lang w:val="en-US" w:eastAsia="en-US" w:bidi="ar-SA"/>
        </w:rPr>
        <w:t>任期。</w:t>
      </w:r>
    </w:p>
    <w:p w14:paraId="50CB24F8">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1"/>
        <w:jc w:val="both"/>
        <w:textAlignment w:val="auto"/>
        <w:rPr>
          <w:rFonts w:hint="default" w:ascii="Times New Roman" w:hAnsi="Times New Roman" w:eastAsia="方正仿宋_GBK" w:cs="方正仿宋_GBK"/>
          <w:snapToGrid w:val="0"/>
          <w:color w:val="auto"/>
          <w:spacing w:val="4"/>
          <w:kern w:val="0"/>
          <w:sz w:val="32"/>
          <w:szCs w:val="32"/>
          <w:highlight w:val="none"/>
          <w:lang w:val="en-US" w:eastAsia="en-US" w:bidi="ar-SA"/>
        </w:rPr>
      </w:pPr>
      <w:r>
        <w:rPr>
          <w:rFonts w:hint="default" w:ascii="Times New Roman" w:hAnsi="Times New Roman" w:eastAsia="方正仿宋_GBK" w:cs="方正仿宋_GBK"/>
          <w:snapToGrid w:val="0"/>
          <w:color w:val="auto"/>
          <w:spacing w:val="4"/>
          <w:kern w:val="0"/>
          <w:sz w:val="32"/>
          <w:szCs w:val="32"/>
          <w:highlight w:val="none"/>
          <w:lang w:val="en-US" w:eastAsia="en-US" w:bidi="ar-SA"/>
        </w:rPr>
        <w:t>委托物业服务人经营管理的，物业服务合同（包括前期物业服务合同）内容应当包括共有部分经营管理事项，明确获取收益范围、管理方式、分配比例、账目公布、财务审计、使用范围和使用限额等内容。</w:t>
      </w:r>
    </w:p>
    <w:p w14:paraId="3478D710">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jc w:val="left"/>
        <w:textAlignment w:val="auto"/>
        <w:rPr>
          <w:rFonts w:hint="default" w:ascii="Times New Roman" w:hAnsi="Times New Roman" w:eastAsia="仿宋_GB2312" w:cs="仿宋_GB2312"/>
          <w:i w:val="0"/>
          <w:iCs w:val="0"/>
          <w:caps w:val="0"/>
          <w:color w:val="auto"/>
          <w:spacing w:val="0"/>
          <w:sz w:val="32"/>
          <w:szCs w:val="32"/>
          <w:highlight w:val="none"/>
        </w:rPr>
      </w:pPr>
      <w:r>
        <w:rPr>
          <w:rFonts w:hint="eastAsia" w:ascii="Times New Roman" w:hAnsi="Times New Roman" w:eastAsia="方正楷体_GBK" w:cs="方正楷体_GBK"/>
          <w:b w:val="0"/>
          <w:bCs w:val="0"/>
          <w:color w:val="auto"/>
          <w:spacing w:val="32"/>
          <w:sz w:val="32"/>
          <w:szCs w:val="32"/>
          <w:highlight w:val="none"/>
          <w:lang w:eastAsia="zh-CN"/>
        </w:rPr>
        <w:t>（二）</w:t>
      </w:r>
      <w:r>
        <w:rPr>
          <w:rFonts w:hint="eastAsia" w:ascii="Times New Roman" w:hAnsi="Times New Roman" w:eastAsia="方正楷体_GBK" w:cs="方正楷体_GBK"/>
          <w:b w:val="0"/>
          <w:bCs w:val="0"/>
          <w:color w:val="auto"/>
          <w:spacing w:val="32"/>
          <w:sz w:val="32"/>
          <w:szCs w:val="32"/>
          <w:highlight w:val="none"/>
        </w:rPr>
        <w:t>账目管理</w:t>
      </w:r>
      <w:r>
        <w:rPr>
          <w:rFonts w:hint="eastAsia" w:ascii="Times New Roman" w:hAnsi="Times New Roman" w:eastAsia="方正楷体_GBK" w:cs="方正楷体_GBK"/>
          <w:b w:val="0"/>
          <w:bCs w:val="0"/>
          <w:color w:val="auto"/>
          <w:spacing w:val="32"/>
          <w:sz w:val="32"/>
          <w:szCs w:val="32"/>
          <w:highlight w:val="none"/>
          <w:lang w:eastAsia="zh-CN"/>
        </w:rPr>
        <w:t>。</w:t>
      </w:r>
      <w:r>
        <w:rPr>
          <w:rFonts w:hint="default" w:ascii="Times New Roman" w:hAnsi="Times New Roman" w:eastAsia="方正仿宋_GBK" w:cs="方正仿宋_GBK"/>
          <w:snapToGrid w:val="0"/>
          <w:color w:val="auto"/>
          <w:spacing w:val="4"/>
          <w:kern w:val="0"/>
          <w:sz w:val="32"/>
          <w:szCs w:val="32"/>
          <w:highlight w:val="none"/>
          <w:lang w:val="en-US" w:eastAsia="en-US" w:bidi="ar-SA"/>
        </w:rPr>
        <w:t>公共收益应当单独列账，一个物业</w:t>
      </w:r>
      <w:r>
        <w:rPr>
          <w:rFonts w:hint="eastAsia" w:ascii="Times New Roman" w:hAnsi="Times New Roman" w:eastAsia="方正仿宋_GBK" w:cs="方正仿宋_GBK"/>
          <w:snapToGrid w:val="0"/>
          <w:color w:val="auto"/>
          <w:spacing w:val="4"/>
          <w:kern w:val="0"/>
          <w:sz w:val="32"/>
          <w:szCs w:val="32"/>
          <w:highlight w:val="none"/>
          <w:lang w:val="en-US" w:eastAsia="zh-CN" w:bidi="ar-SA"/>
        </w:rPr>
        <w:t>管理</w:t>
      </w:r>
      <w:r>
        <w:rPr>
          <w:rFonts w:hint="default" w:ascii="Times New Roman" w:hAnsi="Times New Roman" w:eastAsia="方正仿宋_GBK" w:cs="方正仿宋_GBK"/>
          <w:snapToGrid w:val="0"/>
          <w:color w:val="auto"/>
          <w:spacing w:val="4"/>
          <w:kern w:val="0"/>
          <w:sz w:val="32"/>
          <w:szCs w:val="32"/>
          <w:highlight w:val="none"/>
          <w:lang w:val="en-US" w:eastAsia="en-US" w:bidi="ar-SA"/>
        </w:rPr>
        <w:t>区域设立一个业主大会公共收益账户。</w:t>
      </w:r>
    </w:p>
    <w:p w14:paraId="7E4E6205">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jc w:val="left"/>
        <w:textAlignment w:val="auto"/>
        <w:rPr>
          <w:rFonts w:hint="default" w:ascii="Times New Roman" w:hAnsi="Times New Roman" w:eastAsia="方正仿宋_GBK" w:cs="方正仿宋_GBK"/>
          <w:snapToGrid w:val="0"/>
          <w:color w:val="auto"/>
          <w:spacing w:val="4"/>
          <w:kern w:val="0"/>
          <w:sz w:val="32"/>
          <w:szCs w:val="32"/>
          <w:highlight w:val="none"/>
          <w:lang w:val="en-US" w:eastAsia="en-US" w:bidi="ar-SA"/>
        </w:rPr>
      </w:pPr>
      <w:r>
        <w:rPr>
          <w:rFonts w:hint="default" w:ascii="Times New Roman" w:hAnsi="Times New Roman" w:eastAsia="方正仿宋_GBK" w:cs="方正仿宋_GBK"/>
          <w:snapToGrid w:val="0"/>
          <w:color w:val="auto"/>
          <w:spacing w:val="4"/>
          <w:kern w:val="0"/>
          <w:sz w:val="32"/>
          <w:szCs w:val="32"/>
          <w:highlight w:val="none"/>
          <w:lang w:val="en-US" w:eastAsia="en-US" w:bidi="ar-SA"/>
        </w:rPr>
        <w:t>业主大会成立前且临时管理规约、前期物业服务合同约定或者依法征求业主意见同意由物业服务人代为经营、管理小区公共收益的，物业服务人应当以物业管理区域为单位开设小区公共收益专用账户，不得将公共收益与企业其他收支合用一个账户，账户名称应当为</w:t>
      </w:r>
      <w:r>
        <w:rPr>
          <w:rFonts w:hint="eastAsia" w:ascii="Times New Roman" w:hAnsi="Times New Roman" w:eastAsia="方正仿宋_GBK" w:cs="方正仿宋_GBK"/>
          <w:snapToGrid w:val="0"/>
          <w:color w:val="auto"/>
          <w:spacing w:val="4"/>
          <w:kern w:val="0"/>
          <w:sz w:val="32"/>
          <w:szCs w:val="32"/>
          <w:highlight w:val="none"/>
          <w:lang w:val="en-US" w:eastAsia="zh-CN" w:bidi="ar-SA"/>
        </w:rPr>
        <w:t>“</w:t>
      </w:r>
      <w:r>
        <w:rPr>
          <w:rFonts w:hint="default" w:ascii="Times New Roman" w:hAnsi="Times New Roman" w:eastAsia="方正仿宋_GBK" w:cs="方正仿宋_GBK"/>
          <w:snapToGrid w:val="0"/>
          <w:color w:val="auto"/>
          <w:spacing w:val="4"/>
          <w:kern w:val="0"/>
          <w:sz w:val="32"/>
          <w:szCs w:val="32"/>
          <w:highlight w:val="none"/>
          <w:lang w:val="en-US" w:eastAsia="en-US" w:bidi="ar-SA"/>
        </w:rPr>
        <w:t>**</w:t>
      </w:r>
      <w:r>
        <w:rPr>
          <w:rFonts w:hint="eastAsia" w:ascii="Times New Roman" w:hAnsi="Times New Roman" w:eastAsia="方正仿宋_GBK" w:cs="方正仿宋_GBK"/>
          <w:snapToGrid w:val="0"/>
          <w:color w:val="auto"/>
          <w:spacing w:val="4"/>
          <w:kern w:val="0"/>
          <w:sz w:val="32"/>
          <w:szCs w:val="32"/>
          <w:highlight w:val="none"/>
          <w:lang w:val="en-US" w:eastAsia="zh-CN" w:bidi="ar-SA"/>
        </w:rPr>
        <w:t>小区</w:t>
      </w:r>
      <w:r>
        <w:rPr>
          <w:rFonts w:hint="default" w:ascii="Times New Roman" w:hAnsi="Times New Roman" w:eastAsia="方正仿宋_GBK" w:cs="方正仿宋_GBK"/>
          <w:snapToGrid w:val="0"/>
          <w:color w:val="auto"/>
          <w:spacing w:val="4"/>
          <w:kern w:val="0"/>
          <w:sz w:val="32"/>
          <w:szCs w:val="32"/>
          <w:highlight w:val="none"/>
          <w:lang w:val="en-US" w:eastAsia="en-US" w:bidi="ar-SA"/>
        </w:rPr>
        <w:t>公共收益专户</w:t>
      </w:r>
      <w:r>
        <w:rPr>
          <w:rFonts w:hint="eastAsia" w:ascii="Times New Roman" w:hAnsi="Times New Roman" w:eastAsia="方正仿宋_GBK" w:cs="方正仿宋_GBK"/>
          <w:snapToGrid w:val="0"/>
          <w:color w:val="auto"/>
          <w:spacing w:val="4"/>
          <w:kern w:val="0"/>
          <w:sz w:val="32"/>
          <w:szCs w:val="32"/>
          <w:highlight w:val="none"/>
          <w:lang w:val="en-US" w:eastAsia="zh-CN" w:bidi="ar-SA"/>
        </w:rPr>
        <w:t>”</w:t>
      </w:r>
      <w:r>
        <w:rPr>
          <w:rFonts w:hint="default" w:ascii="Times New Roman" w:hAnsi="Times New Roman" w:eastAsia="方正仿宋_GBK" w:cs="方正仿宋_GBK"/>
          <w:snapToGrid w:val="0"/>
          <w:color w:val="auto"/>
          <w:spacing w:val="4"/>
          <w:kern w:val="0"/>
          <w:sz w:val="32"/>
          <w:szCs w:val="32"/>
          <w:highlight w:val="none"/>
          <w:lang w:val="en-US" w:eastAsia="en-US" w:bidi="ar-SA"/>
        </w:rPr>
        <w:t>。</w:t>
      </w:r>
    </w:p>
    <w:p w14:paraId="7845C66A">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jc w:val="left"/>
        <w:textAlignment w:val="auto"/>
        <w:rPr>
          <w:rFonts w:hint="default" w:ascii="Times New Roman" w:hAnsi="Times New Roman" w:eastAsia="方正仿宋_GBK" w:cs="方正仿宋_GBK"/>
          <w:snapToGrid w:val="0"/>
          <w:color w:val="auto"/>
          <w:spacing w:val="4"/>
          <w:kern w:val="0"/>
          <w:sz w:val="32"/>
          <w:szCs w:val="32"/>
          <w:highlight w:val="none"/>
          <w:lang w:val="en-US" w:eastAsia="en-US" w:bidi="ar-SA"/>
        </w:rPr>
      </w:pPr>
      <w:r>
        <w:rPr>
          <w:rFonts w:hint="default" w:ascii="Times New Roman" w:hAnsi="Times New Roman" w:eastAsia="方正仿宋_GBK" w:cs="方正仿宋_GBK"/>
          <w:snapToGrid w:val="0"/>
          <w:color w:val="auto"/>
          <w:spacing w:val="4"/>
          <w:kern w:val="0"/>
          <w:sz w:val="32"/>
          <w:szCs w:val="32"/>
          <w:highlight w:val="none"/>
          <w:lang w:val="en-US" w:eastAsia="en-US" w:bidi="ar-SA"/>
        </w:rPr>
        <w:t>业主大会成立后，业主委员会应当持业主大会备案通知书或者成立证明、以业主大会名义向银行金融机构申请公共收益账户，账户名称应当与业主大会备案通知书或者成立证明记载的名称保持一致。不得以任何个人、其他单位或者组织名义开设公共收益专户。业主大会公共收益账户由业主委员会管理；业主大会决定委托其他主体管理的，从其决定。</w:t>
      </w:r>
    </w:p>
    <w:p w14:paraId="4E74F965">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jc w:val="left"/>
        <w:textAlignment w:val="auto"/>
        <w:rPr>
          <w:rFonts w:hint="default" w:ascii="Times New Roman" w:hAnsi="Times New Roman" w:eastAsia="方正仿宋_GBK" w:cs="方正仿宋_GBK"/>
          <w:snapToGrid w:val="0"/>
          <w:color w:val="auto"/>
          <w:spacing w:val="4"/>
          <w:kern w:val="0"/>
          <w:sz w:val="32"/>
          <w:szCs w:val="32"/>
          <w:highlight w:val="none"/>
          <w:lang w:val="en-US" w:eastAsia="en-US" w:bidi="ar-SA"/>
        </w:rPr>
      </w:pPr>
      <w:r>
        <w:rPr>
          <w:rFonts w:hint="default" w:ascii="Times New Roman" w:hAnsi="Times New Roman" w:eastAsia="方正仿宋_GBK" w:cs="方正仿宋_GBK"/>
          <w:snapToGrid w:val="0"/>
          <w:color w:val="auto"/>
          <w:spacing w:val="4"/>
          <w:kern w:val="0"/>
          <w:sz w:val="32"/>
          <w:szCs w:val="32"/>
          <w:highlight w:val="none"/>
          <w:lang w:val="en-US" w:eastAsia="en-US" w:bidi="ar-SA"/>
        </w:rPr>
        <w:t>未开设公共收益专用账户的，物业服务人或业主委员会应当及时申请补建专户；以业主委员会名义申请设立的，应当及时申请重设账户并将公共收益资金转入业主大会公共收益账户。</w:t>
      </w:r>
    </w:p>
    <w:p w14:paraId="72FA347E">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jc w:val="left"/>
        <w:textAlignment w:val="auto"/>
        <w:rPr>
          <w:rFonts w:hint="eastAsia" w:ascii="Times New Roman" w:hAnsi="Times New Roman" w:eastAsia="仿宋_GB2312" w:cs="仿宋_GB2312"/>
          <w:b w:val="0"/>
          <w:bCs w:val="0"/>
          <w:i w:val="0"/>
          <w:iCs w:val="0"/>
          <w:caps w:val="0"/>
          <w:color w:val="auto"/>
          <w:spacing w:val="0"/>
          <w:sz w:val="32"/>
          <w:szCs w:val="32"/>
          <w:highlight w:val="none"/>
          <w:lang w:val="en-US" w:eastAsia="zh-CN"/>
        </w:rPr>
      </w:pPr>
      <w:r>
        <w:rPr>
          <w:rFonts w:hint="default" w:ascii="Times New Roman" w:hAnsi="Times New Roman" w:eastAsia="方正仿宋_GBK" w:cs="方正仿宋_GBK"/>
          <w:snapToGrid w:val="0"/>
          <w:color w:val="auto"/>
          <w:spacing w:val="4"/>
          <w:kern w:val="0"/>
          <w:sz w:val="32"/>
          <w:szCs w:val="32"/>
          <w:highlight w:val="none"/>
          <w:lang w:val="en-US" w:eastAsia="en-US" w:bidi="ar-SA"/>
        </w:rPr>
        <w:t>公共收益经营管理主体应当按照会计制度相关规定对住宅小区公共支出事项进行审核、支付、记账，根据实际发生的公共收益经济业务事项进行会计核算，编制财务会计报告，</w:t>
      </w:r>
      <w:r>
        <w:rPr>
          <w:rFonts w:hint="eastAsia" w:ascii="Times New Roman" w:hAnsi="Times New Roman" w:eastAsia="方正仿宋_GBK" w:cs="方正仿宋_GBK"/>
          <w:snapToGrid w:val="0"/>
          <w:color w:val="auto"/>
          <w:spacing w:val="4"/>
          <w:kern w:val="0"/>
          <w:sz w:val="32"/>
          <w:szCs w:val="32"/>
          <w:highlight w:val="none"/>
          <w:lang w:val="en-US" w:eastAsia="zh-CN" w:bidi="ar-SA"/>
        </w:rPr>
        <w:t>每半年</w:t>
      </w:r>
      <w:r>
        <w:rPr>
          <w:rFonts w:hint="default" w:ascii="Times New Roman" w:hAnsi="Times New Roman" w:eastAsia="方正仿宋_GBK" w:cs="方正仿宋_GBK"/>
          <w:snapToGrid w:val="0"/>
          <w:color w:val="auto"/>
          <w:spacing w:val="4"/>
          <w:kern w:val="0"/>
          <w:sz w:val="32"/>
          <w:szCs w:val="32"/>
          <w:highlight w:val="none"/>
          <w:lang w:val="en-US" w:eastAsia="en-US" w:bidi="ar-SA"/>
        </w:rPr>
        <w:t>定期向全体业主公示。鼓励委托第三方代理会计机构实施公共收益的代理会计业务。</w:t>
      </w:r>
    </w:p>
    <w:p w14:paraId="7CCFF7D1">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exact"/>
        <w:ind w:right="87" w:rightChars="0" w:firstLine="639" w:firstLineChars="0"/>
        <w:textAlignment w:val="baseline"/>
        <w:rPr>
          <w:rFonts w:hint="eastAsia" w:ascii="Times New Roman" w:hAnsi="Times New Roman" w:eastAsia="方正仿宋_GBK" w:cs="方正仿宋_GBK"/>
          <w:color w:val="auto"/>
          <w:sz w:val="32"/>
          <w:szCs w:val="32"/>
          <w:highlight w:val="none"/>
          <w:lang w:eastAsia="zh-CN"/>
        </w:rPr>
      </w:pPr>
      <w:r>
        <w:rPr>
          <w:rFonts w:hint="eastAsia" w:ascii="Times New Roman" w:hAnsi="Times New Roman" w:eastAsia="方正楷体_GBK" w:cs="方正楷体_GBK"/>
          <w:b w:val="0"/>
          <w:bCs w:val="0"/>
          <w:snapToGrid w:val="0"/>
          <w:color w:val="auto"/>
          <w:kern w:val="0"/>
          <w:sz w:val="32"/>
          <w:szCs w:val="32"/>
          <w:highlight w:val="none"/>
          <w:lang w:val="en-US" w:eastAsia="zh-CN" w:bidi="ar-SA"/>
        </w:rPr>
        <w:t>（三）</w:t>
      </w:r>
      <w:r>
        <w:rPr>
          <w:rFonts w:hint="eastAsia" w:ascii="Times New Roman" w:hAnsi="Times New Roman" w:eastAsia="方正楷体_GBK" w:cs="方正楷体_GBK"/>
          <w:b w:val="0"/>
          <w:bCs w:val="0"/>
          <w:color w:val="auto"/>
          <w:spacing w:val="30"/>
          <w:sz w:val="32"/>
          <w:szCs w:val="32"/>
          <w:highlight w:val="none"/>
          <w:lang w:val="en-US" w:eastAsia="zh-CN"/>
        </w:rPr>
        <w:t>直接交存</w:t>
      </w:r>
      <w:r>
        <w:rPr>
          <w:rFonts w:hint="eastAsia" w:ascii="Times New Roman" w:hAnsi="Times New Roman" w:eastAsia="方正楷体_GBK" w:cs="方正楷体_GBK"/>
          <w:b w:val="0"/>
          <w:bCs w:val="0"/>
          <w:color w:val="auto"/>
          <w:spacing w:val="30"/>
          <w:sz w:val="32"/>
          <w:szCs w:val="32"/>
          <w:highlight w:val="none"/>
          <w:lang w:eastAsia="zh-CN"/>
        </w:rPr>
        <w:t>。</w:t>
      </w:r>
      <w:r>
        <w:rPr>
          <w:rFonts w:hint="eastAsia" w:ascii="Times New Roman" w:hAnsi="Times New Roman" w:eastAsia="方正仿宋_GBK" w:cs="方正仿宋_GBK"/>
          <w:snapToGrid w:val="0"/>
          <w:color w:val="auto"/>
          <w:spacing w:val="4"/>
          <w:kern w:val="0"/>
          <w:sz w:val="32"/>
          <w:szCs w:val="32"/>
          <w:highlight w:val="none"/>
          <w:lang w:val="en-US" w:eastAsia="zh-CN" w:bidi="ar-SA"/>
        </w:rPr>
        <w:t>业主大会成立前或未设立业主大会的小区，在物业所在地街道办事处、镇人民政府以及居（村）民委员会的指导下</w:t>
      </w:r>
      <w:r>
        <w:rPr>
          <w:rFonts w:hint="default" w:ascii="Times New Roman" w:hAnsi="Times New Roman" w:eastAsia="方正仿宋_GBK" w:cs="方正仿宋_GBK"/>
          <w:snapToGrid w:val="0"/>
          <w:color w:val="auto"/>
          <w:spacing w:val="4"/>
          <w:kern w:val="0"/>
          <w:sz w:val="32"/>
          <w:szCs w:val="32"/>
          <w:highlight w:val="none"/>
          <w:lang w:val="en-US" w:eastAsia="zh-CN" w:bidi="ar-SA"/>
        </w:rPr>
        <w:t>公共收益经营管理主体</w:t>
      </w:r>
      <w:r>
        <w:rPr>
          <w:rFonts w:hint="eastAsia" w:ascii="Times New Roman" w:hAnsi="Times New Roman" w:eastAsia="方正仿宋_GBK" w:cs="方正仿宋_GBK"/>
          <w:snapToGrid w:val="0"/>
          <w:color w:val="auto"/>
          <w:spacing w:val="4"/>
          <w:kern w:val="0"/>
          <w:sz w:val="32"/>
          <w:szCs w:val="32"/>
          <w:highlight w:val="none"/>
          <w:lang w:val="en-US" w:eastAsia="zh-CN" w:bidi="ar-SA"/>
        </w:rPr>
        <w:t>将公共收益按年度存入所在小区物业专项维修资金账户。</w:t>
      </w:r>
    </w:p>
    <w:p w14:paraId="1FA455DE">
      <w:pPr>
        <w:keepNext w:val="0"/>
        <w:keepLines w:val="0"/>
        <w:pageBreakBefore w:val="0"/>
        <w:widowControl/>
        <w:kinsoku w:val="0"/>
        <w:wordWrap/>
        <w:overflowPunct/>
        <w:topLinePunct w:val="0"/>
        <w:autoSpaceDE w:val="0"/>
        <w:autoSpaceDN w:val="0"/>
        <w:bidi w:val="0"/>
        <w:adjustRightInd w:val="0"/>
        <w:snapToGrid w:val="0"/>
        <w:spacing w:line="560" w:lineRule="exact"/>
        <w:ind w:firstLine="707" w:firstLineChars="200"/>
        <w:textAlignment w:val="baseline"/>
        <w:rPr>
          <w:rFonts w:hint="eastAsia" w:ascii="Times New Roman" w:hAnsi="Times New Roman" w:eastAsia="方正仿宋_GBK" w:cs="方正仿宋_GBK"/>
          <w:snapToGrid w:val="0"/>
          <w:color w:val="auto"/>
          <w:spacing w:val="4"/>
          <w:kern w:val="0"/>
          <w:sz w:val="32"/>
          <w:szCs w:val="32"/>
          <w:highlight w:val="none"/>
          <w:lang w:val="en-US" w:eastAsia="zh-CN" w:bidi="ar-SA"/>
        </w:rPr>
      </w:pPr>
      <w:r>
        <w:rPr>
          <w:rFonts w:hint="eastAsia" w:ascii="Times New Roman" w:hAnsi="Times New Roman" w:eastAsia="方正仿宋_GBK" w:cs="方正仿宋_GBK"/>
          <w:b/>
          <w:bCs/>
          <w:color w:val="auto"/>
          <w:spacing w:val="16"/>
          <w:sz w:val="32"/>
          <w:szCs w:val="32"/>
          <w:highlight w:val="none"/>
          <w:lang w:val="en-US" w:eastAsia="zh-CN"/>
        </w:rPr>
        <w:t>1.交存范围。</w:t>
      </w:r>
      <w:r>
        <w:rPr>
          <w:rFonts w:hint="eastAsia" w:ascii="Times New Roman" w:hAnsi="Times New Roman" w:eastAsia="方正仿宋_GBK" w:cs="方正仿宋_GBK"/>
          <w:snapToGrid w:val="0"/>
          <w:color w:val="auto"/>
          <w:spacing w:val="4"/>
          <w:kern w:val="0"/>
          <w:sz w:val="32"/>
          <w:szCs w:val="32"/>
          <w:highlight w:val="none"/>
          <w:lang w:val="en-US" w:eastAsia="zh-CN" w:bidi="ar-SA"/>
        </w:rPr>
        <w:t>物业服务合同、管理规约、业主大会对公共收益的用途和分配方案等有约定或决定的，按照约定或决定执行；未约定或决定的</w:t>
      </w:r>
      <w:r>
        <w:rPr>
          <w:rFonts w:hint="eastAsia" w:ascii="Times New Roman" w:hAnsi="Times New Roman" w:eastAsia="方正仿宋_GBK" w:cs="方正仿宋_GBK"/>
          <w:color w:val="auto"/>
          <w:spacing w:val="4"/>
          <w:sz w:val="32"/>
          <w:szCs w:val="32"/>
          <w:highlight w:val="none"/>
          <w:lang w:eastAsia="zh-CN"/>
        </w:rPr>
        <w:t>：</w:t>
      </w:r>
      <w:r>
        <w:rPr>
          <w:rFonts w:hint="eastAsia" w:ascii="Times New Roman" w:hAnsi="Times New Roman" w:eastAsia="方正仿宋_GBK" w:cs="方正仿宋_GBK"/>
          <w:b/>
          <w:bCs/>
          <w:color w:val="auto"/>
          <w:spacing w:val="18"/>
          <w:sz w:val="32"/>
          <w:szCs w:val="32"/>
          <w:highlight w:val="none"/>
        </w:rPr>
        <w:t>2020年4月30日前</w:t>
      </w:r>
      <w:r>
        <w:rPr>
          <w:rFonts w:hint="eastAsia" w:ascii="Times New Roman" w:hAnsi="Times New Roman" w:eastAsia="方正仿宋_GBK" w:cs="方正仿宋_GBK"/>
          <w:b/>
          <w:bCs/>
          <w:color w:val="auto"/>
          <w:spacing w:val="18"/>
          <w:sz w:val="32"/>
          <w:szCs w:val="32"/>
          <w:highlight w:val="none"/>
          <w:lang w:val="en-US" w:eastAsia="zh-CN"/>
        </w:rPr>
        <w:t>的</w:t>
      </w:r>
      <w:r>
        <w:rPr>
          <w:rFonts w:hint="eastAsia" w:ascii="Times New Roman" w:hAnsi="Times New Roman" w:eastAsia="方正仿宋_GBK" w:cs="方正仿宋_GBK"/>
          <w:b/>
          <w:bCs/>
          <w:color w:val="auto"/>
          <w:spacing w:val="16"/>
          <w:sz w:val="32"/>
          <w:szCs w:val="32"/>
          <w:highlight w:val="none"/>
        </w:rPr>
        <w:t>公共收</w:t>
      </w:r>
      <w:r>
        <w:rPr>
          <w:rFonts w:hint="eastAsia" w:ascii="Times New Roman" w:hAnsi="Times New Roman" w:eastAsia="方正仿宋_GBK" w:cs="方正仿宋_GBK"/>
          <w:b/>
          <w:bCs/>
          <w:color w:val="auto"/>
          <w:spacing w:val="4"/>
          <w:sz w:val="32"/>
          <w:szCs w:val="32"/>
          <w:highlight w:val="none"/>
        </w:rPr>
        <w:t>益</w:t>
      </w:r>
      <w:r>
        <w:rPr>
          <w:rFonts w:hint="eastAsia" w:ascii="Times New Roman" w:hAnsi="Times New Roman" w:eastAsia="方正仿宋_GBK" w:cs="方正仿宋_GBK"/>
          <w:b/>
          <w:bCs/>
          <w:color w:val="auto"/>
          <w:spacing w:val="4"/>
          <w:sz w:val="32"/>
          <w:szCs w:val="32"/>
          <w:highlight w:val="none"/>
          <w:lang w:eastAsia="zh-CN"/>
        </w:rPr>
        <w:t>，</w:t>
      </w:r>
      <w:r>
        <w:rPr>
          <w:rFonts w:hint="eastAsia" w:ascii="Times New Roman" w:hAnsi="Times New Roman" w:eastAsia="方正仿宋_GBK" w:cs="方正仿宋_GBK"/>
          <w:snapToGrid w:val="0"/>
          <w:color w:val="auto"/>
          <w:spacing w:val="4"/>
          <w:kern w:val="0"/>
          <w:sz w:val="32"/>
          <w:szCs w:val="32"/>
          <w:highlight w:val="none"/>
          <w:lang w:val="en-US" w:eastAsia="zh-CN" w:bidi="ar-SA"/>
        </w:rPr>
        <w:t>在扣除合理成本和管理服务费用后，剩余的公共收益全部交存至所在小区的物业专项维修资金账户；</w:t>
      </w:r>
      <w:r>
        <w:rPr>
          <w:rFonts w:hint="eastAsia" w:ascii="Times New Roman" w:hAnsi="Times New Roman" w:eastAsia="方正仿宋_GBK" w:cs="方正仿宋_GBK"/>
          <w:b/>
          <w:bCs/>
          <w:color w:val="auto"/>
          <w:spacing w:val="16"/>
          <w:sz w:val="32"/>
          <w:szCs w:val="32"/>
          <w:highlight w:val="none"/>
          <w:lang w:val="en-US" w:eastAsia="zh-CN"/>
        </w:rPr>
        <w:t>2020年5月1日之后的公共收益，</w:t>
      </w:r>
      <w:r>
        <w:rPr>
          <w:rFonts w:hint="eastAsia" w:ascii="Times New Roman" w:hAnsi="Times New Roman" w:eastAsia="方正仿宋_GBK" w:cs="方正仿宋_GBK"/>
          <w:snapToGrid w:val="0"/>
          <w:color w:val="auto"/>
          <w:spacing w:val="4"/>
          <w:kern w:val="0"/>
          <w:sz w:val="32"/>
          <w:szCs w:val="32"/>
          <w:highlight w:val="none"/>
          <w:lang w:val="en-US" w:eastAsia="zh-CN" w:bidi="ar-SA"/>
        </w:rPr>
        <w:t>物业服务企业可在公共收入扣除合理成本后的收益中提取不超过百分之三十的管理服务费用，剩余的收益归业主所有，全部交存至物业专项维修资金账户。</w:t>
      </w:r>
    </w:p>
    <w:p w14:paraId="23E53865">
      <w:pPr>
        <w:keepNext w:val="0"/>
        <w:keepLines w:val="0"/>
        <w:pageBreakBefore w:val="0"/>
        <w:widowControl/>
        <w:kinsoku w:val="0"/>
        <w:wordWrap/>
        <w:overflowPunct/>
        <w:topLinePunct w:val="0"/>
        <w:autoSpaceDE w:val="0"/>
        <w:autoSpaceDN w:val="0"/>
        <w:bidi w:val="0"/>
        <w:adjustRightInd w:val="0"/>
        <w:snapToGrid w:val="0"/>
        <w:spacing w:line="560" w:lineRule="exact"/>
        <w:ind w:right="10" w:firstLine="770"/>
        <w:textAlignment w:val="baseline"/>
        <w:rPr>
          <w:rFonts w:hint="eastAsia" w:ascii="Times New Roman" w:hAnsi="Times New Roman" w:eastAsia="方正仿宋_GBK" w:cs="方正仿宋_GBK"/>
          <w:color w:val="auto"/>
          <w:spacing w:val="15"/>
          <w:sz w:val="32"/>
          <w:szCs w:val="32"/>
          <w:highlight w:val="none"/>
          <w:lang w:eastAsia="zh-CN"/>
        </w:rPr>
      </w:pPr>
      <w:r>
        <w:rPr>
          <w:rFonts w:hint="eastAsia" w:ascii="Times New Roman" w:hAnsi="Times New Roman" w:eastAsia="方正仿宋_GBK" w:cs="方正仿宋_GBK"/>
          <w:b/>
          <w:bCs/>
          <w:color w:val="auto"/>
          <w:spacing w:val="16"/>
          <w:sz w:val="32"/>
          <w:szCs w:val="32"/>
          <w:highlight w:val="none"/>
          <w:lang w:val="en-US" w:eastAsia="zh-CN"/>
        </w:rPr>
        <w:t>2.交存主体。</w:t>
      </w:r>
      <w:r>
        <w:rPr>
          <w:rFonts w:hint="default" w:ascii="Times New Roman" w:hAnsi="Times New Roman" w:eastAsia="方正仿宋_GBK" w:cs="方正仿宋_GBK"/>
          <w:color w:val="auto"/>
          <w:spacing w:val="3"/>
          <w:sz w:val="32"/>
          <w:szCs w:val="32"/>
          <w:highlight w:val="none"/>
          <w:lang w:val="en-US" w:eastAsia="en-US"/>
        </w:rPr>
        <w:t>公共收益经营管理主体</w:t>
      </w:r>
      <w:r>
        <w:rPr>
          <w:rFonts w:hint="eastAsia" w:ascii="Times New Roman" w:hAnsi="Times New Roman" w:eastAsia="方正仿宋_GBK" w:cs="方正仿宋_GBK"/>
          <w:snapToGrid w:val="0"/>
          <w:color w:val="auto"/>
          <w:spacing w:val="4"/>
          <w:kern w:val="0"/>
          <w:sz w:val="32"/>
          <w:szCs w:val="32"/>
          <w:highlight w:val="none"/>
          <w:lang w:val="en-US" w:eastAsia="zh-CN" w:bidi="ar-SA"/>
        </w:rPr>
        <w:t>作为</w:t>
      </w:r>
      <w:r>
        <w:rPr>
          <w:rFonts w:hint="eastAsia" w:ascii="Times New Roman" w:hAnsi="Times New Roman" w:eastAsia="方正仿宋_GBK" w:cs="方正仿宋_GBK"/>
          <w:color w:val="auto"/>
          <w:spacing w:val="3"/>
          <w:sz w:val="32"/>
          <w:szCs w:val="32"/>
          <w:highlight w:val="none"/>
          <w:lang w:val="en-US" w:eastAsia="zh-CN"/>
        </w:rPr>
        <w:t>交存主体，向</w:t>
      </w:r>
      <w:r>
        <w:rPr>
          <w:rFonts w:hint="eastAsia" w:ascii="Times New Roman" w:hAnsi="Times New Roman" w:eastAsia="方正仿宋_GBK" w:cs="方正仿宋_GBK"/>
          <w:color w:val="auto"/>
          <w:spacing w:val="4"/>
          <w:sz w:val="32"/>
          <w:szCs w:val="32"/>
          <w:highlight w:val="none"/>
          <w:lang w:eastAsia="zh-CN"/>
        </w:rPr>
        <w:t>县住房保障事务中心</w:t>
      </w:r>
      <w:r>
        <w:rPr>
          <w:rFonts w:hint="eastAsia" w:ascii="Times New Roman" w:hAnsi="Times New Roman" w:eastAsia="方正仿宋_GBK" w:cs="方正仿宋_GBK"/>
          <w:color w:val="auto"/>
          <w:spacing w:val="4"/>
          <w:sz w:val="32"/>
          <w:szCs w:val="32"/>
          <w:highlight w:val="none"/>
          <w:lang w:val="en-US" w:eastAsia="zh-CN"/>
        </w:rPr>
        <w:t>申请，</w:t>
      </w:r>
      <w:r>
        <w:rPr>
          <w:rFonts w:hint="eastAsia" w:ascii="Times New Roman" w:hAnsi="Times New Roman" w:eastAsia="方正仿宋_GBK" w:cs="方正仿宋_GBK"/>
          <w:color w:val="auto"/>
          <w:spacing w:val="28"/>
          <w:sz w:val="32"/>
          <w:szCs w:val="32"/>
          <w:highlight w:val="none"/>
          <w:lang w:val="en-US" w:eastAsia="zh-CN"/>
        </w:rPr>
        <w:t>将</w:t>
      </w:r>
      <w:r>
        <w:rPr>
          <w:rFonts w:hint="eastAsia" w:ascii="Times New Roman" w:hAnsi="Times New Roman" w:eastAsia="方正仿宋_GBK" w:cs="方正仿宋_GBK"/>
          <w:color w:val="auto"/>
          <w:spacing w:val="28"/>
          <w:sz w:val="32"/>
          <w:szCs w:val="32"/>
          <w:highlight w:val="none"/>
        </w:rPr>
        <w:t>公共收益</w:t>
      </w:r>
      <w:r>
        <w:rPr>
          <w:rFonts w:hint="eastAsia" w:ascii="Times New Roman" w:hAnsi="Times New Roman" w:eastAsia="方正仿宋_GBK" w:cs="方正仿宋_GBK"/>
          <w:color w:val="auto"/>
          <w:spacing w:val="28"/>
          <w:sz w:val="32"/>
          <w:szCs w:val="32"/>
          <w:highlight w:val="none"/>
          <w:lang w:val="en-US" w:eastAsia="zh-CN"/>
        </w:rPr>
        <w:t>交存至</w:t>
      </w:r>
      <w:r>
        <w:rPr>
          <w:rFonts w:hint="eastAsia" w:ascii="Times New Roman" w:hAnsi="Times New Roman" w:eastAsia="方正仿宋_GBK" w:cs="方正仿宋_GBK"/>
          <w:color w:val="auto"/>
          <w:spacing w:val="4"/>
          <w:sz w:val="32"/>
          <w:szCs w:val="32"/>
          <w:highlight w:val="none"/>
          <w:lang w:val="en-US" w:eastAsia="zh-CN"/>
        </w:rPr>
        <w:t>所在小区开设的</w:t>
      </w:r>
      <w:r>
        <w:rPr>
          <w:rFonts w:hint="eastAsia" w:ascii="Times New Roman" w:hAnsi="Times New Roman" w:eastAsia="方正仿宋_GBK" w:cs="方正仿宋_GBK"/>
          <w:color w:val="auto"/>
          <w:spacing w:val="4"/>
          <w:sz w:val="32"/>
          <w:szCs w:val="32"/>
          <w:highlight w:val="none"/>
        </w:rPr>
        <w:t>物业专项维修资金账户</w:t>
      </w:r>
      <w:r>
        <w:rPr>
          <w:rFonts w:hint="eastAsia" w:ascii="Times New Roman" w:hAnsi="Times New Roman" w:eastAsia="方正仿宋_GBK" w:cs="方正仿宋_GBK"/>
          <w:color w:val="auto"/>
          <w:spacing w:val="4"/>
          <w:sz w:val="32"/>
          <w:szCs w:val="32"/>
          <w:highlight w:val="none"/>
          <w:lang w:eastAsia="zh-CN"/>
        </w:rPr>
        <w:t>。</w:t>
      </w:r>
    </w:p>
    <w:p w14:paraId="32A36405">
      <w:pPr>
        <w:keepNext w:val="0"/>
        <w:keepLines w:val="0"/>
        <w:pageBreakBefore w:val="0"/>
        <w:widowControl w:val="0"/>
        <w:kinsoku w:val="0"/>
        <w:wordWrap/>
        <w:overflowPunct/>
        <w:topLinePunct w:val="0"/>
        <w:autoSpaceDE w:val="0"/>
        <w:autoSpaceDN w:val="0"/>
        <w:bidi w:val="0"/>
        <w:adjustRightInd w:val="0"/>
        <w:snapToGrid w:val="0"/>
        <w:spacing w:line="560" w:lineRule="exact"/>
        <w:ind w:firstLine="707" w:firstLineChars="200"/>
        <w:textAlignment w:val="baseline"/>
        <w:rPr>
          <w:rFonts w:hint="eastAsia" w:ascii="Times New Roman" w:hAnsi="Times New Roman" w:eastAsia="方正仿宋_GBK" w:cs="方正仿宋_GBK"/>
          <w:b/>
          <w:bCs/>
          <w:color w:val="auto"/>
          <w:spacing w:val="16"/>
          <w:sz w:val="32"/>
          <w:szCs w:val="32"/>
          <w:highlight w:val="none"/>
          <w:lang w:val="en-US" w:eastAsia="zh-CN"/>
        </w:rPr>
      </w:pPr>
      <w:r>
        <w:rPr>
          <w:rFonts w:hint="eastAsia" w:ascii="Times New Roman" w:hAnsi="Times New Roman" w:eastAsia="方正仿宋_GBK" w:cs="方正仿宋_GBK"/>
          <w:b/>
          <w:bCs/>
          <w:color w:val="auto"/>
          <w:spacing w:val="16"/>
          <w:sz w:val="32"/>
          <w:szCs w:val="32"/>
          <w:highlight w:val="none"/>
          <w:lang w:val="en-US" w:eastAsia="zh-CN"/>
        </w:rPr>
        <w:t>3.交存时间。</w:t>
      </w:r>
      <w:r>
        <w:rPr>
          <w:rFonts w:hint="eastAsia" w:ascii="Times New Roman" w:hAnsi="Times New Roman" w:eastAsia="方正仿宋_GBK" w:cs="方正仿宋_GBK"/>
          <w:color w:val="auto"/>
          <w:spacing w:val="20"/>
          <w:sz w:val="32"/>
          <w:szCs w:val="32"/>
          <w:highlight w:val="none"/>
        </w:rPr>
        <w:t>当年产生的公共收益应于次年3月31日之前</w:t>
      </w:r>
      <w:r>
        <w:rPr>
          <w:rFonts w:hint="eastAsia" w:ascii="Times New Roman" w:hAnsi="Times New Roman" w:eastAsia="方正仿宋_GBK" w:cs="方正仿宋_GBK"/>
          <w:color w:val="auto"/>
          <w:spacing w:val="4"/>
          <w:sz w:val="32"/>
          <w:szCs w:val="32"/>
          <w:highlight w:val="none"/>
        </w:rPr>
        <w:t>完成交存。</w:t>
      </w:r>
    </w:p>
    <w:p w14:paraId="1100F6D0">
      <w:pPr>
        <w:keepNext w:val="0"/>
        <w:keepLines w:val="0"/>
        <w:pageBreakBefore w:val="0"/>
        <w:widowControl w:val="0"/>
        <w:kinsoku w:val="0"/>
        <w:wordWrap/>
        <w:overflowPunct/>
        <w:topLinePunct w:val="0"/>
        <w:autoSpaceDE w:val="0"/>
        <w:autoSpaceDN w:val="0"/>
        <w:bidi w:val="0"/>
        <w:adjustRightInd w:val="0"/>
        <w:snapToGrid w:val="0"/>
        <w:spacing w:line="560" w:lineRule="exact"/>
        <w:ind w:firstLine="707" w:firstLineChars="200"/>
        <w:textAlignment w:val="baseline"/>
        <w:rPr>
          <w:rFonts w:hint="eastAsia" w:ascii="Times New Roman" w:hAnsi="Times New Roman" w:eastAsia="方正仿宋_GBK" w:cs="方正仿宋_GBK"/>
          <w:color w:val="auto"/>
          <w:sz w:val="32"/>
          <w:szCs w:val="32"/>
          <w:highlight w:val="none"/>
        </w:rPr>
      </w:pPr>
      <w:r>
        <w:rPr>
          <w:rFonts w:hint="eastAsia" w:ascii="Times New Roman" w:hAnsi="Times New Roman" w:eastAsia="方正仿宋_GBK" w:cs="方正仿宋_GBK"/>
          <w:b/>
          <w:bCs/>
          <w:color w:val="auto"/>
          <w:spacing w:val="16"/>
          <w:sz w:val="32"/>
          <w:szCs w:val="32"/>
          <w:highlight w:val="none"/>
          <w:lang w:val="en-US" w:eastAsia="zh-CN"/>
        </w:rPr>
        <w:t>4.交存流程。</w:t>
      </w:r>
      <w:r>
        <w:rPr>
          <w:rFonts w:hint="eastAsia" w:ascii="Times New Roman" w:hAnsi="Times New Roman" w:eastAsia="方正仿宋_GBK" w:cs="方正仿宋_GBK"/>
          <w:color w:val="auto"/>
          <w:spacing w:val="16"/>
          <w:sz w:val="32"/>
          <w:szCs w:val="32"/>
          <w:highlight w:val="none"/>
          <w:lang w:eastAsia="zh-CN"/>
        </w:rPr>
        <w:t>（</w:t>
      </w:r>
      <w:r>
        <w:rPr>
          <w:rFonts w:hint="eastAsia" w:ascii="Times New Roman" w:hAnsi="Times New Roman" w:eastAsia="方正仿宋_GBK" w:cs="方正仿宋_GBK"/>
          <w:color w:val="auto"/>
          <w:spacing w:val="16"/>
          <w:sz w:val="32"/>
          <w:szCs w:val="32"/>
          <w:highlight w:val="none"/>
          <w:lang w:val="en-US" w:eastAsia="zh-CN"/>
        </w:rPr>
        <w:t>1</w:t>
      </w:r>
      <w:r>
        <w:rPr>
          <w:rFonts w:hint="eastAsia" w:ascii="Times New Roman" w:hAnsi="Times New Roman" w:eastAsia="方正仿宋_GBK" w:cs="方正仿宋_GBK"/>
          <w:color w:val="auto"/>
          <w:spacing w:val="16"/>
          <w:sz w:val="32"/>
          <w:szCs w:val="32"/>
          <w:highlight w:val="none"/>
          <w:lang w:eastAsia="zh-CN"/>
        </w:rPr>
        <w:t>）</w:t>
      </w:r>
      <w:r>
        <w:rPr>
          <w:rFonts w:hint="eastAsia" w:ascii="Times New Roman" w:hAnsi="Times New Roman" w:eastAsia="方正仿宋_GBK" w:cs="方正仿宋_GBK"/>
          <w:color w:val="auto"/>
          <w:spacing w:val="16"/>
          <w:sz w:val="32"/>
          <w:szCs w:val="32"/>
          <w:highlight w:val="none"/>
          <w:lang w:val="en-US" w:eastAsia="zh-CN"/>
        </w:rPr>
        <w:t>审核。交存主体</w:t>
      </w:r>
      <w:r>
        <w:rPr>
          <w:rFonts w:hint="eastAsia" w:ascii="Times New Roman" w:hAnsi="Times New Roman" w:eastAsia="方正仿宋_GBK" w:cs="方正仿宋_GBK"/>
          <w:color w:val="auto"/>
          <w:spacing w:val="16"/>
          <w:sz w:val="32"/>
          <w:szCs w:val="32"/>
          <w:highlight w:val="none"/>
        </w:rPr>
        <w:t>将公共收益收</w:t>
      </w:r>
      <w:r>
        <w:rPr>
          <w:rFonts w:hint="eastAsia" w:ascii="Times New Roman" w:hAnsi="Times New Roman" w:eastAsia="方正仿宋_GBK" w:cs="方正仿宋_GBK"/>
          <w:color w:val="auto"/>
          <w:spacing w:val="8"/>
          <w:sz w:val="32"/>
          <w:szCs w:val="32"/>
          <w:highlight w:val="none"/>
        </w:rPr>
        <w:t>支明细表、公共收益补充物业专项维修资金的分配方案</w:t>
      </w:r>
      <w:r>
        <w:rPr>
          <w:rFonts w:hint="eastAsia" w:ascii="Times New Roman" w:hAnsi="Times New Roman" w:eastAsia="方正仿宋_GBK" w:cs="方正仿宋_GBK"/>
          <w:color w:val="auto"/>
          <w:spacing w:val="8"/>
          <w:sz w:val="32"/>
          <w:szCs w:val="32"/>
          <w:highlight w:val="none"/>
          <w:lang w:eastAsia="zh-CN"/>
        </w:rPr>
        <w:t>，</w:t>
      </w:r>
      <w:r>
        <w:rPr>
          <w:rFonts w:hint="eastAsia" w:ascii="Times New Roman" w:hAnsi="Times New Roman" w:eastAsia="方正仿宋_GBK" w:cs="方正仿宋_GBK"/>
          <w:color w:val="auto"/>
          <w:spacing w:val="8"/>
          <w:sz w:val="32"/>
          <w:szCs w:val="32"/>
          <w:highlight w:val="none"/>
          <w:lang w:val="en-US" w:eastAsia="zh-CN"/>
        </w:rPr>
        <w:t>报</w:t>
      </w:r>
      <w:r>
        <w:rPr>
          <w:rFonts w:hint="eastAsia" w:ascii="Times New Roman" w:hAnsi="Times New Roman" w:eastAsia="方正仿宋_GBK" w:cs="方正仿宋_GBK"/>
          <w:color w:val="auto"/>
          <w:spacing w:val="18"/>
          <w:sz w:val="32"/>
          <w:szCs w:val="32"/>
          <w:highlight w:val="none"/>
        </w:rPr>
        <w:t>物业所在地</w:t>
      </w:r>
      <w:r>
        <w:rPr>
          <w:rFonts w:hint="eastAsia" w:ascii="Times New Roman" w:hAnsi="Times New Roman" w:eastAsia="方正仿宋_GBK" w:cs="方正仿宋_GBK"/>
          <w:color w:val="auto"/>
          <w:spacing w:val="18"/>
          <w:sz w:val="32"/>
          <w:szCs w:val="32"/>
          <w:highlight w:val="none"/>
          <w:lang w:val="en-US" w:eastAsia="zh-CN"/>
        </w:rPr>
        <w:t>乡</w:t>
      </w:r>
      <w:r>
        <w:rPr>
          <w:rFonts w:hint="eastAsia" w:ascii="Times New Roman" w:hAnsi="Times New Roman" w:eastAsia="方正仿宋_GBK" w:cs="方正仿宋_GBK"/>
          <w:color w:val="auto"/>
          <w:spacing w:val="18"/>
          <w:sz w:val="32"/>
          <w:szCs w:val="32"/>
          <w:highlight w:val="none"/>
        </w:rPr>
        <w:t>镇人民政府</w:t>
      </w:r>
      <w:r>
        <w:rPr>
          <w:rFonts w:hint="eastAsia" w:ascii="Times New Roman" w:hAnsi="Times New Roman" w:eastAsia="方正仿宋_GBK" w:cs="方正仿宋_GBK"/>
          <w:color w:val="auto"/>
          <w:spacing w:val="18"/>
          <w:sz w:val="32"/>
          <w:szCs w:val="32"/>
          <w:highlight w:val="none"/>
          <w:lang w:eastAsia="zh-CN"/>
        </w:rPr>
        <w:t>（</w:t>
      </w:r>
      <w:r>
        <w:rPr>
          <w:rFonts w:hint="eastAsia" w:ascii="Times New Roman" w:hAnsi="Times New Roman" w:eastAsia="方正仿宋_GBK" w:cs="方正仿宋_GBK"/>
          <w:color w:val="auto"/>
          <w:spacing w:val="18"/>
          <w:sz w:val="32"/>
          <w:szCs w:val="32"/>
          <w:highlight w:val="none"/>
        </w:rPr>
        <w:t>街道办事处</w:t>
      </w:r>
      <w:r>
        <w:rPr>
          <w:rFonts w:hint="eastAsia" w:ascii="Times New Roman" w:hAnsi="Times New Roman" w:eastAsia="方正仿宋_GBK" w:cs="方正仿宋_GBK"/>
          <w:color w:val="auto"/>
          <w:spacing w:val="18"/>
          <w:sz w:val="32"/>
          <w:szCs w:val="32"/>
          <w:highlight w:val="none"/>
          <w:lang w:eastAsia="zh-CN"/>
        </w:rPr>
        <w:t>）</w:t>
      </w:r>
      <w:r>
        <w:rPr>
          <w:rFonts w:hint="eastAsia" w:ascii="Times New Roman" w:hAnsi="Times New Roman" w:eastAsia="方正仿宋_GBK" w:cs="方正仿宋_GBK"/>
          <w:color w:val="auto"/>
          <w:spacing w:val="5"/>
          <w:sz w:val="32"/>
          <w:szCs w:val="32"/>
          <w:highlight w:val="none"/>
        </w:rPr>
        <w:t>进行审核</w:t>
      </w:r>
      <w:r>
        <w:rPr>
          <w:rFonts w:hint="eastAsia" w:ascii="Times New Roman" w:hAnsi="Times New Roman" w:eastAsia="方正仿宋_GBK" w:cs="方正仿宋_GBK"/>
          <w:color w:val="auto"/>
          <w:spacing w:val="5"/>
          <w:sz w:val="32"/>
          <w:szCs w:val="32"/>
          <w:highlight w:val="none"/>
          <w:lang w:eastAsia="zh-CN"/>
        </w:rPr>
        <w:t>。（</w:t>
      </w:r>
      <w:r>
        <w:rPr>
          <w:rFonts w:hint="eastAsia" w:ascii="Times New Roman" w:hAnsi="Times New Roman" w:eastAsia="方正仿宋_GBK" w:cs="方正仿宋_GBK"/>
          <w:color w:val="auto"/>
          <w:spacing w:val="5"/>
          <w:sz w:val="32"/>
          <w:szCs w:val="32"/>
          <w:highlight w:val="none"/>
          <w:lang w:val="en-US" w:eastAsia="zh-CN"/>
        </w:rPr>
        <w:t>2</w:t>
      </w:r>
      <w:r>
        <w:rPr>
          <w:rFonts w:hint="eastAsia" w:ascii="Times New Roman" w:hAnsi="Times New Roman" w:eastAsia="方正仿宋_GBK" w:cs="方正仿宋_GBK"/>
          <w:color w:val="auto"/>
          <w:spacing w:val="5"/>
          <w:sz w:val="32"/>
          <w:szCs w:val="32"/>
          <w:highlight w:val="none"/>
          <w:lang w:eastAsia="zh-CN"/>
        </w:rPr>
        <w:t>）</w:t>
      </w:r>
      <w:r>
        <w:rPr>
          <w:rFonts w:hint="eastAsia" w:ascii="Times New Roman" w:hAnsi="Times New Roman" w:eastAsia="方正仿宋_GBK" w:cs="方正仿宋_GBK"/>
          <w:color w:val="auto"/>
          <w:spacing w:val="16"/>
          <w:sz w:val="32"/>
          <w:szCs w:val="32"/>
          <w:highlight w:val="none"/>
          <w:lang w:val="en-US" w:eastAsia="zh-CN"/>
        </w:rPr>
        <w:t>公示。交存主体</w:t>
      </w:r>
      <w:r>
        <w:rPr>
          <w:rFonts w:hint="eastAsia" w:ascii="Times New Roman" w:hAnsi="Times New Roman" w:eastAsia="方正仿宋_GBK" w:cs="方正仿宋_GBK"/>
          <w:color w:val="auto"/>
          <w:spacing w:val="16"/>
          <w:sz w:val="32"/>
          <w:szCs w:val="32"/>
          <w:highlight w:val="none"/>
        </w:rPr>
        <w:t>将</w:t>
      </w:r>
      <w:r>
        <w:rPr>
          <w:rFonts w:hint="eastAsia" w:ascii="Times New Roman" w:hAnsi="Times New Roman" w:eastAsia="方正仿宋_GBK" w:cs="方正仿宋_GBK"/>
          <w:color w:val="auto"/>
          <w:spacing w:val="16"/>
          <w:sz w:val="32"/>
          <w:szCs w:val="32"/>
          <w:highlight w:val="none"/>
          <w:lang w:val="en-US" w:eastAsia="zh-CN"/>
        </w:rPr>
        <w:t>经审核的有关资料在小区</w:t>
      </w:r>
      <w:r>
        <w:rPr>
          <w:rFonts w:hint="eastAsia" w:ascii="Times New Roman" w:hAnsi="Times New Roman" w:eastAsia="方正仿宋_GBK" w:cs="方正仿宋_GBK"/>
          <w:color w:val="auto"/>
          <w:spacing w:val="10"/>
          <w:sz w:val="32"/>
          <w:szCs w:val="32"/>
          <w:highlight w:val="none"/>
          <w:lang w:val="en-US" w:eastAsia="zh-CN"/>
        </w:rPr>
        <w:t>“三亮三即时”公示牌上</w:t>
      </w:r>
      <w:r>
        <w:rPr>
          <w:rFonts w:hint="eastAsia" w:ascii="Times New Roman" w:hAnsi="Times New Roman" w:eastAsia="方正仿宋_GBK" w:cs="方正仿宋_GBK"/>
          <w:color w:val="auto"/>
          <w:spacing w:val="10"/>
          <w:sz w:val="32"/>
          <w:szCs w:val="32"/>
          <w:highlight w:val="none"/>
        </w:rPr>
        <w:t>进</w:t>
      </w:r>
      <w:r>
        <w:rPr>
          <w:rFonts w:hint="eastAsia" w:ascii="Times New Roman" w:hAnsi="Times New Roman" w:eastAsia="方正仿宋_GBK" w:cs="方正仿宋_GBK"/>
          <w:color w:val="auto"/>
          <w:spacing w:val="17"/>
          <w:sz w:val="32"/>
          <w:szCs w:val="32"/>
          <w:highlight w:val="none"/>
        </w:rPr>
        <w:t>行公示，公示时间不少于7日。</w:t>
      </w:r>
      <w:r>
        <w:rPr>
          <w:rFonts w:hint="eastAsia" w:ascii="Times New Roman" w:hAnsi="Times New Roman" w:eastAsia="方正仿宋_GBK" w:cs="方正仿宋_GBK"/>
          <w:color w:val="auto"/>
          <w:spacing w:val="5"/>
          <w:sz w:val="32"/>
          <w:szCs w:val="32"/>
          <w:highlight w:val="none"/>
          <w:lang w:eastAsia="zh-CN"/>
        </w:rPr>
        <w:t>（</w:t>
      </w:r>
      <w:r>
        <w:rPr>
          <w:rFonts w:hint="eastAsia" w:ascii="Times New Roman" w:hAnsi="Times New Roman" w:eastAsia="方正仿宋_GBK" w:cs="方正仿宋_GBK"/>
          <w:color w:val="auto"/>
          <w:spacing w:val="5"/>
          <w:sz w:val="32"/>
          <w:szCs w:val="32"/>
          <w:highlight w:val="none"/>
          <w:lang w:val="en-US" w:eastAsia="zh-CN"/>
        </w:rPr>
        <w:t>3</w:t>
      </w:r>
      <w:r>
        <w:rPr>
          <w:rFonts w:hint="eastAsia" w:ascii="Times New Roman" w:hAnsi="Times New Roman" w:eastAsia="方正仿宋_GBK" w:cs="方正仿宋_GBK"/>
          <w:color w:val="auto"/>
          <w:spacing w:val="5"/>
          <w:sz w:val="32"/>
          <w:szCs w:val="32"/>
          <w:highlight w:val="none"/>
          <w:lang w:eastAsia="zh-CN"/>
        </w:rPr>
        <w:t>）</w:t>
      </w:r>
      <w:r>
        <w:rPr>
          <w:rFonts w:hint="eastAsia" w:ascii="Times New Roman" w:hAnsi="Times New Roman" w:eastAsia="方正仿宋_GBK" w:cs="方正仿宋_GBK"/>
          <w:color w:val="auto"/>
          <w:spacing w:val="18"/>
          <w:sz w:val="32"/>
          <w:szCs w:val="32"/>
          <w:highlight w:val="none"/>
          <w:lang w:val="en-US" w:eastAsia="zh-CN"/>
        </w:rPr>
        <w:t>申请。</w:t>
      </w:r>
      <w:r>
        <w:rPr>
          <w:rFonts w:hint="eastAsia" w:ascii="Times New Roman" w:hAnsi="Times New Roman" w:eastAsia="方正仿宋_GBK" w:cs="方正仿宋_GBK"/>
          <w:color w:val="auto"/>
          <w:spacing w:val="16"/>
          <w:sz w:val="32"/>
          <w:szCs w:val="32"/>
          <w:highlight w:val="none"/>
          <w:lang w:val="en-US" w:eastAsia="zh-CN"/>
        </w:rPr>
        <w:t>由交存主体向</w:t>
      </w:r>
      <w:r>
        <w:rPr>
          <w:rFonts w:hint="eastAsia" w:ascii="Times New Roman" w:hAnsi="Times New Roman" w:eastAsia="方正仿宋_GBK" w:cs="方正仿宋_GBK"/>
          <w:color w:val="auto"/>
          <w:spacing w:val="4"/>
          <w:sz w:val="32"/>
          <w:szCs w:val="32"/>
          <w:highlight w:val="none"/>
          <w:lang w:eastAsia="zh-CN"/>
        </w:rPr>
        <w:t>县住房保障事务中心</w:t>
      </w:r>
      <w:r>
        <w:rPr>
          <w:rFonts w:hint="eastAsia" w:ascii="Times New Roman" w:hAnsi="Times New Roman" w:eastAsia="方正仿宋_GBK" w:cs="方正仿宋_GBK"/>
          <w:color w:val="auto"/>
          <w:spacing w:val="4"/>
          <w:sz w:val="32"/>
          <w:szCs w:val="32"/>
          <w:highlight w:val="none"/>
          <w:lang w:val="en-US" w:eastAsia="zh-CN"/>
        </w:rPr>
        <w:t>申请，</w:t>
      </w:r>
      <w:r>
        <w:rPr>
          <w:rFonts w:hint="eastAsia" w:ascii="Times New Roman" w:hAnsi="Times New Roman" w:eastAsia="方正仿宋_GBK" w:cs="方正仿宋_GBK"/>
          <w:color w:val="auto"/>
          <w:spacing w:val="7"/>
          <w:sz w:val="32"/>
          <w:szCs w:val="32"/>
          <w:highlight w:val="none"/>
        </w:rPr>
        <w:t>并提交资料。</w:t>
      </w:r>
      <w:r>
        <w:rPr>
          <w:rFonts w:hint="eastAsia" w:ascii="Times New Roman" w:hAnsi="Times New Roman" w:eastAsia="方正仿宋_GBK" w:cs="方正仿宋_GBK"/>
          <w:color w:val="auto"/>
          <w:spacing w:val="17"/>
          <w:sz w:val="32"/>
          <w:szCs w:val="32"/>
          <w:highlight w:val="none"/>
          <w:lang w:val="en-US" w:eastAsia="zh-CN"/>
        </w:rPr>
        <w:t>（4）</w:t>
      </w:r>
      <w:r>
        <w:rPr>
          <w:rFonts w:hint="eastAsia" w:ascii="Times New Roman" w:hAnsi="Times New Roman" w:eastAsia="方正仿宋_GBK" w:cs="方正仿宋_GBK"/>
          <w:color w:val="auto"/>
          <w:spacing w:val="18"/>
          <w:sz w:val="32"/>
          <w:szCs w:val="32"/>
          <w:highlight w:val="none"/>
        </w:rPr>
        <w:t>交存</w:t>
      </w:r>
      <w:r>
        <w:rPr>
          <w:rFonts w:hint="eastAsia" w:ascii="Times New Roman" w:hAnsi="Times New Roman" w:eastAsia="方正仿宋_GBK" w:cs="方正仿宋_GBK"/>
          <w:color w:val="auto"/>
          <w:spacing w:val="18"/>
          <w:sz w:val="32"/>
          <w:szCs w:val="32"/>
          <w:highlight w:val="none"/>
          <w:lang w:eastAsia="zh-CN"/>
        </w:rPr>
        <w:t>。</w:t>
      </w:r>
      <w:r>
        <w:rPr>
          <w:rFonts w:hint="eastAsia" w:ascii="Times New Roman" w:hAnsi="Times New Roman" w:eastAsia="方正仿宋_GBK" w:cs="方正仿宋_GBK"/>
          <w:color w:val="auto"/>
          <w:spacing w:val="16"/>
          <w:sz w:val="32"/>
          <w:szCs w:val="32"/>
          <w:highlight w:val="none"/>
          <w:lang w:val="en-US" w:eastAsia="zh-CN"/>
        </w:rPr>
        <w:t>由交存主体将</w:t>
      </w:r>
      <w:r>
        <w:rPr>
          <w:rFonts w:hint="eastAsia" w:ascii="Times New Roman" w:hAnsi="Times New Roman" w:eastAsia="方正仿宋_GBK" w:cs="方正仿宋_GBK"/>
          <w:color w:val="auto"/>
          <w:spacing w:val="16"/>
          <w:sz w:val="32"/>
          <w:szCs w:val="32"/>
          <w:highlight w:val="none"/>
        </w:rPr>
        <w:t>公共收益</w:t>
      </w:r>
      <w:r>
        <w:rPr>
          <w:rFonts w:hint="eastAsia" w:ascii="Times New Roman" w:hAnsi="Times New Roman" w:eastAsia="方正仿宋_GBK" w:cs="方正仿宋_GBK"/>
          <w:color w:val="auto"/>
          <w:spacing w:val="16"/>
          <w:sz w:val="32"/>
          <w:szCs w:val="32"/>
          <w:highlight w:val="none"/>
          <w:lang w:val="en-US" w:eastAsia="zh-CN"/>
        </w:rPr>
        <w:t>交存至物业所在小区</w:t>
      </w:r>
      <w:r>
        <w:rPr>
          <w:rFonts w:hint="eastAsia" w:ascii="Times New Roman" w:hAnsi="Times New Roman" w:eastAsia="方正仿宋_GBK" w:cs="方正仿宋_GBK"/>
          <w:color w:val="auto"/>
          <w:sz w:val="32"/>
          <w:szCs w:val="32"/>
          <w:highlight w:val="none"/>
          <w:lang w:val="en-US" w:eastAsia="zh-CN"/>
        </w:rPr>
        <w:t>物业专项维修资金账户</w:t>
      </w:r>
      <w:r>
        <w:rPr>
          <w:rFonts w:hint="eastAsia" w:ascii="Times New Roman" w:hAnsi="Times New Roman" w:eastAsia="方正仿宋_GBK" w:cs="方正仿宋_GBK"/>
          <w:color w:val="auto"/>
          <w:spacing w:val="21"/>
          <w:sz w:val="32"/>
          <w:szCs w:val="32"/>
          <w:highlight w:val="none"/>
        </w:rPr>
        <w:t>。</w:t>
      </w:r>
    </w:p>
    <w:p w14:paraId="798753C7">
      <w:pPr>
        <w:keepNext w:val="0"/>
        <w:keepLines w:val="0"/>
        <w:pageBreakBefore w:val="0"/>
        <w:widowControl/>
        <w:kinsoku w:val="0"/>
        <w:wordWrap/>
        <w:overflowPunct/>
        <w:topLinePunct w:val="0"/>
        <w:autoSpaceDE w:val="0"/>
        <w:autoSpaceDN w:val="0"/>
        <w:bidi w:val="0"/>
        <w:adjustRightInd w:val="0"/>
        <w:snapToGrid w:val="0"/>
        <w:spacing w:line="560" w:lineRule="exact"/>
        <w:ind w:firstLine="768" w:firstLineChars="200"/>
        <w:textAlignment w:val="baseline"/>
        <w:rPr>
          <w:rFonts w:hint="eastAsia" w:ascii="Times New Roman" w:hAnsi="Times New Roman" w:eastAsia="方正仿宋_GBK" w:cs="方正仿宋_GBK"/>
          <w:color w:val="auto"/>
          <w:spacing w:val="3"/>
          <w:sz w:val="32"/>
          <w:szCs w:val="32"/>
          <w:highlight w:val="none"/>
        </w:rPr>
      </w:pPr>
      <w:r>
        <w:rPr>
          <w:rFonts w:hint="eastAsia" w:ascii="Times New Roman" w:hAnsi="Times New Roman" w:eastAsia="方正楷体_GBK" w:cs="方正楷体_GBK"/>
          <w:b w:val="0"/>
          <w:bCs w:val="0"/>
          <w:color w:val="auto"/>
          <w:spacing w:val="32"/>
          <w:sz w:val="32"/>
          <w:szCs w:val="32"/>
          <w:highlight w:val="none"/>
          <w:lang w:eastAsia="zh-CN"/>
        </w:rPr>
        <w:t>（四）</w:t>
      </w:r>
      <w:r>
        <w:rPr>
          <w:rFonts w:hint="eastAsia" w:ascii="Times New Roman" w:hAnsi="Times New Roman" w:eastAsia="方正楷体_GBK" w:cs="方正楷体_GBK"/>
          <w:b w:val="0"/>
          <w:bCs w:val="0"/>
          <w:color w:val="auto"/>
          <w:spacing w:val="32"/>
          <w:sz w:val="32"/>
          <w:szCs w:val="32"/>
          <w:highlight w:val="none"/>
        </w:rPr>
        <w:t>自行管理</w:t>
      </w:r>
      <w:r>
        <w:rPr>
          <w:rFonts w:hint="eastAsia" w:ascii="Times New Roman" w:hAnsi="Times New Roman" w:eastAsia="方正楷体_GBK" w:cs="方正楷体_GBK"/>
          <w:b w:val="0"/>
          <w:bCs w:val="0"/>
          <w:color w:val="auto"/>
          <w:spacing w:val="32"/>
          <w:sz w:val="32"/>
          <w:szCs w:val="32"/>
          <w:highlight w:val="none"/>
          <w:lang w:eastAsia="zh-CN"/>
        </w:rPr>
        <w:t>。</w:t>
      </w:r>
      <w:r>
        <w:rPr>
          <w:rFonts w:hint="eastAsia" w:ascii="Times New Roman" w:hAnsi="Times New Roman" w:eastAsia="方正仿宋_GBK" w:cs="方正仿宋_GBK"/>
          <w:color w:val="auto"/>
          <w:spacing w:val="4"/>
          <w:sz w:val="32"/>
          <w:szCs w:val="32"/>
          <w:highlight w:val="none"/>
        </w:rPr>
        <w:t>业主大会成立后，决定自行管理公共收益的小区，在物</w:t>
      </w:r>
      <w:r>
        <w:rPr>
          <w:rFonts w:hint="eastAsia" w:ascii="Times New Roman" w:hAnsi="Times New Roman" w:eastAsia="方正仿宋_GBK" w:cs="方正仿宋_GBK"/>
          <w:color w:val="auto"/>
          <w:spacing w:val="5"/>
          <w:sz w:val="32"/>
          <w:szCs w:val="32"/>
          <w:highlight w:val="none"/>
        </w:rPr>
        <w:t>业所在地</w:t>
      </w:r>
      <w:r>
        <w:rPr>
          <w:rFonts w:hint="eastAsia" w:ascii="Times New Roman" w:hAnsi="Times New Roman" w:eastAsia="方正仿宋_GBK" w:cs="方正仿宋_GBK"/>
          <w:color w:val="auto"/>
          <w:spacing w:val="5"/>
          <w:sz w:val="32"/>
          <w:szCs w:val="32"/>
          <w:highlight w:val="none"/>
          <w:lang w:val="en-US" w:eastAsia="zh-CN"/>
        </w:rPr>
        <w:t>乡镇</w:t>
      </w:r>
      <w:r>
        <w:rPr>
          <w:rFonts w:hint="eastAsia" w:ascii="Times New Roman" w:hAnsi="Times New Roman" w:eastAsia="方正仿宋_GBK" w:cs="方正仿宋_GBK"/>
          <w:color w:val="auto"/>
          <w:spacing w:val="5"/>
          <w:sz w:val="32"/>
          <w:szCs w:val="32"/>
          <w:highlight w:val="none"/>
        </w:rPr>
        <w:t>人民政府</w:t>
      </w:r>
      <w:r>
        <w:rPr>
          <w:rFonts w:hint="eastAsia" w:ascii="Times New Roman" w:hAnsi="Times New Roman" w:eastAsia="方正仿宋_GBK" w:cs="方正仿宋_GBK"/>
          <w:color w:val="auto"/>
          <w:spacing w:val="5"/>
          <w:sz w:val="32"/>
          <w:szCs w:val="32"/>
          <w:highlight w:val="none"/>
          <w:lang w:eastAsia="zh-CN"/>
        </w:rPr>
        <w:t>（</w:t>
      </w:r>
      <w:r>
        <w:rPr>
          <w:rFonts w:hint="eastAsia" w:ascii="Times New Roman" w:hAnsi="Times New Roman" w:eastAsia="方正仿宋_GBK" w:cs="方正仿宋_GBK"/>
          <w:color w:val="auto"/>
          <w:spacing w:val="5"/>
          <w:sz w:val="32"/>
          <w:szCs w:val="32"/>
          <w:highlight w:val="none"/>
        </w:rPr>
        <w:t>街道办事处</w:t>
      </w:r>
      <w:r>
        <w:rPr>
          <w:rFonts w:hint="eastAsia" w:ascii="Times New Roman" w:hAnsi="Times New Roman" w:eastAsia="方正仿宋_GBK" w:cs="方正仿宋_GBK"/>
          <w:color w:val="auto"/>
          <w:spacing w:val="5"/>
          <w:sz w:val="32"/>
          <w:szCs w:val="32"/>
          <w:highlight w:val="none"/>
          <w:lang w:eastAsia="zh-CN"/>
        </w:rPr>
        <w:t>）</w:t>
      </w:r>
      <w:r>
        <w:rPr>
          <w:rFonts w:hint="eastAsia" w:ascii="Times New Roman" w:hAnsi="Times New Roman" w:eastAsia="方正仿宋_GBK" w:cs="方正仿宋_GBK"/>
          <w:color w:val="auto"/>
          <w:spacing w:val="5"/>
          <w:sz w:val="32"/>
          <w:szCs w:val="32"/>
          <w:highlight w:val="none"/>
        </w:rPr>
        <w:t>的指导监督下召开业主大会决</w:t>
      </w:r>
      <w:r>
        <w:rPr>
          <w:rFonts w:hint="eastAsia" w:ascii="Times New Roman" w:hAnsi="Times New Roman" w:eastAsia="方正仿宋_GBK" w:cs="方正仿宋_GBK"/>
          <w:color w:val="auto"/>
          <w:sz w:val="32"/>
          <w:szCs w:val="32"/>
          <w:highlight w:val="none"/>
        </w:rPr>
        <w:t>定</w:t>
      </w:r>
      <w:r>
        <w:rPr>
          <w:rFonts w:hint="eastAsia" w:ascii="Times New Roman" w:hAnsi="Times New Roman" w:eastAsia="方正仿宋_GBK" w:cs="方正仿宋_GBK"/>
          <w:color w:val="auto"/>
          <w:sz w:val="32"/>
          <w:szCs w:val="32"/>
          <w:highlight w:val="none"/>
          <w:lang w:eastAsia="zh-CN"/>
        </w:rPr>
        <w:t>；</w:t>
      </w:r>
      <w:r>
        <w:rPr>
          <w:rFonts w:hint="eastAsia" w:ascii="Times New Roman" w:hAnsi="Times New Roman" w:eastAsia="方正仿宋_GBK" w:cs="方正仿宋_GBK"/>
          <w:color w:val="auto"/>
          <w:spacing w:val="3"/>
          <w:sz w:val="32"/>
          <w:szCs w:val="32"/>
          <w:highlight w:val="none"/>
          <w:lang w:eastAsia="zh-CN"/>
        </w:rPr>
        <w:t>公共收益经营主体</w:t>
      </w:r>
      <w:r>
        <w:rPr>
          <w:rFonts w:hint="eastAsia" w:ascii="Times New Roman" w:hAnsi="Times New Roman" w:eastAsia="方正仿宋_GBK" w:cs="方正仿宋_GBK"/>
          <w:color w:val="auto"/>
          <w:spacing w:val="3"/>
          <w:sz w:val="32"/>
          <w:szCs w:val="32"/>
          <w:highlight w:val="none"/>
        </w:rPr>
        <w:t>自行管理期间</w:t>
      </w:r>
      <w:r>
        <w:rPr>
          <w:rFonts w:hint="eastAsia" w:ascii="Times New Roman" w:hAnsi="Times New Roman" w:eastAsia="方正仿宋_GBK" w:cs="方正仿宋_GBK"/>
          <w:color w:val="auto"/>
          <w:spacing w:val="3"/>
          <w:sz w:val="32"/>
          <w:szCs w:val="32"/>
          <w:highlight w:val="none"/>
          <w:lang w:eastAsia="zh-CN"/>
        </w:rPr>
        <w:t>，公共收益的经营和收支账目要严格执行公共收益经营管理和账目管理相关规定。</w:t>
      </w:r>
    </w:p>
    <w:p w14:paraId="07410CD7">
      <w:pPr>
        <w:keepNext w:val="0"/>
        <w:keepLines w:val="0"/>
        <w:pageBreakBefore w:val="0"/>
        <w:widowControl/>
        <w:kinsoku w:val="0"/>
        <w:wordWrap/>
        <w:overflowPunct/>
        <w:topLinePunct w:val="0"/>
        <w:autoSpaceDE w:val="0"/>
        <w:autoSpaceDN w:val="0"/>
        <w:bidi w:val="0"/>
        <w:adjustRightInd w:val="0"/>
        <w:snapToGrid w:val="0"/>
        <w:spacing w:line="560" w:lineRule="exact"/>
        <w:ind w:left="679"/>
        <w:textAlignment w:val="baseline"/>
        <w:outlineLvl w:val="2"/>
        <w:rPr>
          <w:rFonts w:hint="eastAsia" w:ascii="Times New Roman" w:hAnsi="Times New Roman" w:eastAsia="方正黑体_GBK" w:cs="方正黑体_GBK"/>
          <w:b w:val="0"/>
          <w:bCs w:val="0"/>
          <w:color w:val="auto"/>
          <w:spacing w:val="-4"/>
          <w:sz w:val="32"/>
          <w:szCs w:val="32"/>
          <w:highlight w:val="none"/>
          <w:lang w:val="en-US" w:eastAsia="zh-CN"/>
        </w:rPr>
      </w:pPr>
      <w:r>
        <w:rPr>
          <w:rFonts w:hint="eastAsia" w:ascii="Times New Roman" w:hAnsi="Times New Roman" w:eastAsia="方正黑体_GBK" w:cs="方正黑体_GBK"/>
          <w:b w:val="0"/>
          <w:bCs w:val="0"/>
          <w:color w:val="auto"/>
          <w:spacing w:val="-4"/>
          <w:sz w:val="32"/>
          <w:szCs w:val="32"/>
          <w:highlight w:val="none"/>
          <w:lang w:val="en-US" w:eastAsia="zh-CN"/>
        </w:rPr>
        <w:t>四、</w:t>
      </w:r>
      <w:r>
        <w:rPr>
          <w:rFonts w:hint="eastAsia" w:ascii="Times New Roman" w:hAnsi="Times New Roman" w:eastAsia="方正黑体_GBK" w:cs="方正黑体_GBK"/>
          <w:b w:val="0"/>
          <w:bCs w:val="0"/>
          <w:color w:val="auto"/>
          <w:spacing w:val="-4"/>
          <w:sz w:val="32"/>
          <w:szCs w:val="32"/>
          <w:highlight w:val="none"/>
        </w:rPr>
        <w:t>公共收益</w:t>
      </w:r>
      <w:r>
        <w:rPr>
          <w:rFonts w:hint="eastAsia" w:ascii="Times New Roman" w:hAnsi="Times New Roman" w:eastAsia="方正黑体_GBK" w:cs="方正黑体_GBK"/>
          <w:b w:val="0"/>
          <w:bCs w:val="0"/>
          <w:color w:val="auto"/>
          <w:spacing w:val="-4"/>
          <w:sz w:val="32"/>
          <w:szCs w:val="32"/>
          <w:highlight w:val="none"/>
          <w:lang w:val="en-US" w:eastAsia="zh-CN"/>
        </w:rPr>
        <w:t>用途</w:t>
      </w:r>
    </w:p>
    <w:p w14:paraId="58F125DC">
      <w:pPr>
        <w:keepNext w:val="0"/>
        <w:keepLines w:val="0"/>
        <w:pageBreakBefore w:val="0"/>
        <w:widowControl w:val="0"/>
        <w:kinsoku w:val="0"/>
        <w:wordWrap/>
        <w:overflowPunct/>
        <w:topLinePunct w:val="0"/>
        <w:autoSpaceDE w:val="0"/>
        <w:autoSpaceDN w:val="0"/>
        <w:bidi w:val="0"/>
        <w:adjustRightInd w:val="0"/>
        <w:snapToGrid w:val="0"/>
        <w:spacing w:line="560" w:lineRule="exact"/>
        <w:ind w:firstLine="660" w:firstLineChars="200"/>
        <w:textAlignment w:val="baseline"/>
        <w:rPr>
          <w:rFonts w:hint="eastAsia" w:ascii="Times New Roman" w:hAnsi="Times New Roman" w:eastAsia="方正仿宋_GBK" w:cs="方正仿宋_GBK"/>
          <w:color w:val="auto"/>
          <w:spacing w:val="5"/>
          <w:sz w:val="32"/>
          <w:szCs w:val="32"/>
          <w:highlight w:val="none"/>
        </w:rPr>
      </w:pPr>
      <w:r>
        <w:rPr>
          <w:rFonts w:hint="eastAsia" w:ascii="Times New Roman" w:hAnsi="Times New Roman" w:eastAsia="方正仿宋_GBK" w:cs="方正仿宋_GBK"/>
          <w:color w:val="auto"/>
          <w:spacing w:val="5"/>
          <w:sz w:val="32"/>
          <w:szCs w:val="32"/>
          <w:highlight w:val="none"/>
        </w:rPr>
        <w:t>公共收益</w:t>
      </w:r>
      <w:r>
        <w:rPr>
          <w:rFonts w:hint="eastAsia" w:ascii="Times New Roman" w:hAnsi="Times New Roman" w:eastAsia="方正仿宋_GBK" w:cs="方正仿宋_GBK"/>
          <w:color w:val="auto"/>
          <w:spacing w:val="5"/>
          <w:sz w:val="32"/>
          <w:szCs w:val="32"/>
          <w:highlight w:val="none"/>
          <w:lang w:eastAsia="zh-CN"/>
        </w:rPr>
        <w:t>，</w:t>
      </w:r>
      <w:r>
        <w:rPr>
          <w:rFonts w:hint="eastAsia" w:ascii="Times New Roman" w:hAnsi="Times New Roman" w:eastAsia="方正仿宋_GBK" w:cs="方正仿宋_GBK"/>
          <w:color w:val="auto"/>
          <w:spacing w:val="5"/>
          <w:sz w:val="32"/>
          <w:szCs w:val="32"/>
          <w:highlight w:val="none"/>
        </w:rPr>
        <w:t>主要用于补充物业专项维修资金，也可以按照业主大会的决定使用。物业专项维修资金余额不足首期交存金额百分之三十时，公共收益应当首先补足物业专项维修资金</w:t>
      </w:r>
      <w:r>
        <w:rPr>
          <w:rFonts w:hint="eastAsia" w:ascii="Times New Roman" w:hAnsi="Times New Roman" w:eastAsia="方正仿宋_GBK" w:cs="方正仿宋_GBK"/>
          <w:color w:val="auto"/>
          <w:spacing w:val="5"/>
          <w:sz w:val="32"/>
          <w:szCs w:val="32"/>
          <w:highlight w:val="none"/>
          <w:lang w:eastAsia="zh-CN"/>
        </w:rPr>
        <w:t>。也可</w:t>
      </w:r>
      <w:r>
        <w:rPr>
          <w:rFonts w:hint="eastAsia" w:ascii="Times New Roman" w:hAnsi="Times New Roman" w:eastAsia="方正仿宋_GBK" w:cs="方正仿宋_GBK"/>
          <w:color w:val="auto"/>
          <w:spacing w:val="5"/>
          <w:sz w:val="32"/>
          <w:szCs w:val="32"/>
          <w:highlight w:val="none"/>
        </w:rPr>
        <w:t>用于全体业主共有部位、共有设施设备保修期满后的维修、更新</w:t>
      </w:r>
      <w:r>
        <w:rPr>
          <w:rFonts w:hint="eastAsia" w:ascii="Times New Roman" w:hAnsi="Times New Roman" w:eastAsia="方正仿宋_GBK" w:cs="方正仿宋_GBK"/>
          <w:color w:val="auto"/>
          <w:spacing w:val="5"/>
          <w:sz w:val="32"/>
          <w:szCs w:val="32"/>
          <w:highlight w:val="none"/>
          <w:lang w:eastAsia="zh-CN"/>
        </w:rPr>
        <w:t>、</w:t>
      </w:r>
      <w:r>
        <w:rPr>
          <w:rFonts w:hint="eastAsia" w:ascii="Times New Roman" w:hAnsi="Times New Roman" w:eastAsia="方正仿宋_GBK" w:cs="方正仿宋_GBK"/>
          <w:color w:val="auto"/>
          <w:spacing w:val="5"/>
          <w:sz w:val="32"/>
          <w:szCs w:val="32"/>
          <w:highlight w:val="none"/>
        </w:rPr>
        <w:t>改造。</w:t>
      </w:r>
    </w:p>
    <w:p w14:paraId="2FC4CA91">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jc w:val="both"/>
        <w:textAlignment w:val="auto"/>
        <w:rPr>
          <w:rFonts w:hint="default" w:ascii="Times New Roman" w:hAnsi="Times New Roman" w:eastAsia="仿宋_GB2312" w:cs="仿宋_GB2312"/>
          <w:i w:val="0"/>
          <w:iCs w:val="0"/>
          <w:caps w:val="0"/>
          <w:color w:val="auto"/>
          <w:spacing w:val="0"/>
          <w:sz w:val="32"/>
          <w:szCs w:val="32"/>
          <w:highlight w:val="none"/>
        </w:rPr>
      </w:pPr>
      <w:r>
        <w:rPr>
          <w:rFonts w:hint="eastAsia" w:ascii="Times New Roman" w:hAnsi="Times New Roman" w:eastAsia="方正楷体_GBK" w:cs="方正楷体_GBK"/>
          <w:b w:val="0"/>
          <w:bCs w:val="0"/>
          <w:i w:val="0"/>
          <w:iCs w:val="0"/>
          <w:caps w:val="0"/>
          <w:color w:val="auto"/>
          <w:spacing w:val="0"/>
          <w:sz w:val="32"/>
          <w:szCs w:val="32"/>
          <w:highlight w:val="none"/>
        </w:rPr>
        <w:t>（一）公共收益一般可以用于以下情形：</w:t>
      </w:r>
    </w:p>
    <w:p w14:paraId="65E61DD2">
      <w:pPr>
        <w:keepNext w:val="0"/>
        <w:keepLines w:val="0"/>
        <w:pageBreakBefore w:val="0"/>
        <w:widowControl w:val="0"/>
        <w:kinsoku w:val="0"/>
        <w:wordWrap/>
        <w:overflowPunct/>
        <w:topLinePunct w:val="0"/>
        <w:autoSpaceDE w:val="0"/>
        <w:autoSpaceDN w:val="0"/>
        <w:bidi w:val="0"/>
        <w:adjustRightInd w:val="0"/>
        <w:snapToGrid w:val="0"/>
        <w:spacing w:line="560" w:lineRule="exact"/>
        <w:ind w:firstLine="660" w:firstLineChars="200"/>
        <w:textAlignment w:val="baseline"/>
        <w:rPr>
          <w:rFonts w:hint="default" w:ascii="Times New Roman" w:hAnsi="Times New Roman" w:eastAsia="方正仿宋_GBK" w:cs="方正仿宋_GBK"/>
          <w:color w:val="auto"/>
          <w:spacing w:val="5"/>
          <w:sz w:val="32"/>
          <w:szCs w:val="32"/>
          <w:highlight w:val="none"/>
        </w:rPr>
      </w:pPr>
      <w:r>
        <w:rPr>
          <w:rFonts w:hint="default" w:ascii="Times New Roman" w:hAnsi="Times New Roman" w:eastAsia="方正仿宋_GBK" w:cs="方正仿宋_GBK"/>
          <w:color w:val="auto"/>
          <w:spacing w:val="5"/>
          <w:sz w:val="32"/>
          <w:szCs w:val="32"/>
          <w:highlight w:val="none"/>
        </w:rPr>
        <w:t>1.补充建筑物及其附属设施的维修资金；</w:t>
      </w:r>
    </w:p>
    <w:p w14:paraId="30D685C1">
      <w:pPr>
        <w:keepNext w:val="0"/>
        <w:keepLines w:val="0"/>
        <w:pageBreakBefore w:val="0"/>
        <w:widowControl w:val="0"/>
        <w:kinsoku w:val="0"/>
        <w:wordWrap/>
        <w:overflowPunct/>
        <w:topLinePunct w:val="0"/>
        <w:autoSpaceDE w:val="0"/>
        <w:autoSpaceDN w:val="0"/>
        <w:bidi w:val="0"/>
        <w:adjustRightInd w:val="0"/>
        <w:snapToGrid w:val="0"/>
        <w:spacing w:line="560" w:lineRule="exact"/>
        <w:ind w:firstLine="660" w:firstLineChars="200"/>
        <w:textAlignment w:val="baseline"/>
        <w:rPr>
          <w:rFonts w:hint="default" w:ascii="Times New Roman" w:hAnsi="Times New Roman" w:eastAsia="方正仿宋_GBK" w:cs="方正仿宋_GBK"/>
          <w:color w:val="auto"/>
          <w:spacing w:val="5"/>
          <w:sz w:val="32"/>
          <w:szCs w:val="32"/>
          <w:highlight w:val="none"/>
        </w:rPr>
      </w:pPr>
      <w:r>
        <w:rPr>
          <w:rFonts w:hint="default" w:ascii="Times New Roman" w:hAnsi="Times New Roman" w:eastAsia="方正仿宋_GBK" w:cs="方正仿宋_GBK"/>
          <w:color w:val="auto"/>
          <w:spacing w:val="5"/>
          <w:sz w:val="32"/>
          <w:szCs w:val="32"/>
          <w:highlight w:val="none"/>
        </w:rPr>
        <w:t>2.电梯、照明、消防、监控、水泵、防雷装置、电动自行车充电设施、绿地、道路、屋顶、外墙等共有部位、共有设施设备的维修养护、更新、改造费用；</w:t>
      </w:r>
    </w:p>
    <w:p w14:paraId="6D9F0B40">
      <w:pPr>
        <w:keepNext w:val="0"/>
        <w:keepLines w:val="0"/>
        <w:pageBreakBefore w:val="0"/>
        <w:widowControl w:val="0"/>
        <w:kinsoku w:val="0"/>
        <w:wordWrap/>
        <w:overflowPunct/>
        <w:topLinePunct w:val="0"/>
        <w:autoSpaceDE w:val="0"/>
        <w:autoSpaceDN w:val="0"/>
        <w:bidi w:val="0"/>
        <w:adjustRightInd w:val="0"/>
        <w:snapToGrid w:val="0"/>
        <w:spacing w:line="560" w:lineRule="exact"/>
        <w:ind w:firstLine="660" w:firstLineChars="200"/>
        <w:textAlignment w:val="baseline"/>
        <w:rPr>
          <w:rFonts w:hint="default" w:ascii="Times New Roman" w:hAnsi="Times New Roman" w:eastAsia="方正仿宋_GBK" w:cs="方正仿宋_GBK"/>
          <w:color w:val="auto"/>
          <w:spacing w:val="5"/>
          <w:sz w:val="32"/>
          <w:szCs w:val="32"/>
          <w:highlight w:val="none"/>
        </w:rPr>
      </w:pPr>
      <w:r>
        <w:rPr>
          <w:rFonts w:hint="default" w:ascii="Times New Roman" w:hAnsi="Times New Roman" w:eastAsia="方正仿宋_GBK" w:cs="方正仿宋_GBK"/>
          <w:color w:val="auto"/>
          <w:spacing w:val="5"/>
          <w:sz w:val="32"/>
          <w:szCs w:val="32"/>
          <w:highlight w:val="none"/>
        </w:rPr>
        <w:t>3.业主大会决定的给予业主委员会、物业管理委员会有关人员及聘请的专职工作人员报酬或者补贴；</w:t>
      </w:r>
    </w:p>
    <w:p w14:paraId="203F44C3">
      <w:pPr>
        <w:keepNext w:val="0"/>
        <w:keepLines w:val="0"/>
        <w:pageBreakBefore w:val="0"/>
        <w:widowControl w:val="0"/>
        <w:kinsoku w:val="0"/>
        <w:wordWrap/>
        <w:overflowPunct/>
        <w:topLinePunct w:val="0"/>
        <w:autoSpaceDE w:val="0"/>
        <w:autoSpaceDN w:val="0"/>
        <w:bidi w:val="0"/>
        <w:adjustRightInd w:val="0"/>
        <w:snapToGrid w:val="0"/>
        <w:spacing w:line="560" w:lineRule="exact"/>
        <w:ind w:firstLine="660" w:firstLineChars="200"/>
        <w:textAlignment w:val="baseline"/>
        <w:rPr>
          <w:rFonts w:hint="eastAsia" w:ascii="Times New Roman" w:hAnsi="Times New Roman" w:eastAsia="方正仿宋_GBK" w:cs="方正仿宋_GBK"/>
          <w:color w:val="auto"/>
          <w:spacing w:val="5"/>
          <w:sz w:val="32"/>
          <w:szCs w:val="32"/>
          <w:highlight w:val="none"/>
          <w:lang w:eastAsia="zh-CN"/>
        </w:rPr>
      </w:pPr>
      <w:r>
        <w:rPr>
          <w:rFonts w:hint="eastAsia" w:ascii="Times New Roman" w:hAnsi="Times New Roman" w:eastAsia="方正仿宋_GBK" w:cs="方正仿宋_GBK"/>
          <w:color w:val="auto"/>
          <w:spacing w:val="5"/>
          <w:sz w:val="32"/>
          <w:szCs w:val="32"/>
          <w:highlight w:val="none"/>
          <w:lang w:val="en-US" w:eastAsia="zh-CN"/>
        </w:rPr>
        <w:t>4</w:t>
      </w:r>
      <w:r>
        <w:rPr>
          <w:rFonts w:hint="default" w:ascii="Times New Roman" w:hAnsi="Times New Roman" w:eastAsia="方正仿宋_GBK" w:cs="方正仿宋_GBK"/>
          <w:color w:val="auto"/>
          <w:spacing w:val="5"/>
          <w:sz w:val="32"/>
          <w:szCs w:val="32"/>
          <w:highlight w:val="none"/>
        </w:rPr>
        <w:t>.委托第三方开展评估鉴定、财务审计、招标代理等费用</w:t>
      </w:r>
      <w:r>
        <w:rPr>
          <w:rFonts w:hint="eastAsia" w:ascii="Times New Roman" w:hAnsi="Times New Roman" w:eastAsia="方正仿宋_GBK" w:cs="方正仿宋_GBK"/>
          <w:color w:val="auto"/>
          <w:spacing w:val="5"/>
          <w:sz w:val="32"/>
          <w:szCs w:val="32"/>
          <w:highlight w:val="none"/>
          <w:lang w:eastAsia="zh-CN"/>
        </w:rPr>
        <w:t>；</w:t>
      </w:r>
    </w:p>
    <w:p w14:paraId="2B0F6108">
      <w:pPr>
        <w:keepNext w:val="0"/>
        <w:keepLines w:val="0"/>
        <w:pageBreakBefore w:val="0"/>
        <w:widowControl w:val="0"/>
        <w:kinsoku w:val="0"/>
        <w:wordWrap/>
        <w:overflowPunct/>
        <w:topLinePunct w:val="0"/>
        <w:autoSpaceDE w:val="0"/>
        <w:autoSpaceDN w:val="0"/>
        <w:bidi w:val="0"/>
        <w:adjustRightInd w:val="0"/>
        <w:snapToGrid w:val="0"/>
        <w:spacing w:line="560" w:lineRule="exact"/>
        <w:ind w:firstLine="660" w:firstLineChars="200"/>
        <w:textAlignment w:val="baseline"/>
        <w:rPr>
          <w:rFonts w:hint="default" w:ascii="Times New Roman" w:hAnsi="Times New Roman" w:eastAsia="方正仿宋_GBK" w:cs="方正仿宋_GBK"/>
          <w:color w:val="auto"/>
          <w:spacing w:val="5"/>
          <w:sz w:val="32"/>
          <w:szCs w:val="32"/>
          <w:highlight w:val="none"/>
        </w:rPr>
      </w:pPr>
      <w:r>
        <w:rPr>
          <w:rFonts w:hint="eastAsia" w:ascii="Times New Roman" w:hAnsi="Times New Roman" w:eastAsia="方正仿宋_GBK" w:cs="方正仿宋_GBK"/>
          <w:color w:val="auto"/>
          <w:spacing w:val="5"/>
          <w:sz w:val="32"/>
          <w:szCs w:val="32"/>
          <w:highlight w:val="none"/>
          <w:lang w:val="en-US" w:eastAsia="zh-CN"/>
        </w:rPr>
        <w:t>5</w:t>
      </w:r>
      <w:r>
        <w:rPr>
          <w:rFonts w:hint="default" w:ascii="Times New Roman" w:hAnsi="Times New Roman" w:eastAsia="方正仿宋_GBK" w:cs="方正仿宋_GBK"/>
          <w:color w:val="auto"/>
          <w:spacing w:val="5"/>
          <w:sz w:val="32"/>
          <w:szCs w:val="32"/>
          <w:highlight w:val="none"/>
        </w:rPr>
        <w:t>.房屋及共用设施设备的保险、体检费用；</w:t>
      </w:r>
    </w:p>
    <w:p w14:paraId="6CA451CB">
      <w:pPr>
        <w:keepNext w:val="0"/>
        <w:keepLines w:val="0"/>
        <w:pageBreakBefore w:val="0"/>
        <w:widowControl w:val="0"/>
        <w:kinsoku w:val="0"/>
        <w:wordWrap/>
        <w:overflowPunct/>
        <w:topLinePunct w:val="0"/>
        <w:autoSpaceDE w:val="0"/>
        <w:autoSpaceDN w:val="0"/>
        <w:bidi w:val="0"/>
        <w:adjustRightInd w:val="0"/>
        <w:snapToGrid w:val="0"/>
        <w:spacing w:line="560" w:lineRule="exact"/>
        <w:ind w:firstLine="660" w:firstLineChars="200"/>
        <w:textAlignment w:val="baseline"/>
        <w:rPr>
          <w:rFonts w:hint="default" w:ascii="Times New Roman" w:hAnsi="Times New Roman" w:eastAsia="方正仿宋_GBK" w:cs="方正仿宋_GBK"/>
          <w:color w:val="auto"/>
          <w:spacing w:val="5"/>
          <w:sz w:val="32"/>
          <w:szCs w:val="32"/>
          <w:highlight w:val="none"/>
        </w:rPr>
      </w:pPr>
      <w:r>
        <w:rPr>
          <w:rFonts w:hint="eastAsia" w:ascii="Times New Roman" w:hAnsi="Times New Roman" w:eastAsia="方正仿宋_GBK" w:cs="方正仿宋_GBK"/>
          <w:color w:val="auto"/>
          <w:spacing w:val="5"/>
          <w:sz w:val="32"/>
          <w:szCs w:val="32"/>
          <w:highlight w:val="none"/>
          <w:lang w:val="en-US" w:eastAsia="zh-CN"/>
        </w:rPr>
        <w:t>6</w:t>
      </w:r>
      <w:r>
        <w:rPr>
          <w:rFonts w:hint="default" w:ascii="Times New Roman" w:hAnsi="Times New Roman" w:eastAsia="方正仿宋_GBK" w:cs="方正仿宋_GBK"/>
          <w:color w:val="auto"/>
          <w:spacing w:val="5"/>
          <w:sz w:val="32"/>
          <w:szCs w:val="32"/>
          <w:highlight w:val="none"/>
        </w:rPr>
        <w:t>.电动自行车充电设施、智能安防设施、文体设施等业主共有设施设备增设费用；</w:t>
      </w:r>
    </w:p>
    <w:p w14:paraId="58D4CA8F">
      <w:pPr>
        <w:keepNext w:val="0"/>
        <w:keepLines w:val="0"/>
        <w:pageBreakBefore w:val="0"/>
        <w:widowControl w:val="0"/>
        <w:kinsoku w:val="0"/>
        <w:wordWrap/>
        <w:overflowPunct/>
        <w:topLinePunct w:val="0"/>
        <w:autoSpaceDE w:val="0"/>
        <w:autoSpaceDN w:val="0"/>
        <w:bidi w:val="0"/>
        <w:adjustRightInd w:val="0"/>
        <w:snapToGrid w:val="0"/>
        <w:spacing w:line="560" w:lineRule="exact"/>
        <w:ind w:firstLine="660" w:firstLineChars="200"/>
        <w:textAlignment w:val="baseline"/>
        <w:rPr>
          <w:rFonts w:hint="default" w:ascii="Times New Roman" w:hAnsi="Times New Roman" w:eastAsia="方正仿宋_GBK" w:cs="方正仿宋_GBK"/>
          <w:color w:val="auto"/>
          <w:spacing w:val="5"/>
          <w:sz w:val="32"/>
          <w:szCs w:val="32"/>
          <w:highlight w:val="none"/>
        </w:rPr>
      </w:pPr>
      <w:r>
        <w:rPr>
          <w:rFonts w:hint="eastAsia" w:ascii="Times New Roman" w:hAnsi="Times New Roman" w:eastAsia="方正仿宋_GBK" w:cs="方正仿宋_GBK"/>
          <w:color w:val="auto"/>
          <w:spacing w:val="5"/>
          <w:sz w:val="32"/>
          <w:szCs w:val="32"/>
          <w:highlight w:val="none"/>
          <w:lang w:val="en-US" w:eastAsia="zh-CN"/>
        </w:rPr>
        <w:t>7</w:t>
      </w:r>
      <w:r>
        <w:rPr>
          <w:rFonts w:hint="default" w:ascii="Times New Roman" w:hAnsi="Times New Roman" w:eastAsia="方正仿宋_GBK" w:cs="方正仿宋_GBK"/>
          <w:color w:val="auto"/>
          <w:spacing w:val="5"/>
          <w:sz w:val="32"/>
          <w:szCs w:val="32"/>
          <w:highlight w:val="none"/>
        </w:rPr>
        <w:t>.经业主大会决定抵扣应当由业主支付的物业服务费用、水电公摊费用；</w:t>
      </w:r>
    </w:p>
    <w:p w14:paraId="4A01F03C">
      <w:pPr>
        <w:keepNext w:val="0"/>
        <w:keepLines w:val="0"/>
        <w:pageBreakBefore w:val="0"/>
        <w:widowControl w:val="0"/>
        <w:kinsoku w:val="0"/>
        <w:wordWrap/>
        <w:overflowPunct/>
        <w:topLinePunct w:val="0"/>
        <w:autoSpaceDE w:val="0"/>
        <w:autoSpaceDN w:val="0"/>
        <w:bidi w:val="0"/>
        <w:adjustRightInd w:val="0"/>
        <w:snapToGrid w:val="0"/>
        <w:spacing w:line="560" w:lineRule="exact"/>
        <w:ind w:firstLine="660" w:firstLineChars="200"/>
        <w:textAlignment w:val="baseline"/>
        <w:rPr>
          <w:rFonts w:hint="default" w:ascii="Times New Roman" w:hAnsi="Times New Roman" w:eastAsia="仿宋_GB2312" w:cs="仿宋_GB2312"/>
          <w:i w:val="0"/>
          <w:iCs w:val="0"/>
          <w:caps w:val="0"/>
          <w:color w:val="auto"/>
          <w:spacing w:val="0"/>
          <w:sz w:val="32"/>
          <w:szCs w:val="32"/>
          <w:highlight w:val="none"/>
        </w:rPr>
      </w:pPr>
      <w:r>
        <w:rPr>
          <w:rFonts w:hint="eastAsia" w:ascii="Times New Roman" w:hAnsi="Times New Roman" w:eastAsia="方正仿宋_GBK" w:cs="方正仿宋_GBK"/>
          <w:color w:val="auto"/>
          <w:spacing w:val="5"/>
          <w:sz w:val="32"/>
          <w:szCs w:val="32"/>
          <w:highlight w:val="none"/>
          <w:lang w:val="en-US" w:eastAsia="zh-CN"/>
        </w:rPr>
        <w:t>8</w:t>
      </w:r>
      <w:r>
        <w:rPr>
          <w:rFonts w:hint="default" w:ascii="Times New Roman" w:hAnsi="Times New Roman" w:eastAsia="方正仿宋_GBK" w:cs="方正仿宋_GBK"/>
          <w:color w:val="auto"/>
          <w:spacing w:val="5"/>
          <w:sz w:val="32"/>
          <w:szCs w:val="32"/>
          <w:highlight w:val="none"/>
        </w:rPr>
        <w:t>.业主大会决定的其他用途或者支出。</w:t>
      </w:r>
    </w:p>
    <w:p w14:paraId="705C7125">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jc w:val="both"/>
        <w:textAlignment w:val="auto"/>
        <w:rPr>
          <w:rFonts w:hint="default" w:ascii="Times New Roman" w:hAnsi="Times New Roman" w:eastAsia="仿宋_GB2312" w:cs="仿宋_GB2312"/>
          <w:i w:val="0"/>
          <w:iCs w:val="0"/>
          <w:caps w:val="0"/>
          <w:color w:val="auto"/>
          <w:spacing w:val="0"/>
          <w:sz w:val="32"/>
          <w:szCs w:val="32"/>
          <w:highlight w:val="none"/>
        </w:rPr>
      </w:pPr>
      <w:r>
        <w:rPr>
          <w:rFonts w:hint="default" w:ascii="Times New Roman" w:hAnsi="Times New Roman" w:eastAsia="方正楷体_GBK" w:cs="方正楷体_GBK"/>
          <w:b w:val="0"/>
          <w:bCs w:val="0"/>
          <w:i w:val="0"/>
          <w:iCs w:val="0"/>
          <w:caps w:val="0"/>
          <w:color w:val="auto"/>
          <w:spacing w:val="0"/>
          <w:sz w:val="32"/>
          <w:szCs w:val="32"/>
          <w:highlight w:val="none"/>
        </w:rPr>
        <w:t>（二）下列费用不得从公共收益中列支：</w:t>
      </w:r>
    </w:p>
    <w:p w14:paraId="58589A93">
      <w:pPr>
        <w:keepNext w:val="0"/>
        <w:keepLines w:val="0"/>
        <w:pageBreakBefore w:val="0"/>
        <w:widowControl w:val="0"/>
        <w:kinsoku w:val="0"/>
        <w:wordWrap/>
        <w:overflowPunct/>
        <w:topLinePunct w:val="0"/>
        <w:autoSpaceDE w:val="0"/>
        <w:autoSpaceDN w:val="0"/>
        <w:bidi w:val="0"/>
        <w:adjustRightInd w:val="0"/>
        <w:snapToGrid w:val="0"/>
        <w:spacing w:line="560" w:lineRule="exact"/>
        <w:ind w:firstLine="660" w:firstLineChars="200"/>
        <w:textAlignment w:val="baseline"/>
        <w:rPr>
          <w:rFonts w:hint="default" w:ascii="Times New Roman" w:hAnsi="Times New Roman" w:eastAsia="方正仿宋_GBK" w:cs="方正仿宋_GBK"/>
          <w:color w:val="auto"/>
          <w:spacing w:val="5"/>
          <w:sz w:val="32"/>
          <w:szCs w:val="32"/>
          <w:highlight w:val="none"/>
        </w:rPr>
      </w:pPr>
      <w:r>
        <w:rPr>
          <w:rFonts w:hint="default" w:ascii="Times New Roman" w:hAnsi="Times New Roman" w:eastAsia="方正仿宋_GBK" w:cs="方正仿宋_GBK"/>
          <w:color w:val="auto"/>
          <w:spacing w:val="5"/>
          <w:sz w:val="32"/>
          <w:szCs w:val="32"/>
          <w:highlight w:val="none"/>
        </w:rPr>
        <w:t>1.依法应当由建设单位或者施工单位承担的</w:t>
      </w:r>
      <w:r>
        <w:rPr>
          <w:rFonts w:hint="eastAsia" w:ascii="Times New Roman" w:hAnsi="Times New Roman" w:eastAsia="方正仿宋_GBK" w:cs="方正仿宋_GBK"/>
          <w:color w:val="auto"/>
          <w:spacing w:val="5"/>
          <w:sz w:val="32"/>
          <w:szCs w:val="32"/>
          <w:highlight w:val="none"/>
          <w:lang w:eastAsia="zh-CN"/>
        </w:rPr>
        <w:t>物业管理区域</w:t>
      </w:r>
      <w:r>
        <w:rPr>
          <w:rFonts w:hint="default" w:ascii="Times New Roman" w:hAnsi="Times New Roman" w:eastAsia="方正仿宋_GBK" w:cs="方正仿宋_GBK"/>
          <w:color w:val="auto"/>
          <w:spacing w:val="5"/>
          <w:sz w:val="32"/>
          <w:szCs w:val="32"/>
          <w:highlight w:val="none"/>
        </w:rPr>
        <w:t>共用部位、共用设施设备维修、更新和改造费用；</w:t>
      </w:r>
    </w:p>
    <w:p w14:paraId="18D93DAE">
      <w:pPr>
        <w:keepNext w:val="0"/>
        <w:keepLines w:val="0"/>
        <w:pageBreakBefore w:val="0"/>
        <w:widowControl w:val="0"/>
        <w:kinsoku w:val="0"/>
        <w:wordWrap/>
        <w:overflowPunct/>
        <w:topLinePunct w:val="0"/>
        <w:autoSpaceDE w:val="0"/>
        <w:autoSpaceDN w:val="0"/>
        <w:bidi w:val="0"/>
        <w:adjustRightInd w:val="0"/>
        <w:snapToGrid w:val="0"/>
        <w:spacing w:line="560" w:lineRule="exact"/>
        <w:ind w:firstLine="660" w:firstLineChars="200"/>
        <w:textAlignment w:val="baseline"/>
        <w:rPr>
          <w:rFonts w:hint="default" w:ascii="Times New Roman" w:hAnsi="Times New Roman" w:eastAsia="方正仿宋_GBK" w:cs="方正仿宋_GBK"/>
          <w:color w:val="auto"/>
          <w:spacing w:val="5"/>
          <w:sz w:val="32"/>
          <w:szCs w:val="32"/>
          <w:highlight w:val="none"/>
        </w:rPr>
      </w:pPr>
      <w:r>
        <w:rPr>
          <w:rFonts w:hint="default" w:ascii="Times New Roman" w:hAnsi="Times New Roman" w:eastAsia="方正仿宋_GBK" w:cs="方正仿宋_GBK"/>
          <w:color w:val="auto"/>
          <w:spacing w:val="5"/>
          <w:sz w:val="32"/>
          <w:szCs w:val="32"/>
          <w:highlight w:val="none"/>
        </w:rPr>
        <w:t>2.依法应当由相关单位承担的供水、供电、供气、供热、通讯、有线电视等管线和设施设备的维修、养护费用；</w:t>
      </w:r>
    </w:p>
    <w:p w14:paraId="04E48536">
      <w:pPr>
        <w:keepNext w:val="0"/>
        <w:keepLines w:val="0"/>
        <w:pageBreakBefore w:val="0"/>
        <w:widowControl w:val="0"/>
        <w:kinsoku w:val="0"/>
        <w:wordWrap/>
        <w:overflowPunct/>
        <w:topLinePunct w:val="0"/>
        <w:autoSpaceDE w:val="0"/>
        <w:autoSpaceDN w:val="0"/>
        <w:bidi w:val="0"/>
        <w:adjustRightInd w:val="0"/>
        <w:snapToGrid w:val="0"/>
        <w:spacing w:line="560" w:lineRule="exact"/>
        <w:ind w:firstLine="660" w:firstLineChars="200"/>
        <w:textAlignment w:val="baseline"/>
        <w:rPr>
          <w:rFonts w:hint="default" w:ascii="Times New Roman" w:hAnsi="Times New Roman" w:eastAsia="方正仿宋_GBK" w:cs="方正仿宋_GBK"/>
          <w:color w:val="auto"/>
          <w:spacing w:val="5"/>
          <w:sz w:val="32"/>
          <w:szCs w:val="32"/>
          <w:highlight w:val="none"/>
        </w:rPr>
      </w:pPr>
      <w:r>
        <w:rPr>
          <w:rFonts w:hint="default" w:ascii="Times New Roman" w:hAnsi="Times New Roman" w:eastAsia="方正仿宋_GBK" w:cs="方正仿宋_GBK"/>
          <w:color w:val="auto"/>
          <w:spacing w:val="5"/>
          <w:sz w:val="32"/>
          <w:szCs w:val="32"/>
          <w:highlight w:val="none"/>
        </w:rPr>
        <w:t>3.应当由当事人承担的因人为损坏住宅共用部位、共用设施设备所需的修复费用；</w:t>
      </w:r>
    </w:p>
    <w:p w14:paraId="1C381A32">
      <w:pPr>
        <w:keepNext w:val="0"/>
        <w:keepLines w:val="0"/>
        <w:pageBreakBefore w:val="0"/>
        <w:widowControl w:val="0"/>
        <w:kinsoku w:val="0"/>
        <w:wordWrap/>
        <w:overflowPunct/>
        <w:topLinePunct w:val="0"/>
        <w:autoSpaceDE w:val="0"/>
        <w:autoSpaceDN w:val="0"/>
        <w:bidi w:val="0"/>
        <w:adjustRightInd w:val="0"/>
        <w:snapToGrid w:val="0"/>
        <w:spacing w:line="560" w:lineRule="exact"/>
        <w:ind w:firstLine="660" w:firstLineChars="200"/>
        <w:textAlignment w:val="baseline"/>
        <w:rPr>
          <w:rFonts w:hint="default" w:ascii="Times New Roman" w:hAnsi="Times New Roman" w:eastAsia="方正仿宋_GBK" w:cs="方正仿宋_GBK"/>
          <w:color w:val="auto"/>
          <w:spacing w:val="5"/>
          <w:sz w:val="32"/>
          <w:szCs w:val="32"/>
          <w:highlight w:val="none"/>
        </w:rPr>
      </w:pPr>
      <w:r>
        <w:rPr>
          <w:rFonts w:hint="default" w:ascii="Times New Roman" w:hAnsi="Times New Roman" w:eastAsia="方正仿宋_GBK" w:cs="方正仿宋_GBK"/>
          <w:color w:val="auto"/>
          <w:spacing w:val="5"/>
          <w:sz w:val="32"/>
          <w:szCs w:val="32"/>
          <w:highlight w:val="none"/>
        </w:rPr>
        <w:t>4.根据前期物业服务合同或者物业服务合同的约定，应当由物业服务人承担的住宅共用部位、共用设施设备的维修和养护费用。</w:t>
      </w:r>
    </w:p>
    <w:p w14:paraId="70E0721C">
      <w:pPr>
        <w:keepNext w:val="0"/>
        <w:keepLines w:val="0"/>
        <w:pageBreakBefore w:val="0"/>
        <w:widowControl w:val="0"/>
        <w:kinsoku w:val="0"/>
        <w:wordWrap/>
        <w:overflowPunct/>
        <w:topLinePunct w:val="0"/>
        <w:autoSpaceDE w:val="0"/>
        <w:autoSpaceDN w:val="0"/>
        <w:bidi w:val="0"/>
        <w:adjustRightInd w:val="0"/>
        <w:snapToGrid w:val="0"/>
        <w:spacing w:line="560" w:lineRule="exact"/>
        <w:ind w:firstLine="660" w:firstLineChars="200"/>
        <w:textAlignment w:val="baseline"/>
        <w:rPr>
          <w:rFonts w:hint="default" w:ascii="Times New Roman" w:hAnsi="Times New Roman" w:eastAsia="方正仿宋_GBK" w:cs="方正仿宋_GBK"/>
          <w:color w:val="auto"/>
          <w:spacing w:val="5"/>
          <w:sz w:val="32"/>
          <w:szCs w:val="32"/>
          <w:highlight w:val="none"/>
        </w:rPr>
      </w:pPr>
      <w:r>
        <w:rPr>
          <w:rFonts w:hint="default" w:ascii="Times New Roman" w:hAnsi="Times New Roman" w:eastAsia="方正仿宋_GBK" w:cs="方正仿宋_GBK"/>
          <w:color w:val="auto"/>
          <w:spacing w:val="5"/>
          <w:sz w:val="32"/>
          <w:szCs w:val="32"/>
          <w:highlight w:val="none"/>
        </w:rPr>
        <w:t>5.业主大会决定不得列支的其他情形。</w:t>
      </w:r>
    </w:p>
    <w:p w14:paraId="4CB00E45">
      <w:pPr>
        <w:keepNext w:val="0"/>
        <w:keepLines w:val="0"/>
        <w:pageBreakBefore w:val="0"/>
        <w:widowControl w:val="0"/>
        <w:kinsoku w:val="0"/>
        <w:wordWrap/>
        <w:overflowPunct/>
        <w:topLinePunct w:val="0"/>
        <w:autoSpaceDE w:val="0"/>
        <w:autoSpaceDN w:val="0"/>
        <w:bidi w:val="0"/>
        <w:adjustRightInd w:val="0"/>
        <w:snapToGrid w:val="0"/>
        <w:spacing w:line="560" w:lineRule="exact"/>
        <w:ind w:firstLine="660" w:firstLineChars="200"/>
        <w:textAlignment w:val="baseline"/>
        <w:rPr>
          <w:rFonts w:hint="default" w:ascii="Times New Roman" w:hAnsi="Times New Roman" w:eastAsia="仿宋_GB2312" w:cs="仿宋_GB2312"/>
          <w:i w:val="0"/>
          <w:iCs w:val="0"/>
          <w:caps w:val="0"/>
          <w:color w:val="auto"/>
          <w:spacing w:val="0"/>
          <w:sz w:val="32"/>
          <w:szCs w:val="32"/>
          <w:highlight w:val="none"/>
        </w:rPr>
      </w:pPr>
      <w:r>
        <w:rPr>
          <w:rFonts w:hint="default" w:ascii="Times New Roman" w:hAnsi="Times New Roman" w:eastAsia="方正仿宋_GBK" w:cs="方正仿宋_GBK"/>
          <w:color w:val="auto"/>
          <w:spacing w:val="5"/>
          <w:sz w:val="32"/>
          <w:szCs w:val="32"/>
          <w:highlight w:val="none"/>
        </w:rPr>
        <w:t>任何单位、组织或者个人不得违法违规侵占公共收益。</w:t>
      </w:r>
    </w:p>
    <w:p w14:paraId="70D74278">
      <w:pPr>
        <w:keepNext w:val="0"/>
        <w:keepLines w:val="0"/>
        <w:pageBreakBefore w:val="0"/>
        <w:widowControl w:val="0"/>
        <w:kinsoku w:val="0"/>
        <w:wordWrap/>
        <w:overflowPunct/>
        <w:topLinePunct w:val="0"/>
        <w:autoSpaceDE w:val="0"/>
        <w:autoSpaceDN w:val="0"/>
        <w:bidi w:val="0"/>
        <w:adjustRightInd w:val="0"/>
        <w:snapToGrid w:val="0"/>
        <w:spacing w:line="560" w:lineRule="exact"/>
        <w:ind w:left="679"/>
        <w:textAlignment w:val="baseline"/>
        <w:outlineLvl w:val="2"/>
        <w:rPr>
          <w:rFonts w:hint="eastAsia" w:ascii="Times New Roman" w:hAnsi="Times New Roman" w:eastAsia="方正黑体_GBK" w:cs="方正黑体_GBK"/>
          <w:b w:val="0"/>
          <w:bCs w:val="0"/>
          <w:color w:val="auto"/>
          <w:spacing w:val="-4"/>
          <w:sz w:val="32"/>
          <w:szCs w:val="32"/>
          <w:highlight w:val="none"/>
          <w:lang w:val="en-US" w:eastAsia="zh-CN"/>
        </w:rPr>
      </w:pPr>
      <w:r>
        <w:rPr>
          <w:rFonts w:hint="eastAsia" w:ascii="Times New Roman" w:hAnsi="Times New Roman" w:eastAsia="方正黑体_GBK" w:cs="方正黑体_GBK"/>
          <w:b w:val="0"/>
          <w:bCs w:val="0"/>
          <w:color w:val="auto"/>
          <w:spacing w:val="-4"/>
          <w:sz w:val="32"/>
          <w:szCs w:val="32"/>
          <w:highlight w:val="none"/>
          <w:lang w:val="en-US" w:eastAsia="zh-CN"/>
        </w:rPr>
        <w:t>五</w:t>
      </w:r>
      <w:r>
        <w:rPr>
          <w:rFonts w:hint="eastAsia" w:ascii="Times New Roman" w:hAnsi="Times New Roman" w:eastAsia="方正黑体_GBK" w:cs="方正黑体_GBK"/>
          <w:b w:val="0"/>
          <w:bCs w:val="0"/>
          <w:color w:val="auto"/>
          <w:spacing w:val="-4"/>
          <w:sz w:val="32"/>
          <w:szCs w:val="32"/>
          <w:highlight w:val="none"/>
        </w:rPr>
        <w:t>、公共收益使用</w:t>
      </w:r>
      <w:r>
        <w:rPr>
          <w:rFonts w:hint="eastAsia" w:ascii="Times New Roman" w:hAnsi="Times New Roman" w:eastAsia="方正黑体_GBK" w:cs="方正黑体_GBK"/>
          <w:b w:val="0"/>
          <w:bCs w:val="0"/>
          <w:color w:val="auto"/>
          <w:spacing w:val="-4"/>
          <w:sz w:val="32"/>
          <w:szCs w:val="32"/>
          <w:highlight w:val="none"/>
          <w:lang w:eastAsia="zh-CN"/>
        </w:rPr>
        <w:t>程序</w:t>
      </w:r>
    </w:p>
    <w:p w14:paraId="72C7FDD0">
      <w:pPr>
        <w:keepNext w:val="0"/>
        <w:keepLines w:val="0"/>
        <w:pageBreakBefore w:val="0"/>
        <w:widowControl w:val="0"/>
        <w:kinsoku w:val="0"/>
        <w:wordWrap/>
        <w:overflowPunct/>
        <w:topLinePunct w:val="0"/>
        <w:autoSpaceDE w:val="0"/>
        <w:autoSpaceDN w:val="0"/>
        <w:bidi w:val="0"/>
        <w:adjustRightInd w:val="0"/>
        <w:snapToGrid w:val="0"/>
        <w:spacing w:line="560" w:lineRule="exact"/>
        <w:ind w:firstLine="660" w:firstLineChars="200"/>
        <w:textAlignment w:val="baseline"/>
        <w:rPr>
          <w:rFonts w:hint="eastAsia" w:ascii="Times New Roman" w:hAnsi="Times New Roman" w:eastAsia="方正仿宋_GBK" w:cs="方正仿宋_GBK"/>
          <w:color w:val="auto"/>
          <w:spacing w:val="5"/>
          <w:sz w:val="32"/>
          <w:szCs w:val="32"/>
          <w:highlight w:val="none"/>
        </w:rPr>
      </w:pPr>
      <w:r>
        <w:rPr>
          <w:rFonts w:hint="eastAsia" w:ascii="Times New Roman" w:hAnsi="Times New Roman" w:eastAsia="方正楷体_GBK" w:cs="方正楷体_GBK"/>
          <w:color w:val="auto"/>
          <w:spacing w:val="5"/>
          <w:sz w:val="32"/>
          <w:szCs w:val="32"/>
          <w:highlight w:val="none"/>
          <w:lang w:eastAsia="zh-CN"/>
        </w:rPr>
        <w:t>（一）</w:t>
      </w:r>
      <w:r>
        <w:rPr>
          <w:rFonts w:hint="eastAsia" w:ascii="Times New Roman" w:hAnsi="Times New Roman" w:eastAsia="方正仿宋_GBK" w:cs="方正仿宋_GBK"/>
          <w:color w:val="auto"/>
          <w:spacing w:val="5"/>
          <w:sz w:val="32"/>
          <w:szCs w:val="32"/>
          <w:highlight w:val="none"/>
        </w:rPr>
        <w:t>用于补充物业专项维修资金的公共收益，使用流程参照物业专项维修资金使用规定执行。</w:t>
      </w:r>
    </w:p>
    <w:p w14:paraId="385EDB45">
      <w:pPr>
        <w:keepNext w:val="0"/>
        <w:keepLines w:val="0"/>
        <w:pageBreakBefore w:val="0"/>
        <w:widowControl w:val="0"/>
        <w:kinsoku w:val="0"/>
        <w:wordWrap/>
        <w:overflowPunct/>
        <w:topLinePunct w:val="0"/>
        <w:autoSpaceDE w:val="0"/>
        <w:autoSpaceDN w:val="0"/>
        <w:bidi w:val="0"/>
        <w:adjustRightInd w:val="0"/>
        <w:snapToGrid w:val="0"/>
        <w:spacing w:line="560" w:lineRule="exact"/>
        <w:ind w:firstLine="660" w:firstLineChars="200"/>
        <w:textAlignment w:val="baseline"/>
        <w:rPr>
          <w:rFonts w:hint="eastAsia" w:ascii="Times New Roman" w:hAnsi="Times New Roman" w:eastAsia="方正仿宋_GBK" w:cs="方正仿宋_GBK"/>
          <w:color w:val="auto"/>
          <w:spacing w:val="5"/>
          <w:sz w:val="32"/>
          <w:szCs w:val="32"/>
          <w:highlight w:val="none"/>
        </w:rPr>
      </w:pPr>
      <w:r>
        <w:rPr>
          <w:rFonts w:hint="eastAsia" w:ascii="Times New Roman" w:hAnsi="Times New Roman" w:eastAsia="方正楷体_GBK" w:cs="方正楷体_GBK"/>
          <w:color w:val="auto"/>
          <w:spacing w:val="5"/>
          <w:sz w:val="32"/>
          <w:szCs w:val="32"/>
          <w:highlight w:val="none"/>
          <w:lang w:eastAsia="zh-CN"/>
        </w:rPr>
        <w:t>（二）</w:t>
      </w:r>
      <w:r>
        <w:rPr>
          <w:rFonts w:hint="eastAsia" w:ascii="Times New Roman" w:hAnsi="Times New Roman" w:eastAsia="方正仿宋_GBK" w:cs="方正仿宋_GBK"/>
          <w:color w:val="auto"/>
          <w:spacing w:val="5"/>
          <w:sz w:val="32"/>
          <w:szCs w:val="32"/>
          <w:highlight w:val="none"/>
        </w:rPr>
        <w:t>自行管理的公共收益，由业主委员会按业主大会决定</w:t>
      </w:r>
      <w:r>
        <w:rPr>
          <w:rFonts w:hint="default" w:ascii="Times New Roman" w:hAnsi="Times New Roman" w:eastAsia="方正仿宋_GBK" w:cs="方正仿宋_GBK"/>
          <w:color w:val="auto"/>
          <w:spacing w:val="5"/>
          <w:sz w:val="32"/>
          <w:szCs w:val="32"/>
          <w:highlight w:val="none"/>
        </w:rPr>
        <w:t>以及管理规约、业主大会议事规则约定使用。鼓励业主大会将扣除合理成本</w:t>
      </w:r>
      <w:r>
        <w:rPr>
          <w:rFonts w:hint="eastAsia" w:ascii="Times New Roman" w:hAnsi="Times New Roman" w:eastAsia="方正仿宋_GBK" w:cs="方正仿宋_GBK"/>
          <w:color w:val="auto"/>
          <w:spacing w:val="5"/>
          <w:sz w:val="32"/>
          <w:szCs w:val="32"/>
          <w:highlight w:val="none"/>
          <w:lang w:eastAsia="zh-CN"/>
        </w:rPr>
        <w:t>和</w:t>
      </w:r>
      <w:r>
        <w:rPr>
          <w:rFonts w:hint="eastAsia" w:ascii="Times New Roman" w:hAnsi="Times New Roman" w:eastAsia="方正仿宋_GBK" w:cs="方正仿宋_GBK"/>
          <w:color w:val="auto"/>
          <w:spacing w:val="5"/>
          <w:sz w:val="32"/>
          <w:szCs w:val="32"/>
          <w:highlight w:val="none"/>
        </w:rPr>
        <w:t>管理服务费用</w:t>
      </w:r>
      <w:r>
        <w:rPr>
          <w:rFonts w:hint="default" w:ascii="Times New Roman" w:hAnsi="Times New Roman" w:eastAsia="方正仿宋_GBK" w:cs="方正仿宋_GBK"/>
          <w:color w:val="auto"/>
          <w:spacing w:val="5"/>
          <w:sz w:val="32"/>
          <w:szCs w:val="32"/>
          <w:highlight w:val="none"/>
        </w:rPr>
        <w:t>后的业主共有公共收益优先用于补充</w:t>
      </w:r>
      <w:r>
        <w:rPr>
          <w:rFonts w:hint="eastAsia" w:ascii="Times New Roman" w:hAnsi="Times New Roman" w:eastAsia="方正仿宋_GBK" w:cs="方正仿宋_GBK"/>
          <w:color w:val="auto"/>
          <w:spacing w:val="5"/>
          <w:sz w:val="32"/>
          <w:szCs w:val="32"/>
          <w:highlight w:val="none"/>
          <w:lang w:eastAsia="zh-CN"/>
        </w:rPr>
        <w:t>物业专项维修资金</w:t>
      </w:r>
      <w:r>
        <w:rPr>
          <w:rFonts w:hint="eastAsia" w:ascii="Times New Roman" w:hAnsi="Times New Roman" w:eastAsia="方正仿宋_GBK" w:cs="方正仿宋_GBK"/>
          <w:color w:val="auto"/>
          <w:spacing w:val="5"/>
          <w:sz w:val="32"/>
          <w:szCs w:val="32"/>
          <w:highlight w:val="none"/>
        </w:rPr>
        <w:t>。</w:t>
      </w:r>
    </w:p>
    <w:p w14:paraId="4987839D">
      <w:pPr>
        <w:keepNext w:val="0"/>
        <w:keepLines w:val="0"/>
        <w:pageBreakBefore w:val="0"/>
        <w:widowControl w:val="0"/>
        <w:kinsoku w:val="0"/>
        <w:wordWrap/>
        <w:overflowPunct/>
        <w:topLinePunct w:val="0"/>
        <w:autoSpaceDE w:val="0"/>
        <w:autoSpaceDN w:val="0"/>
        <w:bidi w:val="0"/>
        <w:adjustRightInd w:val="0"/>
        <w:snapToGrid w:val="0"/>
        <w:spacing w:line="560" w:lineRule="exact"/>
        <w:ind w:firstLine="660" w:firstLineChars="200"/>
        <w:textAlignment w:val="baseline"/>
        <w:rPr>
          <w:rFonts w:hint="eastAsia" w:ascii="Times New Roman" w:hAnsi="Times New Roman" w:eastAsia="方正仿宋_GBK" w:cs="方正仿宋_GBK"/>
          <w:color w:val="auto"/>
          <w:spacing w:val="5"/>
          <w:sz w:val="32"/>
          <w:szCs w:val="32"/>
          <w:highlight w:val="none"/>
        </w:rPr>
      </w:pPr>
      <w:r>
        <w:rPr>
          <w:rFonts w:hint="default" w:ascii="Times New Roman" w:hAnsi="Times New Roman" w:eastAsia="方正仿宋_GBK" w:cs="方正仿宋_GBK"/>
          <w:color w:val="auto"/>
          <w:spacing w:val="5"/>
          <w:sz w:val="32"/>
          <w:szCs w:val="32"/>
          <w:highlight w:val="none"/>
        </w:rPr>
        <w:t>业主大会在管理规约中或者物业管理委员会、居（村）民委员会在依法征得业主同意后，可依法采取一次性授权的方式</w:t>
      </w:r>
      <w:r>
        <w:rPr>
          <w:rFonts w:hint="eastAsia" w:ascii="Times New Roman" w:hAnsi="Times New Roman" w:eastAsia="方正仿宋_GBK" w:cs="方正仿宋_GBK"/>
          <w:color w:val="auto"/>
          <w:spacing w:val="5"/>
          <w:sz w:val="32"/>
          <w:szCs w:val="32"/>
          <w:highlight w:val="none"/>
          <w:lang w:eastAsia="zh-CN"/>
        </w:rPr>
        <w:t>，</w:t>
      </w:r>
      <w:r>
        <w:rPr>
          <w:rFonts w:hint="default" w:ascii="Times New Roman" w:hAnsi="Times New Roman" w:eastAsia="方正仿宋_GBK" w:cs="方正仿宋_GBK"/>
          <w:color w:val="auto"/>
          <w:spacing w:val="5"/>
          <w:sz w:val="32"/>
          <w:szCs w:val="32"/>
          <w:highlight w:val="none"/>
        </w:rPr>
        <w:t>授权业主委员会、</w:t>
      </w:r>
      <w:r>
        <w:rPr>
          <w:rFonts w:hint="eastAsia" w:ascii="Times New Roman" w:hAnsi="Times New Roman" w:eastAsia="方正仿宋_GBK" w:cs="方正仿宋_GBK"/>
          <w:color w:val="auto"/>
          <w:spacing w:val="5"/>
          <w:sz w:val="32"/>
          <w:szCs w:val="32"/>
          <w:highlight w:val="none"/>
          <w:lang w:eastAsia="zh-CN"/>
        </w:rPr>
        <w:t>物业自管小组</w:t>
      </w:r>
      <w:r>
        <w:rPr>
          <w:rFonts w:hint="default" w:ascii="Times New Roman" w:hAnsi="Times New Roman" w:eastAsia="方正仿宋_GBK" w:cs="方正仿宋_GBK"/>
          <w:color w:val="auto"/>
          <w:spacing w:val="5"/>
          <w:sz w:val="32"/>
          <w:szCs w:val="32"/>
          <w:highlight w:val="none"/>
        </w:rPr>
        <w:t>等行使一定额度内公共收益使用的决策权力，明确授权使用的情形、条件、额度和程序。</w:t>
      </w:r>
    </w:p>
    <w:p w14:paraId="68CEE598">
      <w:pPr>
        <w:keepNext w:val="0"/>
        <w:keepLines w:val="0"/>
        <w:pageBreakBefore w:val="0"/>
        <w:widowControl w:val="0"/>
        <w:kinsoku w:val="0"/>
        <w:wordWrap/>
        <w:overflowPunct/>
        <w:topLinePunct w:val="0"/>
        <w:autoSpaceDE w:val="0"/>
        <w:autoSpaceDN w:val="0"/>
        <w:bidi w:val="0"/>
        <w:adjustRightInd w:val="0"/>
        <w:snapToGrid w:val="0"/>
        <w:spacing w:line="560" w:lineRule="exact"/>
        <w:ind w:firstLine="660" w:firstLineChars="200"/>
        <w:textAlignment w:val="baseline"/>
        <w:rPr>
          <w:rFonts w:hint="default" w:ascii="Times New Roman" w:hAnsi="Times New Roman" w:eastAsia="方正仿宋_GBK" w:cs="方正仿宋_GBK"/>
          <w:color w:val="auto"/>
          <w:spacing w:val="5"/>
          <w:sz w:val="32"/>
          <w:szCs w:val="32"/>
          <w:highlight w:val="none"/>
          <w:lang w:val="en-US" w:eastAsia="zh-CN"/>
        </w:rPr>
      </w:pPr>
      <w:r>
        <w:rPr>
          <w:rFonts w:hint="eastAsia" w:ascii="Times New Roman" w:hAnsi="Times New Roman" w:eastAsia="方正仿宋_GBK" w:cs="方正仿宋_GBK"/>
          <w:color w:val="auto"/>
          <w:spacing w:val="5"/>
          <w:sz w:val="32"/>
          <w:szCs w:val="32"/>
          <w:highlight w:val="none"/>
          <w:lang w:val="en-US" w:eastAsia="zh-CN"/>
        </w:rPr>
        <w:t>因</w:t>
      </w:r>
      <w:r>
        <w:rPr>
          <w:rFonts w:hint="eastAsia" w:ascii="Times New Roman" w:hAnsi="Times New Roman" w:eastAsia="方正仿宋_GBK" w:cs="方正仿宋_GBK"/>
          <w:color w:val="auto"/>
          <w:spacing w:val="5"/>
          <w:sz w:val="32"/>
          <w:szCs w:val="32"/>
          <w:highlight w:val="none"/>
        </w:rPr>
        <w:t>疫情、自然灾害</w:t>
      </w:r>
      <w:r>
        <w:rPr>
          <w:rFonts w:hint="eastAsia" w:ascii="Times New Roman" w:hAnsi="Times New Roman" w:eastAsia="方正仿宋_GBK" w:cs="方正仿宋_GBK"/>
          <w:color w:val="auto"/>
          <w:spacing w:val="5"/>
          <w:sz w:val="32"/>
          <w:szCs w:val="32"/>
          <w:highlight w:val="none"/>
          <w:lang w:eastAsia="zh-CN"/>
        </w:rPr>
        <w:t>、入住率低等</w:t>
      </w:r>
      <w:r>
        <w:rPr>
          <w:rFonts w:hint="eastAsia" w:ascii="Times New Roman" w:hAnsi="Times New Roman" w:eastAsia="方正仿宋_GBK" w:cs="方正仿宋_GBK"/>
          <w:color w:val="auto"/>
          <w:spacing w:val="5"/>
          <w:sz w:val="32"/>
          <w:szCs w:val="32"/>
          <w:highlight w:val="none"/>
          <w:lang w:val="en-US" w:eastAsia="zh-CN"/>
        </w:rPr>
        <w:t>多种原因短期内无法成功召开业主大会，又急需使用公共收益除险清患的，如各行业主管部门或乡镇人民政府（街道办事处）认定存在安全隐患的，由乡镇人民政府（街道办事处）依</w:t>
      </w:r>
      <w:bookmarkStart w:id="0" w:name="_GoBack"/>
      <w:r>
        <w:rPr>
          <w:rFonts w:hint="eastAsia" w:ascii="Times New Roman" w:hAnsi="Times New Roman" w:eastAsia="方正仿宋_GBK" w:cs="方正仿宋_GBK"/>
          <w:color w:val="000000" w:themeColor="text1"/>
          <w:spacing w:val="5"/>
          <w:sz w:val="32"/>
          <w:szCs w:val="32"/>
          <w:highlight w:val="none"/>
          <w:lang w:val="en-US" w:eastAsia="zh-CN"/>
          <w14:textFill>
            <w14:solidFill>
              <w14:schemeClr w14:val="tx1"/>
            </w14:solidFill>
          </w14:textFill>
        </w:rPr>
        <w:t>《重庆市物业管理条例》第98条之规定，召开联席会议决议公共收益</w:t>
      </w:r>
      <w:bookmarkEnd w:id="0"/>
      <w:r>
        <w:rPr>
          <w:rFonts w:hint="eastAsia" w:ascii="Times New Roman" w:hAnsi="Times New Roman" w:eastAsia="方正仿宋_GBK" w:cs="方正仿宋_GBK"/>
          <w:color w:val="auto"/>
          <w:spacing w:val="5"/>
          <w:sz w:val="32"/>
          <w:szCs w:val="32"/>
          <w:highlight w:val="none"/>
          <w:lang w:val="en-US" w:eastAsia="zh-CN"/>
        </w:rPr>
        <w:t>的使用，联席会议决议须公示五日，联席会议决议公示期内无专有部分面积占比20%以上业主共同书面反对意见则实施联席会议决议。</w:t>
      </w:r>
    </w:p>
    <w:p w14:paraId="0B8245B5">
      <w:pPr>
        <w:keepNext w:val="0"/>
        <w:keepLines w:val="0"/>
        <w:pageBreakBefore w:val="0"/>
        <w:widowControl w:val="0"/>
        <w:kinsoku w:val="0"/>
        <w:wordWrap/>
        <w:overflowPunct/>
        <w:topLinePunct w:val="0"/>
        <w:autoSpaceDE w:val="0"/>
        <w:autoSpaceDN w:val="0"/>
        <w:bidi w:val="0"/>
        <w:adjustRightInd w:val="0"/>
        <w:snapToGrid w:val="0"/>
        <w:spacing w:line="560" w:lineRule="exact"/>
        <w:ind w:firstLine="660" w:firstLineChars="200"/>
        <w:textAlignment w:val="baseline"/>
        <w:rPr>
          <w:rFonts w:hint="eastAsia" w:ascii="Times New Roman" w:hAnsi="Times New Roman" w:eastAsia="方正仿宋_GBK" w:cs="方正仿宋_GBK"/>
          <w:color w:val="auto"/>
          <w:sz w:val="32"/>
          <w:szCs w:val="32"/>
          <w:highlight w:val="none"/>
        </w:rPr>
      </w:pPr>
      <w:r>
        <w:rPr>
          <w:rFonts w:hint="eastAsia" w:ascii="Times New Roman" w:hAnsi="Times New Roman" w:eastAsia="方正楷体_GBK" w:cs="方正楷体_GBK"/>
          <w:color w:val="auto"/>
          <w:spacing w:val="5"/>
          <w:sz w:val="32"/>
          <w:szCs w:val="32"/>
          <w:highlight w:val="none"/>
          <w:lang w:eastAsia="zh-CN"/>
        </w:rPr>
        <w:t>（</w:t>
      </w:r>
      <w:r>
        <w:rPr>
          <w:rFonts w:hint="eastAsia" w:ascii="Times New Roman" w:hAnsi="Times New Roman" w:eastAsia="方正楷体_GBK" w:cs="方正楷体_GBK"/>
          <w:color w:val="auto"/>
          <w:spacing w:val="5"/>
          <w:sz w:val="32"/>
          <w:szCs w:val="32"/>
          <w:highlight w:val="none"/>
          <w:lang w:val="en-US" w:eastAsia="zh-CN"/>
        </w:rPr>
        <w:t>三</w:t>
      </w:r>
      <w:r>
        <w:rPr>
          <w:rFonts w:hint="eastAsia" w:ascii="Times New Roman" w:hAnsi="Times New Roman" w:eastAsia="方正楷体_GBK" w:cs="方正楷体_GBK"/>
          <w:color w:val="auto"/>
          <w:spacing w:val="5"/>
          <w:sz w:val="32"/>
          <w:szCs w:val="32"/>
          <w:highlight w:val="none"/>
          <w:lang w:eastAsia="zh-CN"/>
        </w:rPr>
        <w:t>）</w:t>
      </w:r>
      <w:r>
        <w:rPr>
          <w:rFonts w:hint="eastAsia" w:ascii="Times New Roman" w:hAnsi="Times New Roman" w:eastAsia="方正仿宋_GBK" w:cs="方正仿宋_GBK"/>
          <w:color w:val="auto"/>
          <w:spacing w:val="5"/>
          <w:sz w:val="32"/>
          <w:szCs w:val="32"/>
          <w:highlight w:val="none"/>
          <w:lang w:val="en-US" w:eastAsia="zh-CN"/>
        </w:rPr>
        <w:t>对</w:t>
      </w:r>
      <w:r>
        <w:rPr>
          <w:rFonts w:hint="eastAsia" w:ascii="Times New Roman" w:hAnsi="Times New Roman" w:eastAsia="方正仿宋_GBK" w:cs="方正仿宋_GBK"/>
          <w:color w:val="auto"/>
          <w:spacing w:val="5"/>
          <w:sz w:val="32"/>
          <w:szCs w:val="32"/>
          <w:highlight w:val="none"/>
        </w:rPr>
        <w:t>公共收益</w:t>
      </w:r>
      <w:r>
        <w:rPr>
          <w:rFonts w:hint="eastAsia" w:ascii="Times New Roman" w:hAnsi="Times New Roman" w:eastAsia="方正仿宋_GBK" w:cs="方正仿宋_GBK"/>
          <w:color w:val="auto"/>
          <w:spacing w:val="5"/>
          <w:sz w:val="32"/>
          <w:szCs w:val="32"/>
          <w:highlight w:val="none"/>
          <w:lang w:val="en-US" w:eastAsia="zh-CN"/>
        </w:rPr>
        <w:t>的收支情况</w:t>
      </w:r>
      <w:r>
        <w:rPr>
          <w:rFonts w:hint="eastAsia" w:ascii="Times New Roman" w:hAnsi="Times New Roman" w:eastAsia="方正仿宋_GBK" w:cs="方正仿宋_GBK"/>
          <w:color w:val="auto"/>
          <w:spacing w:val="5"/>
          <w:sz w:val="32"/>
          <w:szCs w:val="32"/>
          <w:highlight w:val="none"/>
          <w:lang w:eastAsia="zh-CN"/>
        </w:rPr>
        <w:t>，</w:t>
      </w:r>
      <w:r>
        <w:rPr>
          <w:rFonts w:hint="eastAsia" w:ascii="Times New Roman" w:hAnsi="Times New Roman" w:eastAsia="方正仿宋_GBK" w:cs="方正仿宋_GBK"/>
          <w:color w:val="auto"/>
          <w:spacing w:val="5"/>
          <w:sz w:val="32"/>
          <w:szCs w:val="32"/>
          <w:highlight w:val="none"/>
          <w:lang w:val="en-US" w:eastAsia="zh-CN"/>
        </w:rPr>
        <w:t>由经营主体长期公示，公示载体为：小区公告栏及业主微信群/智慧物业平台，</w:t>
      </w:r>
      <w:r>
        <w:rPr>
          <w:rFonts w:hint="default" w:ascii="Times New Roman" w:hAnsi="Times New Roman" w:eastAsia="方正仿宋_GBK" w:cs="方正仿宋_GBK"/>
          <w:color w:val="auto"/>
          <w:spacing w:val="5"/>
          <w:sz w:val="32"/>
          <w:szCs w:val="32"/>
          <w:highlight w:val="none"/>
        </w:rPr>
        <w:t>原则上于每年1月底、7月底前将上一期公共收益收支明细（支出项应说明用途）、经营合同清单等进行公示，公示期不少于三十日。</w:t>
      </w:r>
    </w:p>
    <w:p w14:paraId="7F6CEADD">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jc w:val="both"/>
        <w:textAlignment w:val="auto"/>
        <w:rPr>
          <w:rFonts w:hint="eastAsia" w:ascii="Times New Roman" w:hAnsi="Times New Roman" w:eastAsia="方正黑体_GBK" w:cs="方正黑体_GBK"/>
          <w:i w:val="0"/>
          <w:iCs w:val="0"/>
          <w:caps w:val="0"/>
          <w:color w:val="auto"/>
          <w:spacing w:val="0"/>
          <w:sz w:val="32"/>
          <w:szCs w:val="32"/>
          <w:highlight w:val="none"/>
        </w:rPr>
      </w:pPr>
      <w:r>
        <w:rPr>
          <w:rFonts w:hint="eastAsia" w:ascii="Times New Roman" w:hAnsi="Times New Roman" w:eastAsia="方正黑体_GBK" w:cs="方正黑体_GBK"/>
          <w:i w:val="0"/>
          <w:iCs w:val="0"/>
          <w:caps w:val="0"/>
          <w:color w:val="auto"/>
          <w:spacing w:val="0"/>
          <w:sz w:val="32"/>
          <w:szCs w:val="32"/>
          <w:highlight w:val="none"/>
          <w:lang w:eastAsia="zh-CN"/>
        </w:rPr>
        <w:t>六</w:t>
      </w:r>
      <w:r>
        <w:rPr>
          <w:rFonts w:hint="eastAsia" w:ascii="Times New Roman" w:hAnsi="Times New Roman" w:eastAsia="方正黑体_GBK" w:cs="方正黑体_GBK"/>
          <w:i w:val="0"/>
          <w:iCs w:val="0"/>
          <w:caps w:val="0"/>
          <w:color w:val="auto"/>
          <w:spacing w:val="0"/>
          <w:sz w:val="32"/>
          <w:szCs w:val="32"/>
          <w:highlight w:val="none"/>
        </w:rPr>
        <w:t>、公共收益移交</w:t>
      </w:r>
    </w:p>
    <w:p w14:paraId="7047B35F">
      <w:pPr>
        <w:keepNext w:val="0"/>
        <w:keepLines w:val="0"/>
        <w:pageBreakBefore w:val="0"/>
        <w:widowControl w:val="0"/>
        <w:kinsoku w:val="0"/>
        <w:wordWrap/>
        <w:overflowPunct/>
        <w:topLinePunct w:val="0"/>
        <w:autoSpaceDE w:val="0"/>
        <w:autoSpaceDN w:val="0"/>
        <w:bidi w:val="0"/>
        <w:adjustRightInd w:val="0"/>
        <w:snapToGrid w:val="0"/>
        <w:spacing w:line="560" w:lineRule="exact"/>
        <w:ind w:firstLine="660" w:firstLineChars="200"/>
        <w:textAlignment w:val="baseline"/>
        <w:rPr>
          <w:rFonts w:hint="default" w:ascii="Times New Roman" w:hAnsi="Times New Roman" w:eastAsia="方正仿宋_GBK" w:cs="方正仿宋_GBK"/>
          <w:color w:val="auto"/>
          <w:spacing w:val="5"/>
          <w:sz w:val="32"/>
          <w:szCs w:val="32"/>
          <w:highlight w:val="none"/>
        </w:rPr>
      </w:pPr>
      <w:r>
        <w:rPr>
          <w:rFonts w:hint="eastAsia" w:ascii="Times New Roman" w:hAnsi="Times New Roman" w:eastAsia="方正楷体_GBK" w:cs="方正楷体_GBK"/>
          <w:color w:val="auto"/>
          <w:spacing w:val="5"/>
          <w:sz w:val="32"/>
          <w:szCs w:val="32"/>
          <w:highlight w:val="none"/>
        </w:rPr>
        <w:t>（一）</w:t>
      </w:r>
      <w:r>
        <w:rPr>
          <w:rFonts w:hint="default" w:ascii="Times New Roman" w:hAnsi="Times New Roman" w:eastAsia="方正仿宋_GBK" w:cs="方正仿宋_GBK"/>
          <w:color w:val="auto"/>
          <w:spacing w:val="5"/>
          <w:sz w:val="32"/>
          <w:szCs w:val="32"/>
          <w:highlight w:val="none"/>
        </w:rPr>
        <w:t>业主大会成立并开设业主大会公共收益账户后，物业服务人应当根据业主大会的决定及时将公共收益从企业建立的小区公共收益专用账户转入至业主大会公共收益账户，不得以业主欠缴物业服务费等为由拒绝转账。</w:t>
      </w:r>
    </w:p>
    <w:p w14:paraId="35149008">
      <w:pPr>
        <w:keepNext w:val="0"/>
        <w:keepLines w:val="0"/>
        <w:pageBreakBefore w:val="0"/>
        <w:widowControl w:val="0"/>
        <w:kinsoku w:val="0"/>
        <w:wordWrap/>
        <w:overflowPunct/>
        <w:topLinePunct w:val="0"/>
        <w:autoSpaceDE w:val="0"/>
        <w:autoSpaceDN w:val="0"/>
        <w:bidi w:val="0"/>
        <w:adjustRightInd w:val="0"/>
        <w:snapToGrid w:val="0"/>
        <w:spacing w:line="560" w:lineRule="exact"/>
        <w:ind w:firstLine="660" w:firstLineChars="200"/>
        <w:textAlignment w:val="baseline"/>
        <w:rPr>
          <w:rFonts w:hint="default" w:ascii="Times New Roman" w:hAnsi="Times New Roman" w:eastAsia="方正仿宋_GBK" w:cs="方正仿宋_GBK"/>
          <w:color w:val="auto"/>
          <w:spacing w:val="5"/>
          <w:sz w:val="32"/>
          <w:szCs w:val="32"/>
          <w:highlight w:val="none"/>
        </w:rPr>
      </w:pPr>
      <w:r>
        <w:rPr>
          <w:rFonts w:hint="eastAsia" w:ascii="Times New Roman" w:hAnsi="Times New Roman" w:eastAsia="方正楷体_GBK" w:cs="方正楷体_GBK"/>
          <w:color w:val="auto"/>
          <w:spacing w:val="5"/>
          <w:sz w:val="32"/>
          <w:szCs w:val="32"/>
          <w:highlight w:val="none"/>
        </w:rPr>
        <w:t>（二）</w:t>
      </w:r>
      <w:r>
        <w:rPr>
          <w:rFonts w:hint="default" w:ascii="Times New Roman" w:hAnsi="Times New Roman" w:eastAsia="方正仿宋_GBK" w:cs="方正仿宋_GBK"/>
          <w:color w:val="auto"/>
          <w:spacing w:val="5"/>
          <w:sz w:val="32"/>
          <w:szCs w:val="32"/>
          <w:highlight w:val="none"/>
        </w:rPr>
        <w:t>公共收益经营管理主体发生变更的，物业服务人或者任期届满的业主委员会、</w:t>
      </w:r>
      <w:r>
        <w:rPr>
          <w:rFonts w:hint="eastAsia" w:ascii="Times New Roman" w:hAnsi="Times New Roman" w:eastAsia="方正仿宋_GBK" w:cs="方正仿宋_GBK"/>
          <w:color w:val="auto"/>
          <w:spacing w:val="5"/>
          <w:sz w:val="32"/>
          <w:szCs w:val="32"/>
          <w:highlight w:val="none"/>
          <w:lang w:eastAsia="zh-CN"/>
        </w:rPr>
        <w:t>物业自管小组</w:t>
      </w:r>
      <w:r>
        <w:rPr>
          <w:rFonts w:hint="default" w:ascii="Times New Roman" w:hAnsi="Times New Roman" w:eastAsia="方正仿宋_GBK" w:cs="方正仿宋_GBK"/>
          <w:color w:val="auto"/>
          <w:spacing w:val="5"/>
          <w:sz w:val="32"/>
          <w:szCs w:val="32"/>
          <w:highlight w:val="none"/>
        </w:rPr>
        <w:t>等原管理单位应当在合同到期或者任期届满前十日内，将公共收益、经营收支账目、印章、相关凭证等资料完整移交给任期内或者新一届业主委员会、</w:t>
      </w:r>
      <w:r>
        <w:rPr>
          <w:rFonts w:hint="eastAsia" w:ascii="Times New Roman" w:hAnsi="Times New Roman" w:eastAsia="方正仿宋_GBK" w:cs="方正仿宋_GBK"/>
          <w:color w:val="auto"/>
          <w:spacing w:val="5"/>
          <w:sz w:val="32"/>
          <w:szCs w:val="32"/>
          <w:highlight w:val="none"/>
          <w:lang w:eastAsia="zh-CN"/>
        </w:rPr>
        <w:t>物业自管小组</w:t>
      </w:r>
      <w:r>
        <w:rPr>
          <w:rFonts w:hint="default" w:ascii="Times New Roman" w:hAnsi="Times New Roman" w:eastAsia="方正仿宋_GBK" w:cs="方正仿宋_GBK"/>
          <w:color w:val="auto"/>
          <w:spacing w:val="5"/>
          <w:sz w:val="32"/>
          <w:szCs w:val="32"/>
          <w:highlight w:val="none"/>
        </w:rPr>
        <w:t>。无业主委员会或者</w:t>
      </w:r>
      <w:r>
        <w:rPr>
          <w:rFonts w:hint="eastAsia" w:ascii="Times New Roman" w:hAnsi="Times New Roman" w:eastAsia="方正仿宋_GBK" w:cs="方正仿宋_GBK"/>
          <w:color w:val="auto"/>
          <w:spacing w:val="5"/>
          <w:sz w:val="32"/>
          <w:szCs w:val="32"/>
          <w:highlight w:val="none"/>
          <w:lang w:eastAsia="zh-CN"/>
        </w:rPr>
        <w:t>物业自管小组</w:t>
      </w:r>
      <w:r>
        <w:rPr>
          <w:rFonts w:hint="default" w:ascii="Times New Roman" w:hAnsi="Times New Roman" w:eastAsia="方正仿宋_GBK" w:cs="方正仿宋_GBK"/>
          <w:color w:val="auto"/>
          <w:spacing w:val="5"/>
          <w:sz w:val="32"/>
          <w:szCs w:val="32"/>
          <w:highlight w:val="none"/>
        </w:rPr>
        <w:t>的，在物业所在地的街道办事处（乡镇人民政府）的指导和监督下，移交物业所在地的居（村）民委员会代为暂时保存，待新一届业主委员会或者</w:t>
      </w:r>
      <w:r>
        <w:rPr>
          <w:rFonts w:hint="eastAsia" w:ascii="Times New Roman" w:hAnsi="Times New Roman" w:eastAsia="方正仿宋_GBK" w:cs="方正仿宋_GBK"/>
          <w:color w:val="auto"/>
          <w:spacing w:val="5"/>
          <w:sz w:val="32"/>
          <w:szCs w:val="32"/>
          <w:highlight w:val="none"/>
          <w:lang w:eastAsia="zh-CN"/>
        </w:rPr>
        <w:t>物业自管小组</w:t>
      </w:r>
      <w:r>
        <w:rPr>
          <w:rFonts w:hint="default" w:ascii="Times New Roman" w:hAnsi="Times New Roman" w:eastAsia="方正仿宋_GBK" w:cs="方正仿宋_GBK"/>
          <w:color w:val="auto"/>
          <w:spacing w:val="5"/>
          <w:sz w:val="32"/>
          <w:szCs w:val="32"/>
          <w:highlight w:val="none"/>
        </w:rPr>
        <w:t>产生、组建后，由居（村）民委员会与其进行移交。</w:t>
      </w:r>
    </w:p>
    <w:p w14:paraId="4C4E6827">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jc w:val="both"/>
        <w:textAlignment w:val="auto"/>
        <w:rPr>
          <w:rFonts w:hint="default" w:ascii="Times New Roman" w:hAnsi="Times New Roman" w:eastAsia="方正黑体_GBK" w:cs="方正黑体_GBK"/>
          <w:i w:val="0"/>
          <w:iCs w:val="0"/>
          <w:caps w:val="0"/>
          <w:color w:val="auto"/>
          <w:spacing w:val="0"/>
          <w:sz w:val="32"/>
          <w:szCs w:val="32"/>
          <w:highlight w:val="none"/>
        </w:rPr>
      </w:pPr>
      <w:r>
        <w:rPr>
          <w:rFonts w:hint="eastAsia" w:ascii="Times New Roman" w:hAnsi="Times New Roman" w:eastAsia="方正黑体_GBK" w:cs="方正黑体_GBK"/>
          <w:i w:val="0"/>
          <w:iCs w:val="0"/>
          <w:caps w:val="0"/>
          <w:color w:val="auto"/>
          <w:spacing w:val="0"/>
          <w:sz w:val="32"/>
          <w:szCs w:val="32"/>
          <w:highlight w:val="none"/>
          <w:lang w:eastAsia="zh-CN"/>
        </w:rPr>
        <w:t>七</w:t>
      </w:r>
      <w:r>
        <w:rPr>
          <w:rFonts w:hint="eastAsia" w:ascii="Times New Roman" w:hAnsi="Times New Roman" w:eastAsia="方正黑体_GBK" w:cs="方正黑体_GBK"/>
          <w:i w:val="0"/>
          <w:iCs w:val="0"/>
          <w:caps w:val="0"/>
          <w:color w:val="auto"/>
          <w:spacing w:val="0"/>
          <w:sz w:val="32"/>
          <w:szCs w:val="32"/>
          <w:highlight w:val="none"/>
        </w:rPr>
        <w:t>、公共收益指导监督</w:t>
      </w:r>
    </w:p>
    <w:p w14:paraId="65991F47">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jc w:val="both"/>
        <w:textAlignment w:val="auto"/>
        <w:rPr>
          <w:rFonts w:hint="default" w:ascii="Times New Roman" w:hAnsi="Times New Roman" w:eastAsia="仿宋_GB2312" w:cs="仿宋_GB2312"/>
          <w:i w:val="0"/>
          <w:iCs w:val="0"/>
          <w:caps w:val="0"/>
          <w:color w:val="auto"/>
          <w:spacing w:val="0"/>
          <w:sz w:val="32"/>
          <w:szCs w:val="32"/>
          <w:highlight w:val="none"/>
        </w:rPr>
      </w:pPr>
      <w:r>
        <w:rPr>
          <w:rFonts w:hint="default" w:ascii="Times New Roman" w:hAnsi="Times New Roman" w:eastAsia="方正楷体_GBK" w:cs="方正楷体_GBK"/>
          <w:snapToGrid w:val="0"/>
          <w:color w:val="auto"/>
          <w:spacing w:val="5"/>
          <w:kern w:val="0"/>
          <w:sz w:val="32"/>
          <w:szCs w:val="32"/>
          <w:highlight w:val="none"/>
          <w:lang w:val="en-US" w:eastAsia="en-US" w:bidi="ar-SA"/>
        </w:rPr>
        <w:t>（一）</w:t>
      </w:r>
      <w:r>
        <w:rPr>
          <w:rFonts w:hint="default" w:ascii="Times New Roman" w:hAnsi="Times New Roman" w:eastAsia="仿宋_GB2312" w:cs="仿宋_GB2312"/>
          <w:b w:val="0"/>
          <w:bCs w:val="0"/>
          <w:i w:val="0"/>
          <w:iCs w:val="0"/>
          <w:caps w:val="0"/>
          <w:color w:val="auto"/>
          <w:spacing w:val="0"/>
          <w:sz w:val="32"/>
          <w:szCs w:val="32"/>
          <w:highlight w:val="none"/>
        </w:rPr>
        <w:t>街道办事处、乡镇人民政府在指导成立或者召开业主大会时，应当指导业主大会筹备组或者组织者在草拟、修订业主大会议事规则和管理规约中，明确公共收益获取收益范围、归属分配、管理方式、收益用途、账目公布制度、财务监管、审计审价制度等内容，依法提请业主大会表决同意。</w:t>
      </w:r>
    </w:p>
    <w:p w14:paraId="4014FCE9">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jc w:val="both"/>
        <w:textAlignment w:val="auto"/>
        <w:rPr>
          <w:rFonts w:hint="default" w:ascii="Times New Roman" w:hAnsi="Times New Roman" w:eastAsia="仿宋_GB2312" w:cs="仿宋_GB2312"/>
          <w:i w:val="0"/>
          <w:iCs w:val="0"/>
          <w:caps w:val="0"/>
          <w:color w:val="auto"/>
          <w:spacing w:val="0"/>
          <w:sz w:val="32"/>
          <w:szCs w:val="32"/>
          <w:highlight w:val="none"/>
        </w:rPr>
      </w:pPr>
      <w:r>
        <w:rPr>
          <w:rFonts w:hint="default" w:ascii="Times New Roman" w:hAnsi="Times New Roman" w:eastAsia="方正楷体_GBK" w:cs="方正楷体_GBK"/>
          <w:snapToGrid w:val="0"/>
          <w:color w:val="auto"/>
          <w:spacing w:val="5"/>
          <w:kern w:val="0"/>
          <w:sz w:val="32"/>
          <w:szCs w:val="32"/>
          <w:highlight w:val="none"/>
          <w:lang w:val="en-US" w:eastAsia="en-US" w:bidi="ar-SA"/>
        </w:rPr>
        <w:t>（二）</w:t>
      </w:r>
      <w:r>
        <w:rPr>
          <w:rFonts w:hint="default" w:ascii="Times New Roman" w:hAnsi="Times New Roman" w:eastAsia="仿宋_GB2312" w:cs="仿宋_GB2312"/>
          <w:b w:val="0"/>
          <w:bCs w:val="0"/>
          <w:i w:val="0"/>
          <w:iCs w:val="0"/>
          <w:caps w:val="0"/>
          <w:color w:val="auto"/>
          <w:spacing w:val="0"/>
          <w:sz w:val="32"/>
          <w:szCs w:val="32"/>
          <w:highlight w:val="none"/>
        </w:rPr>
        <w:t>鼓励将“业主委员会管理的公共收益收入、支出由居（村）民委员会监督指导”写入业主大会议事规则、管理规约。</w:t>
      </w:r>
    </w:p>
    <w:p w14:paraId="18452016">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jc w:val="both"/>
        <w:textAlignment w:val="auto"/>
        <w:rPr>
          <w:rFonts w:hint="default" w:ascii="Times New Roman" w:hAnsi="Times New Roman" w:eastAsia="仿宋_GB2312" w:cs="仿宋_GB2312"/>
          <w:i w:val="0"/>
          <w:iCs w:val="0"/>
          <w:caps w:val="0"/>
          <w:color w:val="auto"/>
          <w:spacing w:val="0"/>
          <w:sz w:val="32"/>
          <w:szCs w:val="32"/>
          <w:highlight w:val="none"/>
        </w:rPr>
      </w:pPr>
      <w:r>
        <w:rPr>
          <w:rFonts w:hint="default" w:ascii="Times New Roman" w:hAnsi="Times New Roman" w:eastAsia="方正楷体_GBK" w:cs="方正楷体_GBK"/>
          <w:snapToGrid w:val="0"/>
          <w:color w:val="auto"/>
          <w:spacing w:val="5"/>
          <w:kern w:val="0"/>
          <w:sz w:val="32"/>
          <w:szCs w:val="32"/>
          <w:highlight w:val="none"/>
          <w:lang w:val="en-US" w:eastAsia="en-US" w:bidi="ar-SA"/>
        </w:rPr>
        <w:t>（三）</w:t>
      </w:r>
      <w:r>
        <w:rPr>
          <w:rFonts w:hint="default" w:ascii="Times New Roman" w:hAnsi="Times New Roman" w:eastAsia="仿宋_GB2312" w:cs="仿宋_GB2312"/>
          <w:b w:val="0"/>
          <w:bCs w:val="0"/>
          <w:i w:val="0"/>
          <w:iCs w:val="0"/>
          <w:caps w:val="0"/>
          <w:color w:val="auto"/>
          <w:spacing w:val="0"/>
          <w:sz w:val="32"/>
          <w:szCs w:val="32"/>
          <w:highlight w:val="none"/>
        </w:rPr>
        <w:t>委托给物业服务人经营管理的，业主委员会或者临时代行业主委员会职责的</w:t>
      </w:r>
      <w:r>
        <w:rPr>
          <w:rFonts w:hint="eastAsia" w:ascii="Times New Roman" w:hAnsi="Times New Roman" w:eastAsia="仿宋_GB2312" w:cs="仿宋_GB2312"/>
          <w:b w:val="0"/>
          <w:bCs w:val="0"/>
          <w:i w:val="0"/>
          <w:iCs w:val="0"/>
          <w:caps w:val="0"/>
          <w:color w:val="auto"/>
          <w:spacing w:val="0"/>
          <w:sz w:val="32"/>
          <w:szCs w:val="32"/>
          <w:highlight w:val="none"/>
          <w:lang w:eastAsia="zh-CN"/>
        </w:rPr>
        <w:t>物业自管小组</w:t>
      </w:r>
      <w:r>
        <w:rPr>
          <w:rFonts w:hint="default" w:ascii="Times New Roman" w:hAnsi="Times New Roman" w:eastAsia="仿宋_GB2312" w:cs="仿宋_GB2312"/>
          <w:b w:val="0"/>
          <w:bCs w:val="0"/>
          <w:i w:val="0"/>
          <w:iCs w:val="0"/>
          <w:caps w:val="0"/>
          <w:color w:val="auto"/>
          <w:spacing w:val="0"/>
          <w:sz w:val="32"/>
          <w:szCs w:val="32"/>
          <w:highlight w:val="none"/>
        </w:rPr>
        <w:t>、居（村）民委员会应当根据</w:t>
      </w:r>
      <w:r>
        <w:rPr>
          <w:rFonts w:hint="default" w:ascii="Times New Roman" w:hAnsi="Times New Roman" w:eastAsia="仿宋_GB2312" w:cs="仿宋_GB2312"/>
          <w:i w:val="0"/>
          <w:iCs w:val="0"/>
          <w:caps w:val="0"/>
          <w:color w:val="auto"/>
          <w:spacing w:val="0"/>
          <w:sz w:val="32"/>
          <w:szCs w:val="32"/>
          <w:highlight w:val="none"/>
        </w:rPr>
        <w:t>议事规则、管理规约、合同约定等</w:t>
      </w:r>
      <w:r>
        <w:rPr>
          <w:rFonts w:hint="default" w:ascii="Times New Roman" w:hAnsi="Times New Roman" w:eastAsia="仿宋_GB2312" w:cs="仿宋_GB2312"/>
          <w:b w:val="0"/>
          <w:bCs w:val="0"/>
          <w:i w:val="0"/>
          <w:iCs w:val="0"/>
          <w:caps w:val="0"/>
          <w:color w:val="auto"/>
          <w:spacing w:val="0"/>
          <w:sz w:val="32"/>
          <w:szCs w:val="32"/>
          <w:highlight w:val="none"/>
        </w:rPr>
        <w:t>加强对公共收益的监督管理，发现违反规定、约定情形的，应当督促物业服务人限期整改，按照合同约定进行处置。</w:t>
      </w:r>
    </w:p>
    <w:p w14:paraId="60018164">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jc w:val="both"/>
        <w:textAlignment w:val="auto"/>
        <w:rPr>
          <w:rFonts w:hint="default" w:ascii="Times New Roman" w:hAnsi="Times New Roman" w:eastAsia="仿宋_GB2312" w:cs="仿宋_GB2312"/>
          <w:i w:val="0"/>
          <w:iCs w:val="0"/>
          <w:caps w:val="0"/>
          <w:color w:val="auto"/>
          <w:spacing w:val="0"/>
          <w:sz w:val="32"/>
          <w:szCs w:val="32"/>
          <w:highlight w:val="none"/>
        </w:rPr>
      </w:pPr>
      <w:r>
        <w:rPr>
          <w:rFonts w:hint="default" w:ascii="Times New Roman" w:hAnsi="Times New Roman" w:eastAsia="方正楷体_GBK" w:cs="方正楷体_GBK"/>
          <w:snapToGrid w:val="0"/>
          <w:color w:val="auto"/>
          <w:spacing w:val="5"/>
          <w:kern w:val="0"/>
          <w:sz w:val="32"/>
          <w:szCs w:val="32"/>
          <w:highlight w:val="none"/>
          <w:lang w:val="en-US" w:eastAsia="en-US" w:bidi="ar-SA"/>
        </w:rPr>
        <w:t>（四）</w:t>
      </w:r>
      <w:r>
        <w:rPr>
          <w:rFonts w:hint="default" w:ascii="Times New Roman" w:hAnsi="Times New Roman" w:eastAsia="仿宋_GB2312" w:cs="仿宋_GB2312"/>
          <w:b w:val="0"/>
          <w:bCs w:val="0"/>
          <w:i w:val="0"/>
          <w:iCs w:val="0"/>
          <w:caps w:val="0"/>
          <w:color w:val="auto"/>
          <w:spacing w:val="0"/>
          <w:sz w:val="32"/>
          <w:szCs w:val="32"/>
          <w:highlight w:val="none"/>
        </w:rPr>
        <w:t>业主大会决定或者业主大会议事规则作出约定的，业主委员会可以委托第三方机构对公共收益进行审计，审计费用在公共收益中列支。</w:t>
      </w:r>
    </w:p>
    <w:p w14:paraId="2631FF68">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jc w:val="both"/>
        <w:textAlignment w:val="auto"/>
        <w:rPr>
          <w:rFonts w:hint="default" w:ascii="Times New Roman" w:hAnsi="Times New Roman" w:eastAsia="仿宋_GB2312" w:cs="仿宋_GB2312"/>
          <w:i w:val="0"/>
          <w:iCs w:val="0"/>
          <w:caps w:val="0"/>
          <w:color w:val="auto"/>
          <w:spacing w:val="0"/>
          <w:sz w:val="32"/>
          <w:szCs w:val="32"/>
          <w:highlight w:val="none"/>
        </w:rPr>
      </w:pPr>
      <w:r>
        <w:rPr>
          <w:rFonts w:hint="default" w:ascii="Times New Roman" w:hAnsi="Times New Roman" w:eastAsia="仿宋_GB2312" w:cs="仿宋_GB2312"/>
          <w:b w:val="0"/>
          <w:bCs w:val="0"/>
          <w:i w:val="0"/>
          <w:iCs w:val="0"/>
          <w:caps w:val="0"/>
          <w:color w:val="auto"/>
          <w:spacing w:val="0"/>
          <w:sz w:val="32"/>
          <w:szCs w:val="32"/>
          <w:highlight w:val="none"/>
        </w:rPr>
        <w:t>引导在业主大会议事规则中对公共收益审计事项进行约定，包括但不限于：首届业主委员会成立后，对物业服务企业代管期间公共收益收支情况进行审计；经营管理主体发生变更的，移交前对原主体管理期间公共收益收支情况进行审计；业主委员会届满或者解散，以及业主委员会主要负责人离任、离职时，对业主委员会任期内公共收益收支情况进行审计。</w:t>
      </w:r>
    </w:p>
    <w:p w14:paraId="1834144A">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jc w:val="both"/>
        <w:textAlignment w:val="auto"/>
        <w:rPr>
          <w:rFonts w:hint="default" w:ascii="Times New Roman" w:hAnsi="Times New Roman" w:eastAsia="仿宋_GB2312" w:cs="仿宋_GB2312"/>
          <w:i w:val="0"/>
          <w:iCs w:val="0"/>
          <w:caps w:val="0"/>
          <w:color w:val="auto"/>
          <w:spacing w:val="0"/>
          <w:sz w:val="32"/>
          <w:szCs w:val="32"/>
          <w:highlight w:val="none"/>
        </w:rPr>
      </w:pPr>
      <w:r>
        <w:rPr>
          <w:rFonts w:hint="default" w:ascii="Times New Roman" w:hAnsi="Times New Roman" w:eastAsia="仿宋_GB2312" w:cs="仿宋_GB2312"/>
          <w:b w:val="0"/>
          <w:bCs w:val="0"/>
          <w:i w:val="0"/>
          <w:iCs w:val="0"/>
          <w:caps w:val="0"/>
          <w:color w:val="auto"/>
          <w:spacing w:val="0"/>
          <w:sz w:val="32"/>
          <w:szCs w:val="32"/>
          <w:highlight w:val="none"/>
        </w:rPr>
        <w:t>审计结果出来后，公共收益经营管理主体应当于六十日内将审计报告和整改情况在小区物业管理处、公告栏等物业服务区域显著位置进行公示，公示期不少于十五日。鼓励在业主微信群、相关物业信息平台等多种渠道同步进行公示。</w:t>
      </w:r>
    </w:p>
    <w:p w14:paraId="617A94CE">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jc w:val="both"/>
        <w:textAlignment w:val="auto"/>
        <w:rPr>
          <w:rFonts w:hint="default" w:ascii="Times New Roman" w:hAnsi="Times New Roman" w:eastAsia="仿宋_GB2312" w:cs="仿宋_GB2312"/>
          <w:i w:val="0"/>
          <w:iCs w:val="0"/>
          <w:caps w:val="0"/>
          <w:color w:val="auto"/>
          <w:spacing w:val="0"/>
          <w:sz w:val="32"/>
          <w:szCs w:val="32"/>
          <w:highlight w:val="none"/>
        </w:rPr>
      </w:pPr>
      <w:r>
        <w:rPr>
          <w:rFonts w:hint="default" w:ascii="Times New Roman" w:hAnsi="Times New Roman" w:eastAsia="方正楷体_GBK" w:cs="方正楷体_GBK"/>
          <w:snapToGrid w:val="0"/>
          <w:color w:val="auto"/>
          <w:spacing w:val="5"/>
          <w:kern w:val="0"/>
          <w:sz w:val="32"/>
          <w:szCs w:val="32"/>
          <w:highlight w:val="none"/>
          <w:lang w:val="en-US" w:eastAsia="en-US" w:bidi="ar-SA"/>
        </w:rPr>
        <w:t>（五）</w:t>
      </w:r>
      <w:r>
        <w:rPr>
          <w:rFonts w:hint="default" w:ascii="Times New Roman" w:hAnsi="Times New Roman" w:eastAsia="仿宋_GB2312" w:cs="仿宋_GB2312"/>
          <w:b w:val="0"/>
          <w:bCs w:val="0"/>
          <w:i w:val="0"/>
          <w:iCs w:val="0"/>
          <w:caps w:val="0"/>
          <w:color w:val="auto"/>
          <w:spacing w:val="0"/>
          <w:sz w:val="32"/>
          <w:szCs w:val="32"/>
          <w:highlight w:val="none"/>
        </w:rPr>
        <w:t>利用业主的共有部分经营产生收益应当符合</w:t>
      </w:r>
      <w:r>
        <w:rPr>
          <w:rFonts w:hint="eastAsia" w:ascii="Times New Roman" w:hAnsi="Times New Roman" w:eastAsia="仿宋_GB2312" w:cs="仿宋_GB2312"/>
          <w:b w:val="0"/>
          <w:bCs w:val="0"/>
          <w:i w:val="0"/>
          <w:iCs w:val="0"/>
          <w:caps w:val="0"/>
          <w:color w:val="auto"/>
          <w:spacing w:val="0"/>
          <w:sz w:val="32"/>
          <w:szCs w:val="32"/>
          <w:highlight w:val="none"/>
          <w:lang w:eastAsia="zh-CN"/>
        </w:rPr>
        <w:t>法律法规</w:t>
      </w:r>
      <w:r>
        <w:rPr>
          <w:rFonts w:hint="default" w:ascii="Times New Roman" w:hAnsi="Times New Roman" w:eastAsia="仿宋_GB2312" w:cs="仿宋_GB2312"/>
          <w:b w:val="0"/>
          <w:bCs w:val="0"/>
          <w:i w:val="0"/>
          <w:iCs w:val="0"/>
          <w:caps w:val="0"/>
          <w:color w:val="auto"/>
          <w:spacing w:val="0"/>
          <w:sz w:val="32"/>
          <w:szCs w:val="32"/>
          <w:highlight w:val="none"/>
        </w:rPr>
        <w:t>的规定，不得擅自改变公共建筑和共用设施设备的用途，不得妨碍业主和物业使用人正常使用物业，不得影响物业使用安全。</w:t>
      </w:r>
    </w:p>
    <w:p w14:paraId="196D6694">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jc w:val="both"/>
        <w:textAlignment w:val="auto"/>
        <w:rPr>
          <w:rFonts w:hint="default" w:ascii="Times New Roman" w:hAnsi="Times New Roman" w:eastAsia="仿宋_GB2312" w:cs="仿宋_GB2312"/>
          <w:i w:val="0"/>
          <w:iCs w:val="0"/>
          <w:caps w:val="0"/>
          <w:color w:val="auto"/>
          <w:spacing w:val="0"/>
          <w:sz w:val="32"/>
          <w:szCs w:val="32"/>
          <w:highlight w:val="none"/>
        </w:rPr>
      </w:pPr>
      <w:r>
        <w:rPr>
          <w:rFonts w:hint="default" w:ascii="Times New Roman" w:hAnsi="Times New Roman" w:eastAsia="方正楷体_GBK" w:cs="方正楷体_GBK"/>
          <w:snapToGrid w:val="0"/>
          <w:color w:val="auto"/>
          <w:spacing w:val="5"/>
          <w:kern w:val="0"/>
          <w:sz w:val="32"/>
          <w:szCs w:val="32"/>
          <w:highlight w:val="none"/>
          <w:lang w:val="en-US" w:eastAsia="en-US" w:bidi="ar-SA"/>
        </w:rPr>
        <w:t>（六）</w:t>
      </w:r>
      <w:r>
        <w:rPr>
          <w:rFonts w:hint="default" w:ascii="Times New Roman" w:hAnsi="Times New Roman" w:eastAsia="仿宋_GB2312" w:cs="仿宋_GB2312"/>
          <w:b w:val="0"/>
          <w:bCs w:val="0"/>
          <w:i w:val="0"/>
          <w:iCs w:val="0"/>
          <w:caps w:val="0"/>
          <w:color w:val="auto"/>
          <w:spacing w:val="0"/>
          <w:sz w:val="32"/>
          <w:szCs w:val="32"/>
          <w:highlight w:val="none"/>
        </w:rPr>
        <w:t>擅自利用业主的共有部分进行经营的，</w:t>
      </w:r>
      <w:r>
        <w:rPr>
          <w:rFonts w:hint="eastAsia" w:ascii="Times New Roman" w:hAnsi="Times New Roman" w:eastAsia="仿宋_GB2312" w:cs="仿宋_GB2312"/>
          <w:b w:val="0"/>
          <w:bCs w:val="0"/>
          <w:i w:val="0"/>
          <w:iCs w:val="0"/>
          <w:caps w:val="0"/>
          <w:color w:val="auto"/>
          <w:spacing w:val="0"/>
          <w:sz w:val="32"/>
          <w:szCs w:val="32"/>
          <w:highlight w:val="none"/>
          <w:lang w:eastAsia="zh-CN"/>
        </w:rPr>
        <w:t>由</w:t>
      </w:r>
      <w:r>
        <w:rPr>
          <w:rFonts w:hint="default" w:ascii="Times New Roman" w:hAnsi="Times New Roman" w:eastAsia="仿宋_GB2312" w:cs="仿宋_GB2312"/>
          <w:b w:val="0"/>
          <w:bCs w:val="0"/>
          <w:i w:val="0"/>
          <w:iCs w:val="0"/>
          <w:caps w:val="0"/>
          <w:color w:val="auto"/>
          <w:spacing w:val="0"/>
          <w:sz w:val="32"/>
          <w:szCs w:val="32"/>
          <w:highlight w:val="none"/>
        </w:rPr>
        <w:t>物业所在地的街道办事处（乡镇人民政府）</w:t>
      </w:r>
      <w:r>
        <w:rPr>
          <w:rFonts w:hint="eastAsia" w:ascii="Times New Roman" w:hAnsi="Times New Roman" w:eastAsia="仿宋_GB2312" w:cs="仿宋_GB2312"/>
          <w:b w:val="0"/>
          <w:bCs w:val="0"/>
          <w:i w:val="0"/>
          <w:iCs w:val="0"/>
          <w:caps w:val="0"/>
          <w:color w:val="auto"/>
          <w:spacing w:val="0"/>
          <w:sz w:val="32"/>
          <w:szCs w:val="32"/>
          <w:highlight w:val="none"/>
          <w:lang w:eastAsia="zh-CN"/>
        </w:rPr>
        <w:t>移交县城管执法支队</w:t>
      </w:r>
      <w:r>
        <w:rPr>
          <w:rFonts w:hint="default" w:ascii="Times New Roman" w:hAnsi="Times New Roman" w:eastAsia="仿宋_GB2312" w:cs="仿宋_GB2312"/>
          <w:b w:val="0"/>
          <w:bCs w:val="0"/>
          <w:i w:val="0"/>
          <w:iCs w:val="0"/>
          <w:caps w:val="0"/>
          <w:color w:val="auto"/>
          <w:spacing w:val="0"/>
          <w:sz w:val="32"/>
          <w:szCs w:val="32"/>
          <w:highlight w:val="none"/>
        </w:rPr>
        <w:t>依法查处。未按规定或者约定进行公共收益收支情况公示和财务审计，以及任期届满或者合同到期未按规定移交公共收益的，依法责令限期整改。</w:t>
      </w:r>
      <w:r>
        <w:rPr>
          <w:rFonts w:hint="eastAsia" w:ascii="Times New Roman" w:hAnsi="Times New Roman" w:eastAsia="仿宋_GB2312" w:cs="仿宋_GB2312"/>
          <w:b w:val="0"/>
          <w:bCs w:val="0"/>
          <w:i w:val="0"/>
          <w:iCs w:val="0"/>
          <w:caps w:val="0"/>
          <w:color w:val="auto"/>
          <w:spacing w:val="0"/>
          <w:sz w:val="32"/>
          <w:szCs w:val="32"/>
          <w:highlight w:val="none"/>
          <w:lang w:eastAsia="zh-CN"/>
        </w:rPr>
        <w:t>对物业服务人逾期未整改的</w:t>
      </w:r>
      <w:r>
        <w:rPr>
          <w:rFonts w:hint="default" w:ascii="Times New Roman" w:hAnsi="Times New Roman" w:eastAsia="仿宋_GB2312" w:cs="仿宋_GB2312"/>
          <w:b w:val="0"/>
          <w:bCs w:val="0"/>
          <w:i w:val="0"/>
          <w:iCs w:val="0"/>
          <w:caps w:val="0"/>
          <w:color w:val="auto"/>
          <w:spacing w:val="0"/>
          <w:sz w:val="32"/>
          <w:szCs w:val="32"/>
          <w:highlight w:val="none"/>
        </w:rPr>
        <w:t>，</w:t>
      </w:r>
      <w:r>
        <w:rPr>
          <w:rFonts w:hint="eastAsia" w:ascii="Times New Roman" w:hAnsi="Times New Roman" w:eastAsia="仿宋_GB2312" w:cs="仿宋_GB2312"/>
          <w:b w:val="0"/>
          <w:bCs w:val="0"/>
          <w:i w:val="0"/>
          <w:iCs w:val="0"/>
          <w:caps w:val="0"/>
          <w:color w:val="auto"/>
          <w:spacing w:val="0"/>
          <w:sz w:val="32"/>
          <w:szCs w:val="32"/>
          <w:highlight w:val="none"/>
          <w:lang w:eastAsia="zh-CN"/>
        </w:rPr>
        <w:t>由</w:t>
      </w:r>
      <w:r>
        <w:rPr>
          <w:rFonts w:hint="default" w:ascii="Times New Roman" w:hAnsi="Times New Roman" w:eastAsia="仿宋_GB2312" w:cs="仿宋_GB2312"/>
          <w:b w:val="0"/>
          <w:bCs w:val="0"/>
          <w:i w:val="0"/>
          <w:iCs w:val="0"/>
          <w:caps w:val="0"/>
          <w:color w:val="auto"/>
          <w:spacing w:val="0"/>
          <w:sz w:val="32"/>
          <w:szCs w:val="32"/>
          <w:highlight w:val="none"/>
        </w:rPr>
        <w:t>物业所在地的街道办事处（乡镇人民政府）</w:t>
      </w:r>
      <w:r>
        <w:rPr>
          <w:rFonts w:hint="eastAsia" w:ascii="Times New Roman" w:hAnsi="Times New Roman" w:eastAsia="仿宋_GB2312" w:cs="仿宋_GB2312"/>
          <w:b w:val="0"/>
          <w:bCs w:val="0"/>
          <w:i w:val="0"/>
          <w:iCs w:val="0"/>
          <w:caps w:val="0"/>
          <w:color w:val="auto"/>
          <w:spacing w:val="0"/>
          <w:sz w:val="32"/>
          <w:szCs w:val="32"/>
          <w:highlight w:val="none"/>
          <w:lang w:eastAsia="zh-CN"/>
        </w:rPr>
        <w:t>移交县住房城乡建委</w:t>
      </w:r>
      <w:r>
        <w:rPr>
          <w:rFonts w:hint="default" w:ascii="Times New Roman" w:hAnsi="Times New Roman" w:eastAsia="仿宋_GB2312" w:cs="仿宋_GB2312"/>
          <w:b w:val="0"/>
          <w:bCs w:val="0"/>
          <w:i w:val="0"/>
          <w:iCs w:val="0"/>
          <w:caps w:val="0"/>
          <w:color w:val="auto"/>
          <w:spacing w:val="0"/>
          <w:sz w:val="32"/>
          <w:szCs w:val="32"/>
          <w:highlight w:val="none"/>
        </w:rPr>
        <w:t>记入物业服务企业信用信息档案。对业主委员会</w:t>
      </w:r>
      <w:r>
        <w:rPr>
          <w:rFonts w:hint="eastAsia" w:ascii="Times New Roman" w:hAnsi="Times New Roman" w:eastAsia="仿宋_GB2312" w:cs="仿宋_GB2312"/>
          <w:b w:val="0"/>
          <w:bCs w:val="0"/>
          <w:i w:val="0"/>
          <w:iCs w:val="0"/>
          <w:caps w:val="0"/>
          <w:color w:val="auto"/>
          <w:spacing w:val="0"/>
          <w:sz w:val="32"/>
          <w:szCs w:val="32"/>
          <w:highlight w:val="none"/>
          <w:lang w:eastAsia="zh-CN"/>
        </w:rPr>
        <w:t>逾期未整改的</w:t>
      </w:r>
      <w:r>
        <w:rPr>
          <w:rFonts w:hint="default" w:ascii="Times New Roman" w:hAnsi="Times New Roman" w:eastAsia="仿宋_GB2312" w:cs="仿宋_GB2312"/>
          <w:b w:val="0"/>
          <w:bCs w:val="0"/>
          <w:i w:val="0"/>
          <w:iCs w:val="0"/>
          <w:caps w:val="0"/>
          <w:color w:val="auto"/>
          <w:spacing w:val="0"/>
          <w:sz w:val="32"/>
          <w:szCs w:val="32"/>
          <w:highlight w:val="none"/>
        </w:rPr>
        <w:t>，由街道办事处（乡镇人民政府）将有关情况公告全体业主；</w:t>
      </w:r>
      <w:r>
        <w:rPr>
          <w:rFonts w:hint="default" w:ascii="Times New Roman" w:hAnsi="Times New Roman" w:eastAsia="仿宋_GB2312" w:cs="仿宋_GB2312"/>
          <w:i w:val="0"/>
          <w:iCs w:val="0"/>
          <w:caps w:val="0"/>
          <w:color w:val="auto"/>
          <w:spacing w:val="0"/>
          <w:sz w:val="32"/>
          <w:szCs w:val="32"/>
          <w:highlight w:val="none"/>
        </w:rPr>
        <w:t>侵害业主合法权益的，受侵害的业主可以请求人民法院予以撤销；</w:t>
      </w:r>
      <w:r>
        <w:rPr>
          <w:rFonts w:hint="default" w:ascii="Times New Roman" w:hAnsi="Times New Roman" w:eastAsia="仿宋_GB2312" w:cs="仿宋_GB2312"/>
          <w:b w:val="0"/>
          <w:bCs w:val="0"/>
          <w:i w:val="0"/>
          <w:iCs w:val="0"/>
          <w:caps w:val="0"/>
          <w:color w:val="auto"/>
          <w:spacing w:val="0"/>
          <w:sz w:val="32"/>
          <w:szCs w:val="32"/>
          <w:highlight w:val="none"/>
        </w:rPr>
        <w:t>情节严重的，可以由居（村）民委员会在街道办事处（乡镇人民政府）的指导和监督下组织召开业主大会对有关事项进行决议。侵占公共收益等涉嫌违法犯罪的，及时将线索移送公安机关。</w:t>
      </w:r>
    </w:p>
    <w:p w14:paraId="2A9A719C">
      <w:pPr>
        <w:keepNext w:val="0"/>
        <w:keepLines w:val="0"/>
        <w:pageBreakBefore w:val="0"/>
        <w:widowControl w:val="0"/>
        <w:kinsoku w:val="0"/>
        <w:wordWrap/>
        <w:overflowPunct/>
        <w:topLinePunct w:val="0"/>
        <w:autoSpaceDE w:val="0"/>
        <w:autoSpaceDN w:val="0"/>
        <w:bidi w:val="0"/>
        <w:adjustRightInd w:val="0"/>
        <w:snapToGrid w:val="0"/>
        <w:spacing w:line="560" w:lineRule="exact"/>
        <w:ind w:firstLine="629"/>
        <w:jc w:val="both"/>
        <w:textAlignment w:val="baseline"/>
        <w:rPr>
          <w:rFonts w:hint="eastAsia" w:ascii="Times New Roman" w:hAnsi="Times New Roman" w:eastAsia="方正黑体_GBK" w:cs="方正黑体_GBK"/>
          <w:b w:val="0"/>
          <w:bCs w:val="0"/>
          <w:color w:val="auto"/>
          <w:spacing w:val="-4"/>
          <w:sz w:val="32"/>
          <w:szCs w:val="32"/>
          <w:highlight w:val="none"/>
        </w:rPr>
      </w:pPr>
      <w:r>
        <w:rPr>
          <w:rFonts w:hint="eastAsia" w:ascii="Times New Roman" w:hAnsi="Times New Roman" w:eastAsia="方正黑体_GBK" w:cs="方正黑体_GBK"/>
          <w:b w:val="0"/>
          <w:bCs w:val="0"/>
          <w:color w:val="auto"/>
          <w:spacing w:val="-4"/>
          <w:sz w:val="32"/>
          <w:szCs w:val="32"/>
          <w:highlight w:val="none"/>
          <w:lang w:val="en-US" w:eastAsia="zh-CN"/>
        </w:rPr>
        <w:t>八</w:t>
      </w:r>
      <w:r>
        <w:rPr>
          <w:rFonts w:hint="eastAsia" w:ascii="Times New Roman" w:hAnsi="Times New Roman" w:eastAsia="方正黑体_GBK" w:cs="方正黑体_GBK"/>
          <w:b w:val="0"/>
          <w:bCs w:val="0"/>
          <w:color w:val="auto"/>
          <w:spacing w:val="-4"/>
          <w:sz w:val="32"/>
          <w:szCs w:val="32"/>
          <w:highlight w:val="none"/>
        </w:rPr>
        <w:t>、其他事项</w:t>
      </w:r>
    </w:p>
    <w:p w14:paraId="57049A67">
      <w:pPr>
        <w:keepNext w:val="0"/>
        <w:keepLines w:val="0"/>
        <w:pageBreakBefore w:val="0"/>
        <w:widowControl w:val="0"/>
        <w:kinsoku w:val="0"/>
        <w:wordWrap/>
        <w:overflowPunct/>
        <w:topLinePunct w:val="0"/>
        <w:autoSpaceDE w:val="0"/>
        <w:autoSpaceDN w:val="0"/>
        <w:bidi w:val="0"/>
        <w:adjustRightInd w:val="0"/>
        <w:snapToGrid w:val="0"/>
        <w:spacing w:line="560" w:lineRule="exact"/>
        <w:ind w:firstLine="629"/>
        <w:jc w:val="both"/>
        <w:textAlignment w:val="baseline"/>
        <w:rPr>
          <w:rFonts w:hint="eastAsia" w:ascii="Times New Roman" w:hAnsi="Times New Roman" w:eastAsia="方正仿宋_GBK" w:cs="方正仿宋_GBK"/>
          <w:color w:val="auto"/>
          <w:spacing w:val="6"/>
          <w:sz w:val="32"/>
          <w:szCs w:val="32"/>
          <w:highlight w:val="none"/>
          <w:lang w:eastAsia="zh-CN"/>
        </w:rPr>
      </w:pPr>
      <w:r>
        <w:rPr>
          <w:rFonts w:hint="eastAsia" w:ascii="Times New Roman" w:hAnsi="Times New Roman" w:eastAsia="方正楷体_GBK" w:cs="方正楷体_GBK"/>
          <w:color w:val="auto"/>
          <w:spacing w:val="17"/>
          <w:sz w:val="32"/>
          <w:szCs w:val="32"/>
          <w:highlight w:val="none"/>
          <w:lang w:eastAsia="zh-CN"/>
        </w:rPr>
        <w:t>（一）</w:t>
      </w:r>
      <w:r>
        <w:rPr>
          <w:rFonts w:hint="eastAsia" w:ascii="Times New Roman" w:hAnsi="Times New Roman" w:eastAsia="方正楷体_GBK" w:cs="方正楷体_GBK"/>
          <w:b w:val="0"/>
          <w:bCs w:val="0"/>
          <w:color w:val="auto"/>
          <w:spacing w:val="-4"/>
          <w:sz w:val="32"/>
          <w:szCs w:val="32"/>
          <w:highlight w:val="none"/>
        </w:rPr>
        <w:t>争议处理</w:t>
      </w:r>
      <w:r>
        <w:rPr>
          <w:rFonts w:hint="eastAsia" w:ascii="Times New Roman" w:hAnsi="Times New Roman" w:eastAsia="方正楷体_GBK" w:cs="方正楷体_GBK"/>
          <w:b w:val="0"/>
          <w:bCs w:val="0"/>
          <w:color w:val="auto"/>
          <w:spacing w:val="-4"/>
          <w:sz w:val="32"/>
          <w:szCs w:val="32"/>
          <w:highlight w:val="none"/>
          <w:lang w:eastAsia="zh-CN"/>
        </w:rPr>
        <w:t>。</w:t>
      </w:r>
      <w:r>
        <w:rPr>
          <w:rFonts w:hint="eastAsia" w:ascii="Times New Roman" w:hAnsi="Times New Roman" w:eastAsia="方正仿宋_GBK" w:cs="方正仿宋_GBK"/>
          <w:color w:val="auto"/>
          <w:spacing w:val="17"/>
          <w:sz w:val="32"/>
          <w:szCs w:val="32"/>
          <w:highlight w:val="none"/>
        </w:rPr>
        <w:t>物业管理区域</w:t>
      </w:r>
      <w:r>
        <w:rPr>
          <w:rFonts w:hint="eastAsia" w:ascii="Times New Roman" w:hAnsi="Times New Roman" w:eastAsia="方正仿宋_GBK" w:cs="方正仿宋_GBK"/>
          <w:color w:val="auto"/>
          <w:spacing w:val="17"/>
          <w:sz w:val="32"/>
          <w:szCs w:val="32"/>
          <w:highlight w:val="none"/>
          <w:lang w:val="en-US" w:eastAsia="zh-CN"/>
        </w:rPr>
        <w:t>内</w:t>
      </w:r>
      <w:r>
        <w:rPr>
          <w:rFonts w:hint="eastAsia" w:ascii="Times New Roman" w:hAnsi="Times New Roman" w:eastAsia="方正仿宋_GBK" w:cs="方正仿宋_GBK"/>
          <w:color w:val="auto"/>
          <w:spacing w:val="17"/>
          <w:sz w:val="32"/>
          <w:szCs w:val="32"/>
          <w:highlight w:val="none"/>
        </w:rPr>
        <w:t>百分之二十以上业主书面对公共收</w:t>
      </w:r>
      <w:r>
        <w:rPr>
          <w:rFonts w:hint="eastAsia" w:ascii="Times New Roman" w:hAnsi="Times New Roman" w:eastAsia="方正仿宋_GBK" w:cs="方正仿宋_GBK"/>
          <w:color w:val="auto"/>
          <w:spacing w:val="16"/>
          <w:sz w:val="32"/>
          <w:szCs w:val="32"/>
          <w:highlight w:val="none"/>
        </w:rPr>
        <w:t>益收支</w:t>
      </w:r>
      <w:r>
        <w:rPr>
          <w:rFonts w:hint="eastAsia" w:ascii="Times New Roman" w:hAnsi="Times New Roman" w:eastAsia="方正仿宋_GBK" w:cs="方正仿宋_GBK"/>
          <w:color w:val="auto"/>
          <w:spacing w:val="16"/>
          <w:sz w:val="32"/>
          <w:szCs w:val="32"/>
          <w:highlight w:val="none"/>
          <w:lang w:val="en-US" w:eastAsia="zh-CN"/>
        </w:rPr>
        <w:t>情况</w:t>
      </w:r>
      <w:r>
        <w:rPr>
          <w:rFonts w:hint="eastAsia" w:ascii="Times New Roman" w:hAnsi="Times New Roman" w:eastAsia="方正仿宋_GBK" w:cs="方正仿宋_GBK"/>
          <w:color w:val="auto"/>
          <w:spacing w:val="16"/>
          <w:sz w:val="32"/>
          <w:szCs w:val="32"/>
          <w:highlight w:val="none"/>
        </w:rPr>
        <w:t>提</w:t>
      </w:r>
      <w:r>
        <w:rPr>
          <w:rFonts w:hint="eastAsia" w:ascii="Times New Roman" w:hAnsi="Times New Roman" w:eastAsia="方正仿宋_GBK" w:cs="方正仿宋_GBK"/>
          <w:color w:val="auto"/>
          <w:spacing w:val="-3"/>
          <w:sz w:val="32"/>
          <w:szCs w:val="32"/>
          <w:highlight w:val="none"/>
        </w:rPr>
        <w:t>出异议的，可以根据物业服务合同、管理规约或者业主大会决定，</w:t>
      </w:r>
      <w:r>
        <w:rPr>
          <w:rFonts w:hint="eastAsia" w:ascii="Times New Roman" w:hAnsi="Times New Roman" w:eastAsia="方正仿宋_GBK" w:cs="方正仿宋_GBK"/>
          <w:color w:val="auto"/>
          <w:spacing w:val="6"/>
          <w:sz w:val="32"/>
          <w:szCs w:val="32"/>
          <w:highlight w:val="none"/>
        </w:rPr>
        <w:t>在物业所在地</w:t>
      </w:r>
      <w:r>
        <w:rPr>
          <w:rFonts w:hint="eastAsia" w:ascii="Times New Roman" w:hAnsi="Times New Roman" w:eastAsia="方正仿宋_GBK" w:cs="方正仿宋_GBK"/>
          <w:color w:val="auto"/>
          <w:spacing w:val="6"/>
          <w:sz w:val="32"/>
          <w:szCs w:val="32"/>
          <w:highlight w:val="none"/>
          <w:lang w:val="en-US" w:eastAsia="zh-CN"/>
        </w:rPr>
        <w:t>乡镇</w:t>
      </w:r>
      <w:r>
        <w:rPr>
          <w:rFonts w:hint="eastAsia" w:ascii="Times New Roman" w:hAnsi="Times New Roman" w:eastAsia="方正仿宋_GBK" w:cs="方正仿宋_GBK"/>
          <w:color w:val="auto"/>
          <w:spacing w:val="6"/>
          <w:sz w:val="32"/>
          <w:szCs w:val="32"/>
          <w:highlight w:val="none"/>
        </w:rPr>
        <w:t>人民政府</w:t>
      </w:r>
      <w:r>
        <w:rPr>
          <w:rFonts w:hint="eastAsia" w:ascii="Times New Roman" w:hAnsi="Times New Roman" w:eastAsia="方正仿宋_GBK" w:cs="方正仿宋_GBK"/>
          <w:color w:val="auto"/>
          <w:spacing w:val="6"/>
          <w:sz w:val="32"/>
          <w:szCs w:val="32"/>
          <w:highlight w:val="none"/>
          <w:lang w:eastAsia="zh-CN"/>
        </w:rPr>
        <w:t>（</w:t>
      </w:r>
      <w:r>
        <w:rPr>
          <w:rFonts w:hint="eastAsia" w:ascii="Times New Roman" w:hAnsi="Times New Roman" w:eastAsia="方正仿宋_GBK" w:cs="方正仿宋_GBK"/>
          <w:color w:val="auto"/>
          <w:spacing w:val="6"/>
          <w:sz w:val="32"/>
          <w:szCs w:val="32"/>
          <w:highlight w:val="none"/>
        </w:rPr>
        <w:t>街道办事处</w:t>
      </w:r>
      <w:r>
        <w:rPr>
          <w:rFonts w:hint="eastAsia" w:ascii="Times New Roman" w:hAnsi="Times New Roman" w:eastAsia="方正仿宋_GBK" w:cs="方正仿宋_GBK"/>
          <w:color w:val="auto"/>
          <w:spacing w:val="6"/>
          <w:sz w:val="32"/>
          <w:szCs w:val="32"/>
          <w:highlight w:val="none"/>
          <w:lang w:eastAsia="zh-CN"/>
        </w:rPr>
        <w:t>）</w:t>
      </w:r>
      <w:r>
        <w:rPr>
          <w:rFonts w:hint="eastAsia" w:ascii="Times New Roman" w:hAnsi="Times New Roman" w:eastAsia="方正仿宋_GBK" w:cs="方正仿宋_GBK"/>
          <w:color w:val="auto"/>
          <w:spacing w:val="6"/>
          <w:sz w:val="32"/>
          <w:szCs w:val="32"/>
          <w:highlight w:val="none"/>
        </w:rPr>
        <w:t>的指导</w:t>
      </w:r>
      <w:r>
        <w:rPr>
          <w:rFonts w:hint="eastAsia" w:ascii="Times New Roman" w:hAnsi="Times New Roman" w:eastAsia="方正仿宋_GBK" w:cs="方正仿宋_GBK"/>
          <w:color w:val="auto"/>
          <w:spacing w:val="5"/>
          <w:sz w:val="32"/>
          <w:szCs w:val="32"/>
          <w:highlight w:val="none"/>
        </w:rPr>
        <w:t>监督下</w:t>
      </w:r>
      <w:r>
        <w:rPr>
          <w:rFonts w:hint="eastAsia" w:ascii="Times New Roman" w:hAnsi="Times New Roman" w:eastAsia="方正仿宋_GBK" w:cs="方正仿宋_GBK"/>
          <w:color w:val="auto"/>
          <w:spacing w:val="5"/>
          <w:sz w:val="32"/>
          <w:szCs w:val="32"/>
          <w:highlight w:val="none"/>
          <w:lang w:eastAsia="zh-CN"/>
        </w:rPr>
        <w:t>，</w:t>
      </w:r>
      <w:r>
        <w:rPr>
          <w:rFonts w:hint="eastAsia" w:ascii="Times New Roman" w:hAnsi="Times New Roman" w:eastAsia="方正仿宋_GBK" w:cs="方正仿宋_GBK"/>
          <w:color w:val="auto"/>
          <w:spacing w:val="5"/>
          <w:sz w:val="32"/>
          <w:szCs w:val="32"/>
          <w:highlight w:val="none"/>
        </w:rPr>
        <w:t>委托有资质</w:t>
      </w:r>
      <w:r>
        <w:rPr>
          <w:rFonts w:hint="eastAsia" w:ascii="Times New Roman" w:hAnsi="Times New Roman" w:eastAsia="方正仿宋_GBK" w:cs="方正仿宋_GBK"/>
          <w:color w:val="auto"/>
          <w:spacing w:val="4"/>
          <w:sz w:val="32"/>
          <w:szCs w:val="32"/>
          <w:highlight w:val="none"/>
        </w:rPr>
        <w:t>的中介机构进行财务审计</w:t>
      </w:r>
      <w:r>
        <w:rPr>
          <w:rFonts w:hint="eastAsia" w:ascii="Times New Roman" w:hAnsi="Times New Roman" w:eastAsia="方正仿宋_GBK" w:cs="方正仿宋_GBK"/>
          <w:color w:val="auto"/>
          <w:spacing w:val="4"/>
          <w:sz w:val="32"/>
          <w:szCs w:val="32"/>
          <w:highlight w:val="none"/>
          <w:lang w:eastAsia="zh-CN"/>
        </w:rPr>
        <w:t>（</w:t>
      </w:r>
      <w:r>
        <w:rPr>
          <w:rFonts w:hint="eastAsia" w:ascii="Times New Roman" w:hAnsi="Times New Roman" w:eastAsia="方正仿宋_GBK" w:cs="方正仿宋_GBK"/>
          <w:color w:val="auto"/>
          <w:spacing w:val="6"/>
          <w:sz w:val="32"/>
          <w:szCs w:val="32"/>
          <w:highlight w:val="none"/>
        </w:rPr>
        <w:t>审计费用经业主大会同意可从公共收益支出</w:t>
      </w:r>
      <w:r>
        <w:rPr>
          <w:rFonts w:hint="eastAsia" w:ascii="Times New Roman" w:hAnsi="Times New Roman" w:eastAsia="方正仿宋_GBK" w:cs="方正仿宋_GBK"/>
          <w:color w:val="auto"/>
          <w:spacing w:val="6"/>
          <w:sz w:val="32"/>
          <w:szCs w:val="32"/>
          <w:highlight w:val="none"/>
          <w:lang w:eastAsia="zh-CN"/>
        </w:rPr>
        <w:t>。无业主大会决议的</w:t>
      </w:r>
      <w:r>
        <w:rPr>
          <w:rFonts w:hint="eastAsia" w:ascii="Times New Roman" w:hAnsi="Times New Roman" w:eastAsia="方正仿宋_GBK" w:cs="方正仿宋_GBK"/>
          <w:color w:val="auto"/>
          <w:spacing w:val="6"/>
          <w:sz w:val="32"/>
          <w:szCs w:val="32"/>
          <w:highlight w:val="none"/>
        </w:rPr>
        <w:t>由提出异议业主先行承担，审计发现违规的，由责任主体承担并赔偿</w:t>
      </w:r>
      <w:r>
        <w:rPr>
          <w:rFonts w:hint="eastAsia" w:ascii="Times New Roman" w:hAnsi="Times New Roman" w:eastAsia="方正仿宋_GBK" w:cs="方正仿宋_GBK"/>
          <w:color w:val="auto"/>
          <w:spacing w:val="6"/>
          <w:sz w:val="32"/>
          <w:szCs w:val="32"/>
          <w:highlight w:val="none"/>
          <w:lang w:eastAsia="zh-CN"/>
        </w:rPr>
        <w:t>损失）</w:t>
      </w:r>
      <w:r>
        <w:rPr>
          <w:rFonts w:hint="eastAsia" w:ascii="Times New Roman" w:hAnsi="Times New Roman" w:eastAsia="方正仿宋_GBK" w:cs="方正仿宋_GBK"/>
          <w:color w:val="auto"/>
          <w:spacing w:val="4"/>
          <w:sz w:val="32"/>
          <w:szCs w:val="32"/>
          <w:highlight w:val="none"/>
        </w:rPr>
        <w:t>，也可以申请</w:t>
      </w:r>
      <w:r>
        <w:rPr>
          <w:rFonts w:hint="eastAsia" w:ascii="Times New Roman" w:hAnsi="Times New Roman" w:eastAsia="方正仿宋_GBK" w:cs="方正仿宋_GBK"/>
          <w:color w:val="auto"/>
          <w:spacing w:val="6"/>
          <w:sz w:val="32"/>
          <w:szCs w:val="32"/>
          <w:highlight w:val="none"/>
        </w:rPr>
        <w:t>物业所在地</w:t>
      </w:r>
      <w:r>
        <w:rPr>
          <w:rFonts w:hint="eastAsia" w:ascii="Times New Roman" w:hAnsi="Times New Roman" w:eastAsia="方正仿宋_GBK" w:cs="方正仿宋_GBK"/>
          <w:color w:val="auto"/>
          <w:spacing w:val="6"/>
          <w:sz w:val="32"/>
          <w:szCs w:val="32"/>
          <w:highlight w:val="none"/>
          <w:lang w:val="en-US" w:eastAsia="zh-CN"/>
        </w:rPr>
        <w:t>乡镇</w:t>
      </w:r>
      <w:r>
        <w:rPr>
          <w:rFonts w:hint="eastAsia" w:ascii="Times New Roman" w:hAnsi="Times New Roman" w:eastAsia="方正仿宋_GBK" w:cs="方正仿宋_GBK"/>
          <w:color w:val="auto"/>
          <w:spacing w:val="6"/>
          <w:sz w:val="32"/>
          <w:szCs w:val="32"/>
          <w:highlight w:val="none"/>
        </w:rPr>
        <w:t>人民政府</w:t>
      </w:r>
      <w:r>
        <w:rPr>
          <w:rFonts w:hint="eastAsia" w:ascii="Times New Roman" w:hAnsi="Times New Roman" w:eastAsia="方正仿宋_GBK" w:cs="方正仿宋_GBK"/>
          <w:color w:val="auto"/>
          <w:spacing w:val="6"/>
          <w:sz w:val="32"/>
          <w:szCs w:val="32"/>
          <w:highlight w:val="none"/>
          <w:lang w:eastAsia="zh-CN"/>
        </w:rPr>
        <w:t>（</w:t>
      </w:r>
      <w:r>
        <w:rPr>
          <w:rFonts w:hint="eastAsia" w:ascii="Times New Roman" w:hAnsi="Times New Roman" w:eastAsia="方正仿宋_GBK" w:cs="方正仿宋_GBK"/>
          <w:color w:val="auto"/>
          <w:spacing w:val="6"/>
          <w:sz w:val="32"/>
          <w:szCs w:val="32"/>
          <w:highlight w:val="none"/>
        </w:rPr>
        <w:t>街道办事处</w:t>
      </w:r>
      <w:r>
        <w:rPr>
          <w:rFonts w:hint="eastAsia" w:ascii="Times New Roman" w:hAnsi="Times New Roman" w:eastAsia="方正仿宋_GBK" w:cs="方正仿宋_GBK"/>
          <w:color w:val="auto"/>
          <w:spacing w:val="6"/>
          <w:sz w:val="32"/>
          <w:szCs w:val="32"/>
          <w:highlight w:val="none"/>
          <w:lang w:eastAsia="zh-CN"/>
        </w:rPr>
        <w:t>）召开</w:t>
      </w:r>
      <w:r>
        <w:rPr>
          <w:rFonts w:hint="eastAsia" w:ascii="Times New Roman" w:hAnsi="Times New Roman" w:eastAsia="方正仿宋_GBK" w:cs="方正仿宋_GBK"/>
          <w:color w:val="auto"/>
          <w:spacing w:val="4"/>
          <w:sz w:val="32"/>
          <w:szCs w:val="32"/>
          <w:highlight w:val="none"/>
        </w:rPr>
        <w:t>物业管理联席会协调处理</w:t>
      </w:r>
      <w:r>
        <w:rPr>
          <w:rFonts w:hint="eastAsia" w:ascii="Times New Roman" w:hAnsi="Times New Roman" w:eastAsia="方正仿宋_GBK" w:cs="方正仿宋_GBK"/>
          <w:color w:val="auto"/>
          <w:spacing w:val="6"/>
          <w:sz w:val="32"/>
          <w:szCs w:val="32"/>
          <w:highlight w:val="none"/>
        </w:rPr>
        <w:t>或者依法向人民法院提起诉讼。业主或物业企业对决定不服的，可依法申请行政复议或提起诉讼</w:t>
      </w:r>
      <w:r>
        <w:rPr>
          <w:rFonts w:hint="eastAsia" w:ascii="Times New Roman" w:hAnsi="Times New Roman" w:eastAsia="方正仿宋_GBK" w:cs="方正仿宋_GBK"/>
          <w:color w:val="auto"/>
          <w:spacing w:val="6"/>
          <w:sz w:val="32"/>
          <w:szCs w:val="32"/>
          <w:highlight w:val="none"/>
          <w:lang w:eastAsia="zh-CN"/>
        </w:rPr>
        <w:t>。</w:t>
      </w:r>
    </w:p>
    <w:p w14:paraId="73B98299">
      <w:pPr>
        <w:keepNext w:val="0"/>
        <w:keepLines w:val="0"/>
        <w:pageBreakBefore w:val="0"/>
        <w:widowControl/>
        <w:kinsoku w:val="0"/>
        <w:wordWrap/>
        <w:overflowPunct/>
        <w:topLinePunct w:val="0"/>
        <w:autoSpaceDE w:val="0"/>
        <w:autoSpaceDN w:val="0"/>
        <w:bidi w:val="0"/>
        <w:adjustRightInd w:val="0"/>
        <w:snapToGrid w:val="0"/>
        <w:spacing w:line="560" w:lineRule="exact"/>
        <w:ind w:firstLine="629"/>
        <w:jc w:val="both"/>
        <w:textAlignment w:val="baseline"/>
        <w:rPr>
          <w:rFonts w:hint="eastAsia" w:ascii="Times New Roman" w:hAnsi="Times New Roman" w:eastAsia="方正仿宋_GBK" w:cs="方正仿宋_GBK"/>
          <w:color w:val="auto"/>
          <w:spacing w:val="6"/>
          <w:sz w:val="32"/>
          <w:szCs w:val="32"/>
          <w:highlight w:val="none"/>
          <w:lang w:eastAsia="zh-CN"/>
        </w:rPr>
      </w:pPr>
      <w:r>
        <w:rPr>
          <w:rFonts w:hint="default" w:ascii="Times New Roman" w:hAnsi="Times New Roman" w:eastAsia="方正楷体_GBK" w:cs="方正楷体_GBK"/>
          <w:color w:val="auto"/>
          <w:spacing w:val="17"/>
          <w:sz w:val="32"/>
          <w:szCs w:val="32"/>
          <w:highlight w:val="none"/>
          <w:lang w:eastAsia="zh-CN"/>
        </w:rPr>
        <w:t>（二）</w:t>
      </w:r>
      <w:r>
        <w:rPr>
          <w:rFonts w:hint="default" w:ascii="Times New Roman" w:hAnsi="Times New Roman" w:eastAsia="仿宋_GB2312" w:cs="仿宋_GB2312"/>
          <w:i w:val="0"/>
          <w:iCs w:val="0"/>
          <w:caps w:val="0"/>
          <w:color w:val="333333"/>
          <w:spacing w:val="0"/>
          <w:sz w:val="32"/>
          <w:szCs w:val="32"/>
        </w:rPr>
        <w:t>本</w:t>
      </w:r>
      <w:r>
        <w:rPr>
          <w:rFonts w:hint="eastAsia" w:ascii="Times New Roman" w:hAnsi="Times New Roman" w:eastAsia="仿宋_GB2312" w:cs="仿宋_GB2312"/>
          <w:i w:val="0"/>
          <w:iCs w:val="0"/>
          <w:caps w:val="0"/>
          <w:color w:val="333333"/>
          <w:spacing w:val="0"/>
          <w:sz w:val="32"/>
          <w:szCs w:val="32"/>
          <w:lang w:eastAsia="zh-CN"/>
        </w:rPr>
        <w:t>通知</w:t>
      </w:r>
      <w:r>
        <w:rPr>
          <w:rFonts w:hint="default" w:ascii="Times New Roman" w:hAnsi="Times New Roman" w:eastAsia="仿宋_GB2312" w:cs="仿宋_GB2312"/>
          <w:i w:val="0"/>
          <w:iCs w:val="0"/>
          <w:caps w:val="0"/>
          <w:color w:val="333333"/>
          <w:spacing w:val="0"/>
          <w:sz w:val="32"/>
          <w:szCs w:val="32"/>
        </w:rPr>
        <w:t>自</w:t>
      </w:r>
      <w:r>
        <w:rPr>
          <w:rFonts w:hint="eastAsia" w:ascii="Times New Roman" w:hAnsi="Times New Roman" w:eastAsia="仿宋_GB2312" w:cs="仿宋_GB2312"/>
          <w:i w:val="0"/>
          <w:iCs w:val="0"/>
          <w:caps w:val="0"/>
          <w:color w:val="333333"/>
          <w:spacing w:val="0"/>
          <w:sz w:val="32"/>
          <w:szCs w:val="32"/>
          <w:lang w:eastAsia="zh-CN"/>
        </w:rPr>
        <w:t>发布之日起</w:t>
      </w:r>
      <w:r>
        <w:rPr>
          <w:rFonts w:hint="default" w:ascii="Times New Roman" w:hAnsi="Times New Roman" w:eastAsia="仿宋_GB2312" w:cs="仿宋_GB2312"/>
          <w:i w:val="0"/>
          <w:iCs w:val="0"/>
          <w:caps w:val="0"/>
          <w:color w:val="333333"/>
          <w:spacing w:val="0"/>
          <w:sz w:val="32"/>
          <w:szCs w:val="32"/>
        </w:rPr>
        <w:t>施行。</w:t>
      </w:r>
    </w:p>
    <w:p w14:paraId="4810FB5B">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jc w:val="both"/>
        <w:textAlignment w:val="auto"/>
        <w:rPr>
          <w:rFonts w:hint="default" w:ascii="Times New Roman" w:hAnsi="Times New Roman" w:eastAsia="仿宋_GB2312" w:cs="仿宋_GB2312"/>
          <w:i w:val="0"/>
          <w:iCs w:val="0"/>
          <w:caps w:val="0"/>
          <w:color w:val="333333"/>
          <w:spacing w:val="0"/>
          <w:sz w:val="32"/>
          <w:szCs w:val="32"/>
        </w:rPr>
      </w:pPr>
    </w:p>
    <w:p w14:paraId="2133EB0D">
      <w:pPr>
        <w:keepNext w:val="0"/>
        <w:keepLines w:val="0"/>
        <w:pageBreakBefore w:val="0"/>
        <w:widowControl/>
        <w:kinsoku w:val="0"/>
        <w:wordWrap/>
        <w:overflowPunct/>
        <w:topLinePunct w:val="0"/>
        <w:autoSpaceDE w:val="0"/>
        <w:autoSpaceDN w:val="0"/>
        <w:bidi w:val="0"/>
        <w:adjustRightInd w:val="0"/>
        <w:snapToGrid w:val="0"/>
        <w:spacing w:line="560" w:lineRule="exact"/>
        <w:ind w:firstLine="629"/>
        <w:jc w:val="both"/>
        <w:textAlignment w:val="baseline"/>
        <w:rPr>
          <w:rFonts w:hint="eastAsia" w:ascii="Times New Roman" w:hAnsi="Times New Roman" w:eastAsia="方正仿宋_GBK" w:cs="方正仿宋_GBK"/>
          <w:color w:val="auto"/>
          <w:spacing w:val="4"/>
          <w:sz w:val="32"/>
          <w:szCs w:val="32"/>
          <w:highlight w:val="none"/>
          <w:lang w:val="en-US" w:eastAsia="zh-CN"/>
        </w:rPr>
      </w:pPr>
      <w:r>
        <w:rPr>
          <w:rFonts w:hint="default" w:ascii="Times New Roman" w:hAnsi="Times New Roman" w:eastAsia="方正仿宋_GBK" w:cs="方正仿宋_GBK"/>
          <w:color w:val="auto"/>
          <w:spacing w:val="4"/>
          <w:sz w:val="32"/>
          <w:szCs w:val="32"/>
          <w:highlight w:val="none"/>
        </w:rPr>
        <w:t>附件：</w:t>
      </w:r>
      <w:r>
        <w:rPr>
          <w:rFonts w:hint="eastAsia" w:ascii="Times New Roman" w:hAnsi="Times New Roman" w:eastAsia="方正仿宋_GBK" w:cs="方正仿宋_GBK"/>
          <w:color w:val="auto"/>
          <w:spacing w:val="4"/>
          <w:sz w:val="32"/>
          <w:szCs w:val="32"/>
          <w:highlight w:val="none"/>
          <w:lang w:val="en-US" w:eastAsia="zh-CN"/>
        </w:rPr>
        <w:t>1.丰都县公共收益交存物业专项维修资金申请表</w:t>
      </w:r>
    </w:p>
    <w:p w14:paraId="04ED879D">
      <w:pPr>
        <w:keepNext w:val="0"/>
        <w:keepLines w:val="0"/>
        <w:pageBreakBefore w:val="0"/>
        <w:widowControl/>
        <w:kinsoku w:val="0"/>
        <w:wordWrap/>
        <w:overflowPunct/>
        <w:topLinePunct w:val="0"/>
        <w:autoSpaceDE w:val="0"/>
        <w:autoSpaceDN w:val="0"/>
        <w:bidi w:val="0"/>
        <w:adjustRightInd w:val="0"/>
        <w:snapToGrid w:val="0"/>
        <w:spacing w:line="560" w:lineRule="exact"/>
        <w:ind w:firstLine="1633" w:firstLineChars="498"/>
        <w:jc w:val="both"/>
        <w:textAlignment w:val="baseline"/>
        <w:rPr>
          <w:rFonts w:hint="default" w:ascii="Times New Roman" w:hAnsi="Times New Roman" w:eastAsia="方正仿宋_GBK" w:cs="方正仿宋_GBK"/>
          <w:color w:val="auto"/>
          <w:spacing w:val="4"/>
          <w:sz w:val="32"/>
          <w:szCs w:val="32"/>
          <w:highlight w:val="none"/>
        </w:rPr>
      </w:pPr>
      <w:r>
        <w:rPr>
          <w:rFonts w:hint="eastAsia" w:ascii="Times New Roman" w:hAnsi="Times New Roman" w:eastAsia="方正仿宋_GBK" w:cs="方正仿宋_GBK"/>
          <w:color w:val="auto"/>
          <w:spacing w:val="4"/>
          <w:sz w:val="32"/>
          <w:szCs w:val="32"/>
          <w:highlight w:val="none"/>
          <w:lang w:val="en-US" w:eastAsia="zh-CN"/>
        </w:rPr>
        <w:t>2.</w:t>
      </w:r>
      <w:r>
        <w:rPr>
          <w:rFonts w:hint="eastAsia" w:ascii="Times New Roman" w:hAnsi="Times New Roman" w:eastAsia="方正仿宋_GBK" w:cs="方正仿宋_GBK"/>
          <w:color w:val="auto"/>
          <w:spacing w:val="4"/>
          <w:sz w:val="32"/>
          <w:szCs w:val="32"/>
          <w:highlight w:val="none"/>
          <w:lang w:eastAsia="zh-CN"/>
        </w:rPr>
        <w:t>丰都县物业管理区域</w:t>
      </w:r>
      <w:r>
        <w:rPr>
          <w:rFonts w:hint="default" w:ascii="Times New Roman" w:hAnsi="Times New Roman" w:eastAsia="方正仿宋_GBK" w:cs="方正仿宋_GBK"/>
          <w:color w:val="auto"/>
          <w:spacing w:val="4"/>
          <w:sz w:val="32"/>
          <w:szCs w:val="32"/>
          <w:highlight w:val="none"/>
        </w:rPr>
        <w:t>公共收益会计核算指引</w:t>
      </w:r>
    </w:p>
    <w:p w14:paraId="09887EAF">
      <w:pPr>
        <w:keepNext w:val="0"/>
        <w:keepLines w:val="0"/>
        <w:pageBreakBefore w:val="0"/>
        <w:widowControl/>
        <w:kinsoku w:val="0"/>
        <w:wordWrap/>
        <w:overflowPunct/>
        <w:topLinePunct w:val="0"/>
        <w:autoSpaceDE w:val="0"/>
        <w:autoSpaceDN w:val="0"/>
        <w:bidi w:val="0"/>
        <w:adjustRightInd w:val="0"/>
        <w:snapToGrid w:val="0"/>
        <w:spacing w:line="560" w:lineRule="exact"/>
        <w:ind w:firstLine="629"/>
        <w:jc w:val="both"/>
        <w:textAlignment w:val="baseline"/>
        <w:rPr>
          <w:rFonts w:hint="eastAsia" w:ascii="Times New Roman" w:hAnsi="Times New Roman" w:eastAsia="方正仿宋_GBK" w:cs="方正仿宋_GBK"/>
          <w:color w:val="auto"/>
          <w:spacing w:val="4"/>
          <w:sz w:val="32"/>
          <w:szCs w:val="32"/>
          <w:highlight w:val="none"/>
        </w:rPr>
      </w:pPr>
    </w:p>
    <w:p w14:paraId="7BC27139">
      <w:pPr>
        <w:keepNext w:val="0"/>
        <w:keepLines w:val="0"/>
        <w:pageBreakBefore w:val="0"/>
        <w:widowControl/>
        <w:kinsoku w:val="0"/>
        <w:wordWrap/>
        <w:overflowPunct/>
        <w:topLinePunct w:val="0"/>
        <w:autoSpaceDE w:val="0"/>
        <w:autoSpaceDN w:val="0"/>
        <w:bidi w:val="0"/>
        <w:adjustRightInd w:val="0"/>
        <w:snapToGrid w:val="0"/>
        <w:spacing w:line="560" w:lineRule="exact"/>
        <w:ind w:firstLine="629"/>
        <w:jc w:val="both"/>
        <w:textAlignment w:val="baseline"/>
        <w:rPr>
          <w:rFonts w:hint="eastAsia" w:ascii="Times New Roman" w:hAnsi="Times New Roman" w:eastAsia="方正仿宋_GBK" w:cs="方正仿宋_GBK"/>
          <w:color w:val="auto"/>
          <w:spacing w:val="4"/>
          <w:sz w:val="32"/>
          <w:szCs w:val="32"/>
          <w:highlight w:val="none"/>
        </w:rPr>
      </w:pPr>
    </w:p>
    <w:p w14:paraId="42BED6AB">
      <w:pPr>
        <w:keepNext w:val="0"/>
        <w:keepLines w:val="0"/>
        <w:pageBreakBefore w:val="0"/>
        <w:widowControl/>
        <w:kinsoku w:val="0"/>
        <w:wordWrap/>
        <w:overflowPunct/>
        <w:topLinePunct w:val="0"/>
        <w:autoSpaceDE w:val="0"/>
        <w:autoSpaceDN w:val="0"/>
        <w:bidi w:val="0"/>
        <w:adjustRightInd w:val="0"/>
        <w:snapToGrid w:val="0"/>
        <w:spacing w:line="560" w:lineRule="exact"/>
        <w:ind w:firstLine="3598" w:firstLineChars="1097"/>
        <w:jc w:val="both"/>
        <w:textAlignment w:val="baseline"/>
        <w:rPr>
          <w:rFonts w:hint="eastAsia" w:ascii="Times New Roman" w:hAnsi="Times New Roman" w:eastAsia="方正仿宋_GBK" w:cs="方正仿宋_GBK"/>
          <w:color w:val="auto"/>
          <w:spacing w:val="4"/>
          <w:sz w:val="32"/>
          <w:szCs w:val="32"/>
          <w:highlight w:val="none"/>
          <w:lang w:eastAsia="zh-CN"/>
        </w:rPr>
      </w:pPr>
      <w:r>
        <w:rPr>
          <w:rFonts w:hint="eastAsia" w:ascii="Times New Roman" w:hAnsi="Times New Roman" w:eastAsia="方正仿宋_GBK" w:cs="方正仿宋_GBK"/>
          <w:color w:val="auto"/>
          <w:spacing w:val="4"/>
          <w:sz w:val="32"/>
          <w:szCs w:val="32"/>
          <w:highlight w:val="none"/>
          <w:lang w:eastAsia="zh-CN"/>
        </w:rPr>
        <w:t>丰都县住房和城乡建设委员会</w:t>
      </w:r>
    </w:p>
    <w:p w14:paraId="7998D57E">
      <w:pPr>
        <w:keepNext w:val="0"/>
        <w:keepLines w:val="0"/>
        <w:pageBreakBefore w:val="0"/>
        <w:widowControl/>
        <w:kinsoku w:val="0"/>
        <w:wordWrap/>
        <w:overflowPunct/>
        <w:topLinePunct w:val="0"/>
        <w:autoSpaceDE w:val="0"/>
        <w:autoSpaceDN w:val="0"/>
        <w:bidi w:val="0"/>
        <w:adjustRightInd w:val="0"/>
        <w:snapToGrid w:val="0"/>
        <w:spacing w:line="560" w:lineRule="exact"/>
        <w:ind w:firstLine="4910" w:firstLineChars="1497"/>
        <w:jc w:val="both"/>
        <w:textAlignment w:val="baseline"/>
        <w:rPr>
          <w:rFonts w:hint="default" w:ascii="Times New Roman" w:hAnsi="Times New Roman" w:eastAsia="方正仿宋_GBK" w:cs="方正仿宋_GBK"/>
          <w:color w:val="auto"/>
          <w:spacing w:val="4"/>
          <w:sz w:val="32"/>
          <w:szCs w:val="32"/>
          <w:highlight w:val="none"/>
          <w:lang w:val="en-US" w:eastAsia="zh-CN"/>
        </w:rPr>
      </w:pPr>
      <w:r>
        <w:rPr>
          <w:rFonts w:hint="eastAsia" w:ascii="Times New Roman" w:hAnsi="Times New Roman" w:eastAsia="方正仿宋_GBK" w:cs="方正仿宋_GBK"/>
          <w:color w:val="auto"/>
          <w:spacing w:val="4"/>
          <w:sz w:val="32"/>
          <w:szCs w:val="32"/>
          <w:highlight w:val="none"/>
          <w:lang w:val="en-US" w:eastAsia="zh-CN"/>
        </w:rPr>
        <w:t>2025年7月21日</w:t>
      </w:r>
    </w:p>
    <w:p w14:paraId="07436B46">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0"/>
        <w:jc w:val="both"/>
        <w:textAlignment w:val="auto"/>
        <w:rPr>
          <w:rFonts w:hint="eastAsia" w:ascii="Times New Roman" w:hAnsi="Times New Roman" w:eastAsia="黑体" w:cs="黑体"/>
          <w:i w:val="0"/>
          <w:iCs w:val="0"/>
          <w:caps w:val="0"/>
          <w:color w:val="333333"/>
          <w:spacing w:val="0"/>
          <w:sz w:val="32"/>
          <w:szCs w:val="32"/>
        </w:rPr>
      </w:pPr>
    </w:p>
    <w:p w14:paraId="78DF009E">
      <w:pPr>
        <w:bidi w:val="0"/>
        <w:rPr>
          <w:rFonts w:hint="eastAsia"/>
        </w:rPr>
      </w:pPr>
    </w:p>
    <w:p w14:paraId="7DD44F22">
      <w:pPr>
        <w:bidi w:val="0"/>
        <w:rPr>
          <w:rFonts w:hint="eastAsia"/>
        </w:rPr>
      </w:pPr>
    </w:p>
    <w:p w14:paraId="2BC5E15E">
      <w:pPr>
        <w:bidi w:val="0"/>
        <w:rPr>
          <w:rFonts w:hint="eastAsia"/>
        </w:rPr>
      </w:pPr>
    </w:p>
    <w:p w14:paraId="20066E92">
      <w:pPr>
        <w:bidi w:val="0"/>
        <w:rPr>
          <w:rFonts w:hint="eastAsia"/>
        </w:rPr>
      </w:pPr>
    </w:p>
    <w:p w14:paraId="6CCDAE45">
      <w:pPr>
        <w:bidi w:val="0"/>
        <w:rPr>
          <w:rFonts w:hint="eastAsia"/>
        </w:rPr>
      </w:pPr>
    </w:p>
    <w:p w14:paraId="648B0B89">
      <w:pPr>
        <w:bidi w:val="0"/>
        <w:rPr>
          <w:rFonts w:hint="eastAsia"/>
        </w:rPr>
      </w:pPr>
    </w:p>
    <w:p w14:paraId="3B811546">
      <w:pPr>
        <w:bidi w:val="0"/>
        <w:rPr>
          <w:rFonts w:hint="eastAsia"/>
        </w:rPr>
      </w:pPr>
    </w:p>
    <w:p w14:paraId="4DFC9AA7">
      <w:pPr>
        <w:bidi w:val="0"/>
        <w:rPr>
          <w:rFonts w:hint="eastAsia"/>
        </w:rPr>
      </w:pPr>
    </w:p>
    <w:p w14:paraId="42F30815">
      <w:pPr>
        <w:bidi w:val="0"/>
        <w:rPr>
          <w:rFonts w:hint="eastAsia"/>
        </w:rPr>
      </w:pPr>
    </w:p>
    <w:p w14:paraId="4F5CD120">
      <w:pPr>
        <w:bidi w:val="0"/>
        <w:rPr>
          <w:rFonts w:hint="eastAsia"/>
        </w:rPr>
      </w:pPr>
    </w:p>
    <w:p w14:paraId="008FFF6B">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方正黑体_GBK" w:hAnsi="方正黑体_GBK" w:eastAsia="方正黑体_GBK" w:cs="方正黑体_GBK"/>
          <w:sz w:val="28"/>
          <w:szCs w:val="28"/>
          <w:lang w:val="en-US" w:eastAsia="zh-CN"/>
        </w:rPr>
      </w:pPr>
      <w:r>
        <w:rPr>
          <w:rFonts w:hint="eastAsia" w:ascii="方正黑体_GBK" w:hAnsi="方正黑体_GBK" w:eastAsia="方正黑体_GBK" w:cs="方正黑体_GBK"/>
          <w:sz w:val="28"/>
          <w:szCs w:val="28"/>
          <w:lang w:val="en-US" w:eastAsia="zh-CN"/>
        </w:rPr>
        <w:t>附件1</w:t>
      </w:r>
    </w:p>
    <w:tbl>
      <w:tblPr>
        <w:tblStyle w:val="11"/>
        <w:tblpPr w:leftFromText="180" w:rightFromText="180" w:vertAnchor="page" w:horzAnchor="page" w:tblpX="719" w:tblpY="2645"/>
        <w:tblOverlap w:val="never"/>
        <w:tblW w:w="1045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84"/>
        <w:gridCol w:w="3349"/>
        <w:gridCol w:w="1036"/>
        <w:gridCol w:w="946"/>
        <w:gridCol w:w="3439"/>
      </w:tblGrid>
      <w:tr w14:paraId="403AF3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0454" w:type="dxa"/>
            <w:gridSpan w:val="5"/>
            <w:tcBorders>
              <w:top w:val="nil"/>
              <w:left w:val="nil"/>
              <w:bottom w:val="single" w:color="auto" w:sz="4" w:space="0"/>
              <w:right w:val="nil"/>
            </w:tcBorders>
            <w:noWrap w:val="0"/>
            <w:vAlign w:val="center"/>
          </w:tcPr>
          <w:p w14:paraId="4B786C26">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Times New Roman" w:hAnsi="Times New Roman" w:eastAsia="宋体"/>
                <w:sz w:val="28"/>
                <w:szCs w:val="28"/>
                <w:vertAlign w:val="baseline"/>
                <w:lang w:eastAsia="zh-CN"/>
              </w:rPr>
            </w:pPr>
            <w:r>
              <w:rPr>
                <w:rFonts w:hint="eastAsia" w:ascii="Times New Roman" w:hAnsi="Times New Roman" w:eastAsia="方正小标宋_GBK" w:cs="方正小标宋_GBK"/>
                <w:sz w:val="36"/>
                <w:szCs w:val="36"/>
                <w:lang w:val="en-US" w:eastAsia="zh-CN"/>
              </w:rPr>
              <w:t>丰都县公共收益交存物业专项维修资金申请表</w:t>
            </w:r>
          </w:p>
        </w:tc>
      </w:tr>
      <w:tr w14:paraId="629081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4" w:hRule="atLeast"/>
        </w:trPr>
        <w:tc>
          <w:tcPr>
            <w:tcW w:w="1684" w:type="dxa"/>
            <w:tcBorders>
              <w:top w:val="single" w:color="auto" w:sz="4" w:space="0"/>
            </w:tcBorders>
            <w:noWrap w:val="0"/>
            <w:vAlign w:val="center"/>
          </w:tcPr>
          <w:p w14:paraId="578938BB">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Times New Roman" w:hAnsi="Times New Roman" w:eastAsia="宋体" w:cs="Arial"/>
                <w:snapToGrid w:val="0"/>
                <w:color w:val="000000"/>
                <w:kern w:val="0"/>
                <w:sz w:val="28"/>
                <w:szCs w:val="28"/>
                <w:vertAlign w:val="baseline"/>
                <w:lang w:val="en-US" w:eastAsia="zh-CN" w:bidi="ar-SA"/>
              </w:rPr>
            </w:pPr>
            <w:r>
              <w:rPr>
                <w:rFonts w:hint="eastAsia" w:ascii="Times New Roman" w:hAnsi="Times New Roman"/>
                <w:sz w:val="28"/>
                <w:szCs w:val="28"/>
                <w:vertAlign w:val="baseline"/>
                <w:lang w:val="en-US" w:eastAsia="zh-CN"/>
              </w:rPr>
              <w:t>申请单位</w:t>
            </w:r>
          </w:p>
        </w:tc>
        <w:tc>
          <w:tcPr>
            <w:tcW w:w="8770" w:type="dxa"/>
            <w:gridSpan w:val="4"/>
            <w:tcBorders>
              <w:top w:val="single" w:color="auto" w:sz="4" w:space="0"/>
            </w:tcBorders>
            <w:noWrap w:val="0"/>
            <w:vAlign w:val="center"/>
          </w:tcPr>
          <w:p w14:paraId="7A160B4D">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Times New Roman" w:hAnsi="Times New Roman" w:eastAsia="宋体" w:cs="Arial"/>
                <w:snapToGrid w:val="0"/>
                <w:color w:val="000000"/>
                <w:kern w:val="0"/>
                <w:sz w:val="28"/>
                <w:szCs w:val="28"/>
                <w:vertAlign w:val="baseline"/>
                <w:lang w:val="en-US" w:eastAsia="zh-CN" w:bidi="ar-SA"/>
              </w:rPr>
            </w:pPr>
            <w:r>
              <w:rPr>
                <w:rFonts w:hint="eastAsia" w:ascii="Times New Roman" w:hAnsi="Times New Roman"/>
                <w:sz w:val="28"/>
                <w:szCs w:val="28"/>
                <w:vertAlign w:val="baseline"/>
                <w:lang w:val="en-US" w:eastAsia="zh-CN"/>
              </w:rPr>
              <w:t xml:space="preserve">                                          </w:t>
            </w:r>
            <w:r>
              <w:rPr>
                <w:rFonts w:hint="eastAsia" w:ascii="Times New Roman" w:hAnsi="Times New Roman"/>
                <w:sz w:val="28"/>
                <w:szCs w:val="28"/>
                <w:vertAlign w:val="baseline"/>
                <w:lang w:eastAsia="zh-CN"/>
              </w:rPr>
              <w:t>（盖章）</w:t>
            </w:r>
          </w:p>
        </w:tc>
      </w:tr>
      <w:tr w14:paraId="040A98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trPr>
        <w:tc>
          <w:tcPr>
            <w:tcW w:w="1684" w:type="dxa"/>
            <w:noWrap w:val="0"/>
            <w:vAlign w:val="center"/>
          </w:tcPr>
          <w:p w14:paraId="3908B8F1">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宋体"/>
                <w:sz w:val="28"/>
                <w:szCs w:val="28"/>
                <w:vertAlign w:val="baseline"/>
                <w:lang w:val="en-US" w:eastAsia="zh-CN"/>
              </w:rPr>
            </w:pPr>
            <w:r>
              <w:rPr>
                <w:rFonts w:hint="eastAsia" w:ascii="Times New Roman" w:hAnsi="Times New Roman"/>
                <w:sz w:val="28"/>
                <w:szCs w:val="28"/>
                <w:vertAlign w:val="baseline"/>
                <w:lang w:val="en-US" w:eastAsia="zh-CN"/>
              </w:rPr>
              <w:t>法定代表人</w:t>
            </w:r>
          </w:p>
        </w:tc>
        <w:tc>
          <w:tcPr>
            <w:tcW w:w="3349" w:type="dxa"/>
            <w:noWrap w:val="0"/>
            <w:vAlign w:val="center"/>
          </w:tcPr>
          <w:p w14:paraId="729EF0B4">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Times New Roman" w:hAnsi="Times New Roman"/>
                <w:sz w:val="28"/>
                <w:szCs w:val="28"/>
                <w:vertAlign w:val="baseline"/>
              </w:rPr>
            </w:pPr>
          </w:p>
        </w:tc>
        <w:tc>
          <w:tcPr>
            <w:tcW w:w="1982" w:type="dxa"/>
            <w:gridSpan w:val="2"/>
            <w:noWrap w:val="0"/>
            <w:vAlign w:val="center"/>
          </w:tcPr>
          <w:p w14:paraId="4AD9D3E5">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宋体"/>
                <w:sz w:val="28"/>
                <w:szCs w:val="28"/>
                <w:vertAlign w:val="baseline"/>
                <w:lang w:val="en-US" w:eastAsia="zh-CN"/>
              </w:rPr>
            </w:pPr>
            <w:r>
              <w:rPr>
                <w:rFonts w:hint="eastAsia" w:ascii="Times New Roman" w:hAnsi="Times New Roman"/>
                <w:sz w:val="28"/>
                <w:szCs w:val="28"/>
                <w:vertAlign w:val="baseline"/>
                <w:lang w:val="en-US" w:eastAsia="zh-CN"/>
              </w:rPr>
              <w:t>电话</w:t>
            </w:r>
          </w:p>
        </w:tc>
        <w:tc>
          <w:tcPr>
            <w:tcW w:w="3439" w:type="dxa"/>
            <w:noWrap w:val="0"/>
            <w:vAlign w:val="center"/>
          </w:tcPr>
          <w:p w14:paraId="4CC8F112">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ascii="Times New Roman" w:hAnsi="Times New Roman"/>
                <w:sz w:val="28"/>
                <w:szCs w:val="28"/>
                <w:vertAlign w:val="baseline"/>
              </w:rPr>
            </w:pPr>
          </w:p>
        </w:tc>
      </w:tr>
      <w:tr w14:paraId="3CCE3F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3" w:hRule="atLeast"/>
        </w:trPr>
        <w:tc>
          <w:tcPr>
            <w:tcW w:w="1684" w:type="dxa"/>
            <w:noWrap w:val="0"/>
            <w:vAlign w:val="center"/>
          </w:tcPr>
          <w:p w14:paraId="3E1E51B2">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Times New Roman" w:hAnsi="Times New Roman"/>
                <w:sz w:val="28"/>
                <w:szCs w:val="28"/>
                <w:vertAlign w:val="baseline"/>
                <w:lang w:val="en-US" w:eastAsia="zh-CN"/>
              </w:rPr>
            </w:pPr>
            <w:r>
              <w:rPr>
                <w:rFonts w:hint="eastAsia" w:ascii="Times New Roman" w:hAnsi="Times New Roman"/>
                <w:sz w:val="28"/>
                <w:szCs w:val="28"/>
                <w:vertAlign w:val="baseline"/>
                <w:lang w:val="en-US" w:eastAsia="zh-CN"/>
              </w:rPr>
              <w:t>经办人</w:t>
            </w:r>
          </w:p>
        </w:tc>
        <w:tc>
          <w:tcPr>
            <w:tcW w:w="3349" w:type="dxa"/>
            <w:noWrap w:val="0"/>
            <w:vAlign w:val="center"/>
          </w:tcPr>
          <w:p w14:paraId="259B1E11">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Times New Roman" w:hAnsi="Times New Roman"/>
                <w:sz w:val="28"/>
                <w:szCs w:val="28"/>
                <w:vertAlign w:val="baseline"/>
              </w:rPr>
            </w:pPr>
          </w:p>
        </w:tc>
        <w:tc>
          <w:tcPr>
            <w:tcW w:w="1982" w:type="dxa"/>
            <w:gridSpan w:val="2"/>
            <w:noWrap w:val="0"/>
            <w:vAlign w:val="center"/>
          </w:tcPr>
          <w:p w14:paraId="5FEA4643">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Times New Roman" w:hAnsi="Times New Roman"/>
                <w:sz w:val="28"/>
                <w:szCs w:val="28"/>
                <w:vertAlign w:val="baseline"/>
                <w:lang w:val="en-US" w:eastAsia="zh-CN"/>
              </w:rPr>
            </w:pPr>
            <w:r>
              <w:rPr>
                <w:rFonts w:hint="eastAsia" w:ascii="Times New Roman" w:hAnsi="Times New Roman"/>
                <w:sz w:val="28"/>
                <w:szCs w:val="28"/>
                <w:vertAlign w:val="baseline"/>
                <w:lang w:val="en-US" w:eastAsia="zh-CN"/>
              </w:rPr>
              <w:t>电话</w:t>
            </w:r>
          </w:p>
        </w:tc>
        <w:tc>
          <w:tcPr>
            <w:tcW w:w="3439" w:type="dxa"/>
            <w:noWrap w:val="0"/>
            <w:vAlign w:val="center"/>
          </w:tcPr>
          <w:p w14:paraId="384F583F">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ascii="Times New Roman" w:hAnsi="Times New Roman"/>
                <w:sz w:val="28"/>
                <w:szCs w:val="28"/>
                <w:vertAlign w:val="baseline"/>
              </w:rPr>
            </w:pPr>
          </w:p>
        </w:tc>
      </w:tr>
      <w:tr w14:paraId="00E5A2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3" w:hRule="atLeast"/>
        </w:trPr>
        <w:tc>
          <w:tcPr>
            <w:tcW w:w="1684" w:type="dxa"/>
            <w:noWrap w:val="0"/>
            <w:vAlign w:val="center"/>
          </w:tcPr>
          <w:p w14:paraId="022418A3">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Times New Roman" w:hAnsi="Times New Roman"/>
                <w:sz w:val="28"/>
                <w:szCs w:val="28"/>
                <w:vertAlign w:val="baseline"/>
                <w:lang w:val="en-US" w:eastAsia="zh-CN"/>
              </w:rPr>
            </w:pPr>
            <w:r>
              <w:rPr>
                <w:rFonts w:hint="eastAsia" w:ascii="Times New Roman" w:hAnsi="Times New Roman"/>
                <w:sz w:val="28"/>
                <w:szCs w:val="28"/>
                <w:vertAlign w:val="baseline"/>
                <w:lang w:val="en-US" w:eastAsia="zh-CN"/>
              </w:rPr>
              <w:t>项目名称</w:t>
            </w:r>
          </w:p>
        </w:tc>
        <w:tc>
          <w:tcPr>
            <w:tcW w:w="3349" w:type="dxa"/>
            <w:noWrap w:val="0"/>
            <w:vAlign w:val="center"/>
          </w:tcPr>
          <w:p w14:paraId="5DF28647">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Times New Roman" w:hAnsi="Times New Roman"/>
                <w:sz w:val="28"/>
                <w:szCs w:val="28"/>
                <w:vertAlign w:val="baseline"/>
              </w:rPr>
            </w:pPr>
          </w:p>
        </w:tc>
        <w:tc>
          <w:tcPr>
            <w:tcW w:w="1982" w:type="dxa"/>
            <w:gridSpan w:val="2"/>
            <w:noWrap w:val="0"/>
            <w:vAlign w:val="center"/>
          </w:tcPr>
          <w:p w14:paraId="0EE4695F">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Times New Roman" w:hAnsi="Times New Roman"/>
                <w:sz w:val="28"/>
                <w:szCs w:val="28"/>
                <w:vertAlign w:val="baseline"/>
                <w:lang w:val="en-US" w:eastAsia="zh-CN"/>
              </w:rPr>
            </w:pPr>
            <w:r>
              <w:rPr>
                <w:rFonts w:hint="eastAsia" w:ascii="Times New Roman" w:hAnsi="Times New Roman"/>
                <w:sz w:val="28"/>
                <w:szCs w:val="28"/>
                <w:vertAlign w:val="baseline"/>
                <w:lang w:val="en-US" w:eastAsia="zh-CN"/>
              </w:rPr>
              <w:t>业主户数</w:t>
            </w:r>
          </w:p>
        </w:tc>
        <w:tc>
          <w:tcPr>
            <w:tcW w:w="3439" w:type="dxa"/>
            <w:noWrap w:val="0"/>
            <w:vAlign w:val="center"/>
          </w:tcPr>
          <w:p w14:paraId="16CDC4F6">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ascii="Times New Roman" w:hAnsi="Times New Roman"/>
                <w:sz w:val="28"/>
                <w:szCs w:val="28"/>
                <w:vertAlign w:val="baseline"/>
              </w:rPr>
            </w:pPr>
          </w:p>
        </w:tc>
      </w:tr>
      <w:tr w14:paraId="32B6A9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3" w:hRule="atLeast"/>
        </w:trPr>
        <w:tc>
          <w:tcPr>
            <w:tcW w:w="5033" w:type="dxa"/>
            <w:gridSpan w:val="2"/>
            <w:noWrap w:val="0"/>
            <w:vAlign w:val="center"/>
          </w:tcPr>
          <w:p w14:paraId="447F6A95">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Times New Roman" w:hAnsi="Times New Roman" w:eastAsia="宋体"/>
                <w:sz w:val="28"/>
                <w:szCs w:val="28"/>
                <w:vertAlign w:val="baseline"/>
                <w:lang w:eastAsia="zh-CN"/>
              </w:rPr>
            </w:pPr>
            <w:r>
              <w:rPr>
                <w:rFonts w:hint="eastAsia" w:ascii="Times New Roman" w:hAnsi="Times New Roman" w:eastAsia="宋体"/>
                <w:sz w:val="28"/>
                <w:szCs w:val="28"/>
                <w:vertAlign w:val="baseline"/>
                <w:lang w:eastAsia="zh-CN"/>
              </w:rPr>
              <w:t>转出账户信息</w:t>
            </w:r>
          </w:p>
        </w:tc>
        <w:tc>
          <w:tcPr>
            <w:tcW w:w="5421" w:type="dxa"/>
            <w:gridSpan w:val="3"/>
            <w:noWrap w:val="0"/>
            <w:vAlign w:val="center"/>
          </w:tcPr>
          <w:p w14:paraId="3392CD65">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Times New Roman" w:hAnsi="Times New Roman" w:eastAsia="宋体"/>
                <w:sz w:val="28"/>
                <w:szCs w:val="28"/>
                <w:vertAlign w:val="baseline"/>
                <w:lang w:eastAsia="zh-CN"/>
              </w:rPr>
            </w:pPr>
            <w:r>
              <w:rPr>
                <w:rFonts w:hint="eastAsia" w:ascii="Times New Roman" w:hAnsi="Times New Roman" w:eastAsia="宋体"/>
                <w:sz w:val="28"/>
                <w:szCs w:val="28"/>
                <w:vertAlign w:val="baseline"/>
                <w:lang w:eastAsia="zh-CN"/>
              </w:rPr>
              <w:t>交入账户信息</w:t>
            </w:r>
          </w:p>
        </w:tc>
      </w:tr>
      <w:tr w14:paraId="22DCD5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3" w:hRule="atLeast"/>
        </w:trPr>
        <w:tc>
          <w:tcPr>
            <w:tcW w:w="1684" w:type="dxa"/>
            <w:noWrap w:val="0"/>
            <w:vAlign w:val="center"/>
          </w:tcPr>
          <w:p w14:paraId="7D05BDDF">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Times New Roman" w:hAnsi="Times New Roman"/>
                <w:sz w:val="28"/>
                <w:szCs w:val="28"/>
                <w:vertAlign w:val="baseline"/>
                <w:lang w:val="en-US" w:eastAsia="zh-CN"/>
              </w:rPr>
            </w:pPr>
            <w:r>
              <w:rPr>
                <w:rFonts w:hint="eastAsia" w:ascii="Times New Roman" w:hAnsi="Times New Roman"/>
                <w:sz w:val="28"/>
                <w:szCs w:val="28"/>
                <w:vertAlign w:val="baseline"/>
                <w:lang w:val="en-US" w:eastAsia="zh-CN"/>
              </w:rPr>
              <w:t>开户银行</w:t>
            </w:r>
          </w:p>
        </w:tc>
        <w:tc>
          <w:tcPr>
            <w:tcW w:w="3349" w:type="dxa"/>
            <w:noWrap w:val="0"/>
            <w:vAlign w:val="center"/>
          </w:tcPr>
          <w:p w14:paraId="7125ECDF">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Times New Roman" w:hAnsi="Times New Roman"/>
                <w:sz w:val="28"/>
                <w:szCs w:val="28"/>
                <w:vertAlign w:val="baseline"/>
              </w:rPr>
            </w:pPr>
          </w:p>
        </w:tc>
        <w:tc>
          <w:tcPr>
            <w:tcW w:w="1982" w:type="dxa"/>
            <w:gridSpan w:val="2"/>
            <w:noWrap w:val="0"/>
            <w:vAlign w:val="center"/>
          </w:tcPr>
          <w:p w14:paraId="3A39C4FE">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Times New Roman" w:hAnsi="Times New Roman"/>
                <w:sz w:val="28"/>
                <w:szCs w:val="28"/>
                <w:vertAlign w:val="baseline"/>
                <w:lang w:val="en-US" w:eastAsia="zh-CN"/>
              </w:rPr>
            </w:pPr>
            <w:r>
              <w:rPr>
                <w:rFonts w:hint="eastAsia" w:ascii="Times New Roman" w:hAnsi="Times New Roman"/>
                <w:sz w:val="28"/>
                <w:szCs w:val="28"/>
                <w:vertAlign w:val="baseline"/>
                <w:lang w:val="en-US" w:eastAsia="zh-CN"/>
              </w:rPr>
              <w:t>开户银行</w:t>
            </w:r>
          </w:p>
        </w:tc>
        <w:tc>
          <w:tcPr>
            <w:tcW w:w="3439" w:type="dxa"/>
            <w:noWrap w:val="0"/>
            <w:vAlign w:val="center"/>
          </w:tcPr>
          <w:p w14:paraId="1603E3BB">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ascii="Times New Roman" w:hAnsi="Times New Roman"/>
                <w:sz w:val="28"/>
                <w:szCs w:val="28"/>
                <w:vertAlign w:val="baseline"/>
              </w:rPr>
            </w:pPr>
          </w:p>
        </w:tc>
      </w:tr>
      <w:tr w14:paraId="283DA0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3" w:hRule="atLeast"/>
        </w:trPr>
        <w:tc>
          <w:tcPr>
            <w:tcW w:w="1684" w:type="dxa"/>
            <w:noWrap w:val="0"/>
            <w:vAlign w:val="center"/>
          </w:tcPr>
          <w:p w14:paraId="3E00C26A">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Times New Roman" w:hAnsi="Times New Roman"/>
                <w:sz w:val="28"/>
                <w:szCs w:val="28"/>
                <w:vertAlign w:val="baseline"/>
                <w:lang w:val="en-US" w:eastAsia="zh-CN"/>
              </w:rPr>
            </w:pPr>
            <w:r>
              <w:rPr>
                <w:rFonts w:hint="eastAsia" w:ascii="Times New Roman" w:hAnsi="Times New Roman"/>
                <w:sz w:val="28"/>
                <w:szCs w:val="28"/>
                <w:vertAlign w:val="baseline"/>
                <w:lang w:val="en-US" w:eastAsia="zh-CN"/>
              </w:rPr>
              <w:t>账户名称</w:t>
            </w:r>
          </w:p>
        </w:tc>
        <w:tc>
          <w:tcPr>
            <w:tcW w:w="3349" w:type="dxa"/>
            <w:noWrap w:val="0"/>
            <w:vAlign w:val="center"/>
          </w:tcPr>
          <w:p w14:paraId="6865E397">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Times New Roman" w:hAnsi="Times New Roman"/>
                <w:sz w:val="28"/>
                <w:szCs w:val="28"/>
                <w:vertAlign w:val="baseline"/>
              </w:rPr>
            </w:pPr>
          </w:p>
        </w:tc>
        <w:tc>
          <w:tcPr>
            <w:tcW w:w="1982" w:type="dxa"/>
            <w:gridSpan w:val="2"/>
            <w:noWrap w:val="0"/>
            <w:vAlign w:val="center"/>
          </w:tcPr>
          <w:p w14:paraId="0181D11B">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Times New Roman" w:hAnsi="Times New Roman"/>
                <w:sz w:val="28"/>
                <w:szCs w:val="28"/>
                <w:vertAlign w:val="baseline"/>
                <w:lang w:val="en-US" w:eastAsia="zh-CN"/>
              </w:rPr>
            </w:pPr>
            <w:r>
              <w:rPr>
                <w:rFonts w:hint="eastAsia" w:ascii="Times New Roman" w:hAnsi="Times New Roman"/>
                <w:sz w:val="28"/>
                <w:szCs w:val="28"/>
                <w:vertAlign w:val="baseline"/>
                <w:lang w:val="en-US" w:eastAsia="zh-CN"/>
              </w:rPr>
              <w:t>账户名称</w:t>
            </w:r>
          </w:p>
        </w:tc>
        <w:tc>
          <w:tcPr>
            <w:tcW w:w="3439" w:type="dxa"/>
            <w:noWrap w:val="0"/>
            <w:vAlign w:val="center"/>
          </w:tcPr>
          <w:p w14:paraId="48245357">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ascii="Times New Roman" w:hAnsi="Times New Roman"/>
                <w:sz w:val="28"/>
                <w:szCs w:val="28"/>
                <w:vertAlign w:val="baseline"/>
              </w:rPr>
            </w:pPr>
          </w:p>
        </w:tc>
      </w:tr>
      <w:tr w14:paraId="319829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3" w:hRule="atLeast"/>
        </w:trPr>
        <w:tc>
          <w:tcPr>
            <w:tcW w:w="1684" w:type="dxa"/>
            <w:noWrap w:val="0"/>
            <w:vAlign w:val="center"/>
          </w:tcPr>
          <w:p w14:paraId="3AE46FB0">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Times New Roman" w:hAnsi="Times New Roman"/>
                <w:sz w:val="28"/>
                <w:szCs w:val="28"/>
                <w:vertAlign w:val="baseline"/>
                <w:lang w:val="en-US" w:eastAsia="zh-CN"/>
              </w:rPr>
            </w:pPr>
            <w:r>
              <w:rPr>
                <w:rFonts w:hint="eastAsia" w:ascii="Times New Roman" w:hAnsi="Times New Roman"/>
                <w:sz w:val="28"/>
                <w:szCs w:val="28"/>
                <w:vertAlign w:val="baseline"/>
                <w:lang w:val="en-US" w:eastAsia="zh-CN"/>
              </w:rPr>
              <w:t>银行账号</w:t>
            </w:r>
          </w:p>
        </w:tc>
        <w:tc>
          <w:tcPr>
            <w:tcW w:w="3349" w:type="dxa"/>
            <w:noWrap w:val="0"/>
            <w:vAlign w:val="center"/>
          </w:tcPr>
          <w:p w14:paraId="32230C70">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Times New Roman" w:hAnsi="Times New Roman"/>
                <w:sz w:val="28"/>
                <w:szCs w:val="28"/>
                <w:vertAlign w:val="baseline"/>
              </w:rPr>
            </w:pPr>
          </w:p>
        </w:tc>
        <w:tc>
          <w:tcPr>
            <w:tcW w:w="1982" w:type="dxa"/>
            <w:gridSpan w:val="2"/>
            <w:noWrap w:val="0"/>
            <w:vAlign w:val="center"/>
          </w:tcPr>
          <w:p w14:paraId="7C520CCE">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Times New Roman" w:hAnsi="Times New Roman"/>
                <w:sz w:val="28"/>
                <w:szCs w:val="28"/>
                <w:vertAlign w:val="baseline"/>
                <w:lang w:val="en-US" w:eastAsia="zh-CN"/>
              </w:rPr>
            </w:pPr>
            <w:r>
              <w:rPr>
                <w:rFonts w:hint="eastAsia" w:ascii="Times New Roman" w:hAnsi="Times New Roman"/>
                <w:sz w:val="28"/>
                <w:szCs w:val="28"/>
                <w:vertAlign w:val="baseline"/>
                <w:lang w:val="en-US" w:eastAsia="zh-CN"/>
              </w:rPr>
              <w:t>银行账号</w:t>
            </w:r>
          </w:p>
        </w:tc>
        <w:tc>
          <w:tcPr>
            <w:tcW w:w="3439" w:type="dxa"/>
            <w:noWrap w:val="0"/>
            <w:vAlign w:val="center"/>
          </w:tcPr>
          <w:p w14:paraId="798A4051">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ascii="Times New Roman" w:hAnsi="Times New Roman"/>
                <w:sz w:val="28"/>
                <w:szCs w:val="28"/>
                <w:vertAlign w:val="baseline"/>
              </w:rPr>
            </w:pPr>
          </w:p>
        </w:tc>
      </w:tr>
      <w:tr w14:paraId="25B29B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3" w:hRule="atLeast"/>
        </w:trPr>
        <w:tc>
          <w:tcPr>
            <w:tcW w:w="1684" w:type="dxa"/>
            <w:noWrap w:val="0"/>
            <w:vAlign w:val="center"/>
          </w:tcPr>
          <w:p w14:paraId="2D00287B">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Times New Roman" w:hAnsi="Times New Roman"/>
                <w:sz w:val="28"/>
                <w:szCs w:val="28"/>
                <w:vertAlign w:val="baseline"/>
                <w:lang w:val="en-US" w:eastAsia="zh-CN"/>
              </w:rPr>
            </w:pPr>
            <w:r>
              <w:rPr>
                <w:rFonts w:hint="eastAsia" w:ascii="Times New Roman" w:hAnsi="Times New Roman"/>
                <w:sz w:val="28"/>
                <w:szCs w:val="28"/>
                <w:vertAlign w:val="baseline"/>
                <w:lang w:val="en-US" w:eastAsia="zh-CN"/>
              </w:rPr>
              <w:t>账户余额</w:t>
            </w:r>
          </w:p>
        </w:tc>
        <w:tc>
          <w:tcPr>
            <w:tcW w:w="3349" w:type="dxa"/>
            <w:noWrap w:val="0"/>
            <w:vAlign w:val="center"/>
          </w:tcPr>
          <w:p w14:paraId="17C9FA0F">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Times New Roman" w:hAnsi="Times New Roman"/>
                <w:sz w:val="28"/>
                <w:szCs w:val="28"/>
                <w:vertAlign w:val="baseline"/>
              </w:rPr>
            </w:pPr>
            <w:r>
              <w:rPr>
                <w:rFonts w:hint="eastAsia" w:ascii="Times New Roman" w:hAnsi="Times New Roman"/>
                <w:sz w:val="28"/>
                <w:szCs w:val="28"/>
                <w:vertAlign w:val="baseline"/>
                <w:lang w:val="en-US" w:eastAsia="zh-CN"/>
              </w:rPr>
              <w:t xml:space="preserve">          万元</w:t>
            </w:r>
          </w:p>
        </w:tc>
        <w:tc>
          <w:tcPr>
            <w:tcW w:w="1982" w:type="dxa"/>
            <w:gridSpan w:val="2"/>
            <w:noWrap w:val="0"/>
            <w:vAlign w:val="center"/>
          </w:tcPr>
          <w:p w14:paraId="4AD4C408">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Times New Roman" w:hAnsi="Times New Roman"/>
                <w:sz w:val="28"/>
                <w:szCs w:val="28"/>
                <w:vertAlign w:val="baseline"/>
                <w:lang w:val="en-US" w:eastAsia="zh-CN"/>
              </w:rPr>
            </w:pPr>
            <w:r>
              <w:rPr>
                <w:rFonts w:hint="eastAsia" w:ascii="Times New Roman" w:hAnsi="Times New Roman"/>
                <w:sz w:val="28"/>
                <w:szCs w:val="28"/>
                <w:vertAlign w:val="baseline"/>
                <w:lang w:val="en-US" w:eastAsia="zh-CN"/>
              </w:rPr>
              <w:t>本期交存金额</w:t>
            </w:r>
          </w:p>
        </w:tc>
        <w:tc>
          <w:tcPr>
            <w:tcW w:w="3439" w:type="dxa"/>
            <w:noWrap w:val="0"/>
            <w:vAlign w:val="center"/>
          </w:tcPr>
          <w:p w14:paraId="181AA37F">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Times New Roman" w:hAnsi="Times New Roman"/>
                <w:sz w:val="28"/>
                <w:szCs w:val="28"/>
                <w:vertAlign w:val="baseline"/>
              </w:rPr>
            </w:pPr>
            <w:r>
              <w:rPr>
                <w:rFonts w:hint="eastAsia" w:ascii="Times New Roman" w:hAnsi="Times New Roman"/>
                <w:sz w:val="28"/>
                <w:szCs w:val="28"/>
                <w:vertAlign w:val="baseline"/>
                <w:lang w:val="en-US" w:eastAsia="zh-CN"/>
              </w:rPr>
              <w:t xml:space="preserve">             万元</w:t>
            </w:r>
          </w:p>
        </w:tc>
      </w:tr>
      <w:tr w14:paraId="34B364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3" w:hRule="atLeast"/>
        </w:trPr>
        <w:tc>
          <w:tcPr>
            <w:tcW w:w="10454" w:type="dxa"/>
            <w:gridSpan w:val="5"/>
            <w:noWrap w:val="0"/>
            <w:vAlign w:val="top"/>
          </w:tcPr>
          <w:p w14:paraId="62841E7F">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Times New Roman" w:hAnsi="Times New Roman"/>
                <w:sz w:val="28"/>
                <w:szCs w:val="28"/>
                <w:vertAlign w:val="baseline"/>
                <w:lang w:val="en-US" w:eastAsia="zh-CN"/>
              </w:rPr>
            </w:pPr>
            <w:r>
              <w:rPr>
                <w:rFonts w:hint="eastAsia" w:ascii="Times New Roman" w:hAnsi="Times New Roman"/>
                <w:b/>
                <w:bCs/>
                <w:sz w:val="32"/>
                <w:szCs w:val="32"/>
                <w:vertAlign w:val="baseline"/>
                <w:lang w:eastAsia="zh-CN"/>
              </w:rPr>
              <w:t>审</w:t>
            </w:r>
            <w:r>
              <w:rPr>
                <w:rFonts w:hint="eastAsia" w:ascii="Times New Roman" w:hAnsi="Times New Roman"/>
                <w:b/>
                <w:bCs/>
                <w:sz w:val="32"/>
                <w:szCs w:val="32"/>
                <w:vertAlign w:val="baseline"/>
                <w:lang w:val="en-US" w:eastAsia="zh-CN"/>
              </w:rPr>
              <w:t xml:space="preserve"> </w:t>
            </w:r>
            <w:r>
              <w:rPr>
                <w:rFonts w:hint="eastAsia" w:ascii="Times New Roman" w:hAnsi="Times New Roman"/>
                <w:b/>
                <w:bCs/>
                <w:sz w:val="32"/>
                <w:szCs w:val="32"/>
                <w:vertAlign w:val="baseline"/>
                <w:lang w:eastAsia="zh-CN"/>
              </w:rPr>
              <w:t>查</w:t>
            </w:r>
            <w:r>
              <w:rPr>
                <w:rFonts w:hint="eastAsia" w:ascii="Times New Roman" w:hAnsi="Times New Roman"/>
                <w:b/>
                <w:bCs/>
                <w:sz w:val="32"/>
                <w:szCs w:val="32"/>
                <w:vertAlign w:val="baseline"/>
                <w:lang w:val="en-US" w:eastAsia="zh-CN"/>
              </w:rPr>
              <w:t xml:space="preserve"> </w:t>
            </w:r>
            <w:r>
              <w:rPr>
                <w:rFonts w:hint="eastAsia" w:ascii="Times New Roman" w:hAnsi="Times New Roman"/>
                <w:b/>
                <w:bCs/>
                <w:sz w:val="32"/>
                <w:szCs w:val="32"/>
                <w:vertAlign w:val="baseline"/>
                <w:lang w:eastAsia="zh-CN"/>
              </w:rPr>
              <w:t>意</w:t>
            </w:r>
            <w:r>
              <w:rPr>
                <w:rFonts w:hint="eastAsia" w:ascii="Times New Roman" w:hAnsi="Times New Roman"/>
                <w:b/>
                <w:bCs/>
                <w:sz w:val="32"/>
                <w:szCs w:val="32"/>
                <w:vertAlign w:val="baseline"/>
                <w:lang w:val="en-US" w:eastAsia="zh-CN"/>
              </w:rPr>
              <w:t xml:space="preserve"> </w:t>
            </w:r>
            <w:r>
              <w:rPr>
                <w:rFonts w:hint="eastAsia" w:ascii="Times New Roman" w:hAnsi="Times New Roman"/>
                <w:b/>
                <w:bCs/>
                <w:sz w:val="32"/>
                <w:szCs w:val="32"/>
                <w:vertAlign w:val="baseline"/>
                <w:lang w:eastAsia="zh-CN"/>
              </w:rPr>
              <w:t>见</w:t>
            </w:r>
          </w:p>
        </w:tc>
      </w:tr>
      <w:tr w14:paraId="52D807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3" w:hRule="atLeast"/>
        </w:trPr>
        <w:tc>
          <w:tcPr>
            <w:tcW w:w="1684" w:type="dxa"/>
            <w:noWrap w:val="0"/>
            <w:vAlign w:val="top"/>
          </w:tcPr>
          <w:p w14:paraId="2469E0A4">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Times New Roman" w:hAnsi="Times New Roman" w:eastAsia="方正仿宋_GBK" w:cs="方正仿宋_GBK"/>
                <w:b w:val="0"/>
                <w:bCs w:val="0"/>
                <w:color w:val="000000"/>
                <w:kern w:val="0"/>
                <w:sz w:val="24"/>
                <w:szCs w:val="24"/>
                <w:lang w:val="en-US" w:eastAsia="zh-CN" w:bidi="ar"/>
              </w:rPr>
            </w:pPr>
            <w:r>
              <w:rPr>
                <w:rFonts w:hint="eastAsia" w:ascii="Times New Roman" w:hAnsi="Times New Roman" w:eastAsia="方正仿宋_GBK" w:cs="方正仿宋_GBK"/>
                <w:b w:val="0"/>
                <w:bCs w:val="0"/>
                <w:color w:val="000000"/>
                <w:kern w:val="0"/>
                <w:sz w:val="24"/>
                <w:szCs w:val="24"/>
                <w:lang w:val="en-US" w:eastAsia="zh-CN" w:bidi="ar"/>
              </w:rPr>
              <w:t>街道办事处</w:t>
            </w:r>
          </w:p>
          <w:p w14:paraId="3B3E847F">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Times New Roman" w:hAnsi="Times New Roman" w:eastAsia="Arial" w:cs="Arial"/>
                <w:snapToGrid w:val="0"/>
                <w:color w:val="000000"/>
                <w:kern w:val="0"/>
                <w:sz w:val="28"/>
                <w:szCs w:val="28"/>
                <w:vertAlign w:val="baseline"/>
                <w:lang w:val="en-US" w:eastAsia="zh-CN" w:bidi="ar-SA"/>
              </w:rPr>
            </w:pPr>
            <w:r>
              <w:rPr>
                <w:rFonts w:hint="eastAsia" w:ascii="Times New Roman" w:hAnsi="Times New Roman" w:eastAsia="方正仿宋_GBK" w:cs="方正仿宋_GBK"/>
                <w:b w:val="0"/>
                <w:bCs w:val="0"/>
                <w:color w:val="000000"/>
                <w:kern w:val="0"/>
                <w:sz w:val="24"/>
                <w:szCs w:val="24"/>
                <w:lang w:val="en-US" w:eastAsia="zh-CN" w:bidi="ar"/>
              </w:rPr>
              <w:t>乡（镇）人民政府审核意见</w:t>
            </w:r>
          </w:p>
        </w:tc>
        <w:tc>
          <w:tcPr>
            <w:tcW w:w="4385" w:type="dxa"/>
            <w:gridSpan w:val="2"/>
            <w:noWrap w:val="0"/>
            <w:vAlign w:val="top"/>
          </w:tcPr>
          <w:p w14:paraId="24A495FF">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Times New Roman" w:hAnsi="Times New Roman" w:eastAsia="方正仿宋_GBK" w:cs="方正仿宋_GBK"/>
                <w:b w:val="0"/>
                <w:bCs w:val="0"/>
                <w:color w:val="000000"/>
                <w:kern w:val="0"/>
                <w:sz w:val="24"/>
                <w:szCs w:val="24"/>
                <w:lang w:val="en-US" w:eastAsia="zh-CN" w:bidi="ar"/>
              </w:rPr>
            </w:pPr>
            <w:r>
              <w:rPr>
                <w:rFonts w:hint="eastAsia" w:ascii="Times New Roman" w:hAnsi="Times New Roman" w:eastAsia="方正仿宋_GBK" w:cs="方正仿宋_GBK"/>
                <w:b w:val="0"/>
                <w:bCs w:val="0"/>
                <w:color w:val="000000"/>
                <w:kern w:val="0"/>
                <w:sz w:val="24"/>
                <w:szCs w:val="24"/>
                <w:lang w:val="en-US" w:eastAsia="zh-CN" w:bidi="ar"/>
              </w:rPr>
              <w:t>经办人意见：</w:t>
            </w:r>
          </w:p>
          <w:p w14:paraId="6E145E08">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Times New Roman" w:hAnsi="Times New Roman" w:eastAsia="方正仿宋_GBK" w:cs="方正仿宋_GBK"/>
                <w:b w:val="0"/>
                <w:bCs w:val="0"/>
                <w:color w:val="000000"/>
                <w:kern w:val="0"/>
                <w:sz w:val="24"/>
                <w:szCs w:val="24"/>
                <w:lang w:val="en-US" w:eastAsia="zh-CN" w:bidi="ar"/>
              </w:rPr>
            </w:pPr>
          </w:p>
          <w:p w14:paraId="12294E09">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Times New Roman" w:hAnsi="Times New Roman" w:eastAsia="方正仿宋_GBK" w:cs="方正仿宋_GBK"/>
                <w:b w:val="0"/>
                <w:bCs w:val="0"/>
                <w:color w:val="000000"/>
                <w:kern w:val="0"/>
                <w:sz w:val="24"/>
                <w:szCs w:val="24"/>
                <w:lang w:val="en-US" w:eastAsia="zh-CN" w:bidi="ar"/>
              </w:rPr>
            </w:pPr>
            <w:r>
              <w:rPr>
                <w:rFonts w:hint="eastAsia" w:ascii="Times New Roman" w:hAnsi="Times New Roman" w:eastAsia="方正仿宋_GBK" w:cs="方正仿宋_GBK"/>
                <w:b w:val="0"/>
                <w:bCs w:val="0"/>
                <w:color w:val="000000"/>
                <w:kern w:val="0"/>
                <w:sz w:val="24"/>
                <w:szCs w:val="24"/>
                <w:lang w:val="en-US" w:eastAsia="zh-CN" w:bidi="ar"/>
              </w:rPr>
              <w:t xml:space="preserve">                      年   月   日</w:t>
            </w:r>
          </w:p>
        </w:tc>
        <w:tc>
          <w:tcPr>
            <w:tcW w:w="4385" w:type="dxa"/>
            <w:gridSpan w:val="2"/>
            <w:noWrap w:val="0"/>
            <w:vAlign w:val="top"/>
          </w:tcPr>
          <w:p w14:paraId="1CD1415E">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Times New Roman" w:hAnsi="Times New Roman" w:eastAsia="方正仿宋_GBK" w:cs="方正仿宋_GBK"/>
                <w:b w:val="0"/>
                <w:bCs w:val="0"/>
                <w:color w:val="000000"/>
                <w:kern w:val="0"/>
                <w:sz w:val="24"/>
                <w:szCs w:val="24"/>
                <w:lang w:val="en-US" w:eastAsia="zh-CN" w:bidi="ar"/>
              </w:rPr>
            </w:pPr>
            <w:r>
              <w:rPr>
                <w:rFonts w:hint="eastAsia" w:ascii="Times New Roman" w:hAnsi="Times New Roman" w:eastAsia="方正仿宋_GBK" w:cs="方正仿宋_GBK"/>
                <w:b w:val="0"/>
                <w:bCs w:val="0"/>
                <w:color w:val="000000"/>
                <w:kern w:val="0"/>
                <w:sz w:val="24"/>
                <w:szCs w:val="24"/>
                <w:lang w:val="en-US" w:eastAsia="zh-CN" w:bidi="ar"/>
              </w:rPr>
              <w:t>领导意见：</w:t>
            </w:r>
          </w:p>
          <w:p w14:paraId="20E41092">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Times New Roman" w:hAnsi="Times New Roman" w:eastAsia="方正仿宋_GBK" w:cs="方正仿宋_GBK"/>
                <w:b w:val="0"/>
                <w:bCs w:val="0"/>
                <w:color w:val="000000"/>
                <w:kern w:val="0"/>
                <w:sz w:val="24"/>
                <w:szCs w:val="24"/>
                <w:lang w:val="en-US" w:eastAsia="zh-CN" w:bidi="ar"/>
              </w:rPr>
            </w:pPr>
          </w:p>
          <w:p w14:paraId="3669F40B">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Times New Roman" w:hAnsi="Times New Roman" w:eastAsia="方正仿宋_GBK" w:cs="方正仿宋_GBK"/>
                <w:b w:val="0"/>
                <w:bCs w:val="0"/>
                <w:color w:val="000000"/>
                <w:kern w:val="0"/>
                <w:sz w:val="24"/>
                <w:szCs w:val="24"/>
                <w:lang w:val="en-US" w:eastAsia="zh-CN" w:bidi="ar"/>
              </w:rPr>
            </w:pPr>
            <w:r>
              <w:rPr>
                <w:rFonts w:hint="eastAsia" w:ascii="Times New Roman" w:hAnsi="Times New Roman" w:eastAsia="方正仿宋_GBK" w:cs="方正仿宋_GBK"/>
                <w:b w:val="0"/>
                <w:bCs w:val="0"/>
                <w:color w:val="000000"/>
                <w:kern w:val="0"/>
                <w:sz w:val="24"/>
                <w:szCs w:val="24"/>
                <w:lang w:val="en-US" w:eastAsia="zh-CN" w:bidi="ar"/>
              </w:rPr>
              <w:t xml:space="preserve">                      年   月   日</w:t>
            </w:r>
          </w:p>
        </w:tc>
      </w:tr>
      <w:tr w14:paraId="756D6B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684" w:type="dxa"/>
            <w:vMerge w:val="restart"/>
            <w:noWrap w:val="0"/>
            <w:vAlign w:val="top"/>
          </w:tcPr>
          <w:p w14:paraId="18EAB774">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Times New Roman" w:hAnsi="Times New Roman" w:eastAsia="方正仿宋_GBK" w:cs="方正仿宋_GBK"/>
                <w:b w:val="0"/>
                <w:bCs w:val="0"/>
                <w:color w:val="000000"/>
                <w:kern w:val="0"/>
                <w:sz w:val="24"/>
                <w:szCs w:val="24"/>
                <w:lang w:val="en-US" w:eastAsia="zh-CN" w:bidi="ar"/>
              </w:rPr>
            </w:pPr>
          </w:p>
          <w:p w14:paraId="1C3E47C9">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Times New Roman" w:hAnsi="Times New Roman" w:eastAsia="方正仿宋_GBK" w:cs="方正仿宋_GBK"/>
                <w:b w:val="0"/>
                <w:bCs w:val="0"/>
                <w:color w:val="000000"/>
                <w:kern w:val="0"/>
                <w:sz w:val="24"/>
                <w:szCs w:val="24"/>
                <w:lang w:val="en-US" w:eastAsia="zh-CN" w:bidi="ar"/>
              </w:rPr>
            </w:pPr>
          </w:p>
          <w:p w14:paraId="566A1B37">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Times New Roman" w:hAnsi="Times New Roman" w:eastAsia="方正仿宋_GBK" w:cs="方正仿宋_GBK"/>
                <w:b w:val="0"/>
                <w:bCs w:val="0"/>
                <w:color w:val="000000"/>
                <w:kern w:val="0"/>
                <w:sz w:val="24"/>
                <w:szCs w:val="24"/>
                <w:lang w:val="en-US" w:eastAsia="zh-CN" w:bidi="ar"/>
              </w:rPr>
            </w:pPr>
          </w:p>
          <w:p w14:paraId="2A19D69F">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Times New Roman" w:hAnsi="Times New Roman" w:eastAsia="方正仿宋_GBK" w:cs="方正仿宋_GBK"/>
                <w:b w:val="0"/>
                <w:bCs w:val="0"/>
                <w:color w:val="000000"/>
                <w:kern w:val="0"/>
                <w:sz w:val="24"/>
                <w:szCs w:val="24"/>
                <w:lang w:val="en-US" w:eastAsia="zh-CN" w:bidi="ar"/>
              </w:rPr>
            </w:pPr>
            <w:r>
              <w:rPr>
                <w:rFonts w:hint="eastAsia" w:ascii="Times New Roman" w:hAnsi="Times New Roman" w:eastAsia="方正仿宋_GBK" w:cs="方正仿宋_GBK"/>
                <w:b w:val="0"/>
                <w:bCs w:val="0"/>
                <w:color w:val="000000"/>
                <w:kern w:val="0"/>
                <w:sz w:val="24"/>
                <w:szCs w:val="24"/>
                <w:lang w:val="en-US" w:eastAsia="zh-CN" w:bidi="ar"/>
              </w:rPr>
              <w:t>县住房保障</w:t>
            </w:r>
          </w:p>
          <w:p w14:paraId="1A23E7B3">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Times New Roman" w:hAnsi="Times New Roman" w:eastAsia="方正仿宋_GBK" w:cs="方正仿宋_GBK"/>
                <w:b w:val="0"/>
                <w:bCs w:val="0"/>
                <w:color w:val="000000"/>
                <w:kern w:val="0"/>
                <w:sz w:val="24"/>
                <w:szCs w:val="24"/>
                <w:lang w:val="en-US" w:eastAsia="zh-CN" w:bidi="ar"/>
              </w:rPr>
            </w:pPr>
            <w:r>
              <w:rPr>
                <w:rFonts w:hint="eastAsia" w:ascii="Times New Roman" w:hAnsi="Times New Roman" w:eastAsia="方正仿宋_GBK" w:cs="方正仿宋_GBK"/>
                <w:b w:val="0"/>
                <w:bCs w:val="0"/>
                <w:color w:val="000000"/>
                <w:kern w:val="0"/>
                <w:sz w:val="24"/>
                <w:szCs w:val="24"/>
                <w:lang w:val="en-US" w:eastAsia="zh-CN" w:bidi="ar"/>
              </w:rPr>
              <w:t>事务中心</w:t>
            </w:r>
          </w:p>
          <w:p w14:paraId="587BAB20">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Times New Roman" w:hAnsi="Times New Roman" w:eastAsia="方正仿宋_GBK" w:cs="方正仿宋_GBK"/>
                <w:b w:val="0"/>
                <w:bCs w:val="0"/>
                <w:snapToGrid w:val="0"/>
                <w:color w:val="000000"/>
                <w:kern w:val="0"/>
                <w:sz w:val="32"/>
                <w:szCs w:val="32"/>
                <w:lang w:val="en-US" w:eastAsia="zh-CN" w:bidi="ar"/>
              </w:rPr>
            </w:pPr>
            <w:r>
              <w:rPr>
                <w:rFonts w:hint="eastAsia" w:ascii="Times New Roman" w:hAnsi="Times New Roman" w:eastAsia="方正仿宋_GBK" w:cs="方正仿宋_GBK"/>
                <w:b w:val="0"/>
                <w:bCs w:val="0"/>
                <w:color w:val="000000"/>
                <w:kern w:val="0"/>
                <w:sz w:val="24"/>
                <w:szCs w:val="24"/>
                <w:lang w:val="en-US" w:eastAsia="zh-CN" w:bidi="ar"/>
              </w:rPr>
              <w:t>审批意见</w:t>
            </w:r>
          </w:p>
        </w:tc>
        <w:tc>
          <w:tcPr>
            <w:tcW w:w="4385" w:type="dxa"/>
            <w:gridSpan w:val="2"/>
            <w:noWrap w:val="0"/>
            <w:vAlign w:val="top"/>
          </w:tcPr>
          <w:p w14:paraId="51D20206">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Times New Roman" w:hAnsi="Times New Roman" w:eastAsia="方正仿宋_GBK" w:cs="方正仿宋_GBK"/>
                <w:b w:val="0"/>
                <w:bCs w:val="0"/>
                <w:color w:val="000000"/>
                <w:kern w:val="0"/>
                <w:sz w:val="24"/>
                <w:szCs w:val="24"/>
                <w:lang w:val="en-US" w:eastAsia="zh-CN" w:bidi="ar"/>
              </w:rPr>
            </w:pPr>
            <w:r>
              <w:rPr>
                <w:rFonts w:hint="eastAsia" w:ascii="Times New Roman" w:hAnsi="Times New Roman" w:eastAsia="方正仿宋_GBK" w:cs="方正仿宋_GBK"/>
                <w:b w:val="0"/>
                <w:bCs w:val="0"/>
                <w:color w:val="000000"/>
                <w:kern w:val="0"/>
                <w:sz w:val="24"/>
                <w:szCs w:val="24"/>
                <w:lang w:val="en-US" w:eastAsia="zh-CN" w:bidi="ar"/>
              </w:rPr>
              <w:t>经办人意见</w:t>
            </w:r>
          </w:p>
          <w:p w14:paraId="62D26C94">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Times New Roman" w:hAnsi="Times New Roman" w:eastAsia="方正仿宋_GBK" w:cs="方正仿宋_GBK"/>
                <w:b w:val="0"/>
                <w:bCs w:val="0"/>
                <w:color w:val="000000"/>
                <w:kern w:val="0"/>
                <w:sz w:val="24"/>
                <w:szCs w:val="24"/>
                <w:lang w:val="en-US" w:eastAsia="zh-CN" w:bidi="ar"/>
              </w:rPr>
            </w:pPr>
          </w:p>
          <w:p w14:paraId="3DCE7CF1">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Times New Roman" w:hAnsi="Times New Roman" w:eastAsia="方正仿宋_GBK" w:cs="方正仿宋_GBK"/>
                <w:b w:val="0"/>
                <w:bCs w:val="0"/>
                <w:color w:val="000000"/>
                <w:kern w:val="0"/>
                <w:sz w:val="24"/>
                <w:szCs w:val="24"/>
                <w:lang w:val="en-US" w:eastAsia="zh-CN" w:bidi="ar"/>
              </w:rPr>
            </w:pPr>
            <w:r>
              <w:rPr>
                <w:rFonts w:hint="eastAsia" w:ascii="Times New Roman" w:hAnsi="Times New Roman" w:eastAsia="方正仿宋_GBK" w:cs="方正仿宋_GBK"/>
                <w:b w:val="0"/>
                <w:bCs w:val="0"/>
                <w:color w:val="000000"/>
                <w:kern w:val="0"/>
                <w:sz w:val="24"/>
                <w:szCs w:val="24"/>
                <w:lang w:val="en-US" w:eastAsia="zh-CN" w:bidi="ar"/>
              </w:rPr>
              <w:t xml:space="preserve">                      年   月   日</w:t>
            </w:r>
          </w:p>
        </w:tc>
        <w:tc>
          <w:tcPr>
            <w:tcW w:w="4385" w:type="dxa"/>
            <w:gridSpan w:val="2"/>
            <w:noWrap w:val="0"/>
            <w:vAlign w:val="top"/>
          </w:tcPr>
          <w:p w14:paraId="42D58E92">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Times New Roman" w:hAnsi="Times New Roman" w:eastAsia="方正仿宋_GBK" w:cs="方正仿宋_GBK"/>
                <w:b w:val="0"/>
                <w:bCs w:val="0"/>
                <w:color w:val="000000"/>
                <w:kern w:val="0"/>
                <w:sz w:val="24"/>
                <w:szCs w:val="24"/>
                <w:lang w:val="en-US" w:eastAsia="zh-CN" w:bidi="ar"/>
              </w:rPr>
            </w:pPr>
            <w:r>
              <w:rPr>
                <w:rFonts w:hint="eastAsia" w:ascii="Times New Roman" w:hAnsi="Times New Roman" w:eastAsia="方正仿宋_GBK" w:cs="方正仿宋_GBK"/>
                <w:b w:val="0"/>
                <w:bCs w:val="0"/>
                <w:color w:val="000000"/>
                <w:kern w:val="0"/>
                <w:sz w:val="24"/>
                <w:szCs w:val="24"/>
                <w:lang w:val="en-US" w:eastAsia="zh-CN" w:bidi="ar"/>
              </w:rPr>
              <w:t>科室负责人意见：</w:t>
            </w:r>
          </w:p>
          <w:p w14:paraId="0C7E1BB1">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Times New Roman" w:hAnsi="Times New Roman" w:eastAsia="方正仿宋_GBK" w:cs="方正仿宋_GBK"/>
                <w:b w:val="0"/>
                <w:bCs w:val="0"/>
                <w:color w:val="000000"/>
                <w:kern w:val="0"/>
                <w:sz w:val="24"/>
                <w:szCs w:val="24"/>
                <w:lang w:val="en-US" w:eastAsia="zh-CN" w:bidi="ar"/>
              </w:rPr>
            </w:pPr>
          </w:p>
          <w:p w14:paraId="07757FE6">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Times New Roman" w:hAnsi="Times New Roman" w:eastAsia="方正仿宋_GBK" w:cs="方正仿宋_GBK"/>
                <w:b w:val="0"/>
                <w:bCs w:val="0"/>
                <w:color w:val="000000"/>
                <w:kern w:val="0"/>
                <w:sz w:val="24"/>
                <w:szCs w:val="24"/>
                <w:lang w:val="en-US" w:eastAsia="zh-CN" w:bidi="ar"/>
              </w:rPr>
            </w:pPr>
            <w:r>
              <w:rPr>
                <w:rFonts w:hint="eastAsia" w:ascii="Times New Roman" w:hAnsi="Times New Roman" w:eastAsia="方正仿宋_GBK" w:cs="方正仿宋_GBK"/>
                <w:b w:val="0"/>
                <w:bCs w:val="0"/>
                <w:color w:val="000000"/>
                <w:kern w:val="0"/>
                <w:sz w:val="24"/>
                <w:szCs w:val="24"/>
                <w:lang w:val="en-US" w:eastAsia="zh-CN" w:bidi="ar"/>
              </w:rPr>
              <w:t xml:space="preserve">                      年   月   日</w:t>
            </w:r>
          </w:p>
        </w:tc>
      </w:tr>
      <w:tr w14:paraId="7F9338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8" w:hRule="atLeast"/>
        </w:trPr>
        <w:tc>
          <w:tcPr>
            <w:tcW w:w="1684" w:type="dxa"/>
            <w:vMerge w:val="continue"/>
            <w:noWrap w:val="0"/>
            <w:vAlign w:val="top"/>
          </w:tcPr>
          <w:p w14:paraId="1536E51E">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Times New Roman" w:hAnsi="Times New Roman" w:eastAsia="方正仿宋_GBK" w:cs="方正仿宋_GBK"/>
                <w:b w:val="0"/>
                <w:bCs w:val="0"/>
                <w:color w:val="000000"/>
                <w:kern w:val="0"/>
                <w:sz w:val="24"/>
                <w:szCs w:val="24"/>
                <w:lang w:val="en-US" w:eastAsia="zh-CN" w:bidi="ar"/>
              </w:rPr>
            </w:pPr>
          </w:p>
        </w:tc>
        <w:tc>
          <w:tcPr>
            <w:tcW w:w="4385" w:type="dxa"/>
            <w:gridSpan w:val="2"/>
            <w:noWrap w:val="0"/>
            <w:vAlign w:val="top"/>
          </w:tcPr>
          <w:p w14:paraId="799F61C5">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Times New Roman" w:hAnsi="Times New Roman" w:eastAsia="方正仿宋_GBK" w:cs="方正仿宋_GBK"/>
                <w:b w:val="0"/>
                <w:bCs w:val="0"/>
                <w:color w:val="000000"/>
                <w:kern w:val="0"/>
                <w:sz w:val="24"/>
                <w:szCs w:val="24"/>
                <w:lang w:val="en-US" w:eastAsia="zh-CN" w:bidi="ar"/>
              </w:rPr>
            </w:pPr>
            <w:r>
              <w:rPr>
                <w:rFonts w:hint="eastAsia" w:ascii="Times New Roman" w:hAnsi="Times New Roman" w:eastAsia="方正仿宋_GBK" w:cs="方正仿宋_GBK"/>
                <w:b w:val="0"/>
                <w:bCs w:val="0"/>
                <w:color w:val="000000"/>
                <w:kern w:val="0"/>
                <w:sz w:val="24"/>
                <w:szCs w:val="24"/>
                <w:lang w:val="en-US" w:eastAsia="zh-CN" w:bidi="ar"/>
              </w:rPr>
              <w:t>分管领导意见：</w:t>
            </w:r>
          </w:p>
          <w:p w14:paraId="105BB013">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Times New Roman" w:hAnsi="Times New Roman" w:eastAsia="方正仿宋_GBK" w:cs="方正仿宋_GBK"/>
                <w:b w:val="0"/>
                <w:bCs w:val="0"/>
                <w:color w:val="000000"/>
                <w:kern w:val="0"/>
                <w:sz w:val="24"/>
                <w:szCs w:val="24"/>
                <w:lang w:val="en-US" w:eastAsia="zh-CN" w:bidi="ar"/>
              </w:rPr>
            </w:pPr>
          </w:p>
          <w:p w14:paraId="4F6065C3">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Times New Roman" w:hAnsi="Times New Roman" w:eastAsia="方正仿宋_GBK" w:cs="方正仿宋_GBK"/>
                <w:b w:val="0"/>
                <w:bCs w:val="0"/>
                <w:color w:val="000000"/>
                <w:kern w:val="0"/>
                <w:sz w:val="24"/>
                <w:szCs w:val="24"/>
                <w:lang w:val="en-US" w:eastAsia="zh-CN" w:bidi="ar"/>
              </w:rPr>
            </w:pPr>
            <w:r>
              <w:rPr>
                <w:rFonts w:hint="eastAsia" w:ascii="Times New Roman" w:hAnsi="Times New Roman" w:eastAsia="方正仿宋_GBK" w:cs="方正仿宋_GBK"/>
                <w:b w:val="0"/>
                <w:bCs w:val="0"/>
                <w:color w:val="000000"/>
                <w:kern w:val="0"/>
                <w:sz w:val="24"/>
                <w:szCs w:val="24"/>
                <w:lang w:val="en-US" w:eastAsia="zh-CN" w:bidi="ar"/>
              </w:rPr>
              <w:t xml:space="preserve">                      年   月   日</w:t>
            </w:r>
          </w:p>
        </w:tc>
        <w:tc>
          <w:tcPr>
            <w:tcW w:w="4385" w:type="dxa"/>
            <w:gridSpan w:val="2"/>
            <w:noWrap w:val="0"/>
            <w:vAlign w:val="top"/>
          </w:tcPr>
          <w:p w14:paraId="74AE4CAA">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Times New Roman" w:hAnsi="Times New Roman" w:eastAsia="方正仿宋_GBK" w:cs="方正仿宋_GBK"/>
                <w:b w:val="0"/>
                <w:bCs w:val="0"/>
                <w:color w:val="000000"/>
                <w:kern w:val="0"/>
                <w:sz w:val="24"/>
                <w:szCs w:val="24"/>
                <w:lang w:val="en-US" w:eastAsia="zh-CN" w:bidi="ar"/>
              </w:rPr>
            </w:pPr>
            <w:r>
              <w:rPr>
                <w:rFonts w:hint="eastAsia" w:ascii="Times New Roman" w:hAnsi="Times New Roman" w:eastAsia="方正仿宋_GBK" w:cs="方正仿宋_GBK"/>
                <w:b w:val="0"/>
                <w:bCs w:val="0"/>
                <w:color w:val="000000"/>
                <w:kern w:val="0"/>
                <w:sz w:val="24"/>
                <w:szCs w:val="24"/>
                <w:lang w:val="en-US" w:eastAsia="zh-CN" w:bidi="ar"/>
              </w:rPr>
              <w:t>主要领导意见：</w:t>
            </w:r>
          </w:p>
          <w:p w14:paraId="1DEAF316">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Times New Roman" w:hAnsi="Times New Roman" w:eastAsia="方正仿宋_GBK" w:cs="方正仿宋_GBK"/>
                <w:b w:val="0"/>
                <w:bCs w:val="0"/>
                <w:color w:val="000000"/>
                <w:kern w:val="0"/>
                <w:sz w:val="24"/>
                <w:szCs w:val="24"/>
                <w:lang w:val="en-US" w:eastAsia="zh-CN" w:bidi="ar"/>
              </w:rPr>
            </w:pPr>
          </w:p>
          <w:p w14:paraId="7929A50D">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Times New Roman" w:hAnsi="Times New Roman" w:eastAsia="方正仿宋_GBK" w:cs="方正仿宋_GBK"/>
                <w:b w:val="0"/>
                <w:bCs w:val="0"/>
                <w:color w:val="000000"/>
                <w:kern w:val="0"/>
                <w:sz w:val="24"/>
                <w:szCs w:val="24"/>
                <w:lang w:val="en-US" w:eastAsia="zh-CN" w:bidi="ar"/>
              </w:rPr>
            </w:pPr>
            <w:r>
              <w:rPr>
                <w:rFonts w:hint="eastAsia" w:ascii="Times New Roman" w:hAnsi="Times New Roman" w:eastAsia="方正仿宋_GBK" w:cs="方正仿宋_GBK"/>
                <w:b w:val="0"/>
                <w:bCs w:val="0"/>
                <w:color w:val="000000"/>
                <w:kern w:val="0"/>
                <w:sz w:val="24"/>
                <w:szCs w:val="24"/>
                <w:lang w:val="en-US" w:eastAsia="zh-CN" w:bidi="ar"/>
              </w:rPr>
              <w:t xml:space="preserve">                  年   月   日</w:t>
            </w:r>
          </w:p>
        </w:tc>
      </w:tr>
    </w:tbl>
    <w:p w14:paraId="37F0FB13">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0"/>
        <w:jc w:val="both"/>
        <w:textAlignment w:val="auto"/>
        <w:rPr>
          <w:rFonts w:hint="eastAsia" w:ascii="Times New Roman" w:hAnsi="Times New Roman" w:eastAsia="黑体" w:cs="仿宋_GB2312"/>
          <w:i w:val="0"/>
          <w:iCs w:val="0"/>
          <w:caps w:val="0"/>
          <w:color w:val="333333"/>
          <w:spacing w:val="0"/>
          <w:sz w:val="32"/>
          <w:szCs w:val="32"/>
          <w:lang w:val="en-US" w:eastAsia="zh-CN"/>
        </w:rPr>
      </w:pPr>
      <w:r>
        <w:rPr>
          <w:rFonts w:hint="eastAsia" w:ascii="Times New Roman" w:hAnsi="Times New Roman" w:eastAsia="黑体" w:cs="黑体"/>
          <w:i w:val="0"/>
          <w:iCs w:val="0"/>
          <w:caps w:val="0"/>
          <w:color w:val="333333"/>
          <w:spacing w:val="0"/>
          <w:sz w:val="32"/>
          <w:szCs w:val="32"/>
        </w:rPr>
        <w:br w:type="page"/>
      </w:r>
      <w:r>
        <w:rPr>
          <w:rFonts w:hint="eastAsia" w:ascii="Times New Roman" w:hAnsi="Times New Roman" w:eastAsia="黑体" w:cs="黑体"/>
          <w:i w:val="0"/>
          <w:iCs w:val="0"/>
          <w:caps w:val="0"/>
          <w:color w:val="333333"/>
          <w:spacing w:val="0"/>
          <w:sz w:val="32"/>
          <w:szCs w:val="32"/>
        </w:rPr>
        <w:t>附件</w:t>
      </w:r>
      <w:r>
        <w:rPr>
          <w:rFonts w:hint="eastAsia" w:ascii="Times New Roman" w:hAnsi="Times New Roman" w:eastAsia="黑体" w:cs="黑体"/>
          <w:i w:val="0"/>
          <w:iCs w:val="0"/>
          <w:caps w:val="0"/>
          <w:color w:val="333333"/>
          <w:spacing w:val="0"/>
          <w:sz w:val="32"/>
          <w:szCs w:val="32"/>
          <w:lang w:val="en-US" w:eastAsia="zh-CN"/>
        </w:rPr>
        <w:t>2</w:t>
      </w:r>
    </w:p>
    <w:p w14:paraId="683C0942">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0"/>
        <w:jc w:val="center"/>
        <w:textAlignment w:val="auto"/>
        <w:rPr>
          <w:rFonts w:hint="eastAsia" w:ascii="Times New Roman" w:hAnsi="Times New Roman" w:eastAsia="宋体" w:cs="宋体"/>
          <w:i w:val="0"/>
          <w:iCs w:val="0"/>
          <w:caps w:val="0"/>
          <w:color w:val="333333"/>
          <w:spacing w:val="0"/>
          <w:sz w:val="24"/>
          <w:szCs w:val="24"/>
        </w:rPr>
      </w:pPr>
      <w:r>
        <w:rPr>
          <w:rFonts w:hint="eastAsia" w:ascii="Times New Roman" w:hAnsi="Times New Roman" w:eastAsia="方正小标宋简体" w:cs="方正小标宋简体"/>
          <w:i w:val="0"/>
          <w:iCs w:val="0"/>
          <w:caps w:val="0"/>
          <w:color w:val="333333"/>
          <w:spacing w:val="0"/>
          <w:sz w:val="44"/>
          <w:szCs w:val="44"/>
          <w:lang w:eastAsia="zh-CN"/>
        </w:rPr>
        <w:t>丰都县物业管理区域</w:t>
      </w:r>
      <w:r>
        <w:rPr>
          <w:rFonts w:hint="eastAsia" w:ascii="Times New Roman" w:hAnsi="Times New Roman" w:eastAsia="方正小标宋简体" w:cs="方正小标宋简体"/>
          <w:i w:val="0"/>
          <w:iCs w:val="0"/>
          <w:caps w:val="0"/>
          <w:color w:val="333333"/>
          <w:spacing w:val="0"/>
          <w:sz w:val="44"/>
          <w:szCs w:val="44"/>
        </w:rPr>
        <w:t>公共收益会计核算指引</w:t>
      </w:r>
    </w:p>
    <w:p w14:paraId="4C1FD5C6">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0"/>
        <w:jc w:val="center"/>
        <w:textAlignment w:val="auto"/>
        <w:rPr>
          <w:rFonts w:hint="eastAsia" w:ascii="Times New Roman" w:hAnsi="Times New Roman" w:eastAsia="方正仿宋_GBK" w:cs="方正仿宋_GBK"/>
          <w:i w:val="0"/>
          <w:iCs w:val="0"/>
          <w:caps w:val="0"/>
          <w:color w:val="333333"/>
          <w:spacing w:val="0"/>
          <w:sz w:val="32"/>
          <w:szCs w:val="32"/>
        </w:rPr>
      </w:pPr>
    </w:p>
    <w:p w14:paraId="1BE86181">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0"/>
        <w:jc w:val="center"/>
        <w:textAlignment w:val="auto"/>
        <w:rPr>
          <w:rFonts w:hint="eastAsia" w:ascii="Times New Roman" w:hAnsi="Times New Roman" w:eastAsia="方正黑体_GBK" w:cs="方正黑体_GBK"/>
          <w:i w:val="0"/>
          <w:iCs w:val="0"/>
          <w:caps w:val="0"/>
          <w:color w:val="333333"/>
          <w:spacing w:val="0"/>
          <w:sz w:val="32"/>
          <w:szCs w:val="32"/>
        </w:rPr>
      </w:pPr>
      <w:r>
        <w:rPr>
          <w:rFonts w:hint="eastAsia" w:ascii="Times New Roman" w:hAnsi="Times New Roman" w:eastAsia="方正黑体_GBK" w:cs="方正黑体_GBK"/>
          <w:i w:val="0"/>
          <w:iCs w:val="0"/>
          <w:caps w:val="0"/>
          <w:color w:val="333333"/>
          <w:spacing w:val="0"/>
          <w:sz w:val="32"/>
          <w:szCs w:val="32"/>
        </w:rPr>
        <w:t>第一部分</w:t>
      </w:r>
      <w:r>
        <w:rPr>
          <w:rFonts w:hint="eastAsia" w:ascii="Times New Roman" w:hAnsi="Times New Roman" w:eastAsia="方正黑体_GBK" w:cs="方正黑体_GBK"/>
          <w:i w:val="0"/>
          <w:iCs w:val="0"/>
          <w:caps w:val="0"/>
          <w:color w:val="333333"/>
          <w:spacing w:val="0"/>
          <w:sz w:val="32"/>
          <w:szCs w:val="32"/>
          <w:lang w:val="en-US" w:eastAsia="zh-CN"/>
        </w:rPr>
        <w:t xml:space="preserve">  </w:t>
      </w:r>
      <w:r>
        <w:rPr>
          <w:rFonts w:hint="eastAsia" w:ascii="Times New Roman" w:hAnsi="Times New Roman" w:eastAsia="方正黑体_GBK" w:cs="方正黑体_GBK"/>
          <w:i w:val="0"/>
          <w:iCs w:val="0"/>
          <w:caps w:val="0"/>
          <w:color w:val="333333"/>
          <w:spacing w:val="0"/>
          <w:sz w:val="32"/>
          <w:szCs w:val="32"/>
        </w:rPr>
        <w:t>总说明</w:t>
      </w:r>
    </w:p>
    <w:p w14:paraId="6A59CCEE">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jc w:val="both"/>
        <w:textAlignment w:val="auto"/>
        <w:rPr>
          <w:rFonts w:hint="eastAsia" w:ascii="Times New Roman" w:hAnsi="Times New Roman" w:eastAsia="方正仿宋_GBK" w:cs="方正仿宋_GBK"/>
          <w:i w:val="0"/>
          <w:iCs w:val="0"/>
          <w:caps w:val="0"/>
          <w:color w:val="333333"/>
          <w:spacing w:val="0"/>
          <w:sz w:val="32"/>
          <w:szCs w:val="32"/>
        </w:rPr>
      </w:pPr>
      <w:r>
        <w:rPr>
          <w:rFonts w:hint="eastAsia" w:ascii="Times New Roman" w:hAnsi="Times New Roman" w:eastAsia="方正黑体_GBK" w:cs="方正黑体_GBK"/>
          <w:i w:val="0"/>
          <w:iCs w:val="0"/>
          <w:caps w:val="0"/>
          <w:color w:val="333333"/>
          <w:spacing w:val="0"/>
          <w:sz w:val="32"/>
          <w:szCs w:val="32"/>
        </w:rPr>
        <w:t>一、</w:t>
      </w:r>
      <w:r>
        <w:rPr>
          <w:rFonts w:hint="eastAsia" w:ascii="Times New Roman" w:hAnsi="Times New Roman" w:eastAsia="方正仿宋_GBK" w:cs="方正仿宋_GBK"/>
          <w:i w:val="0"/>
          <w:iCs w:val="0"/>
          <w:caps w:val="0"/>
          <w:color w:val="333333"/>
          <w:spacing w:val="0"/>
          <w:sz w:val="32"/>
          <w:szCs w:val="32"/>
        </w:rPr>
        <w:t>为进一步规范我</w:t>
      </w:r>
      <w:r>
        <w:rPr>
          <w:rFonts w:hint="eastAsia" w:ascii="Times New Roman" w:hAnsi="Times New Roman" w:eastAsia="方正仿宋_GBK" w:cs="方正仿宋_GBK"/>
          <w:i w:val="0"/>
          <w:iCs w:val="0"/>
          <w:caps w:val="0"/>
          <w:color w:val="333333"/>
          <w:spacing w:val="0"/>
          <w:sz w:val="32"/>
          <w:szCs w:val="32"/>
          <w:lang w:eastAsia="zh-CN"/>
        </w:rPr>
        <w:t>县</w:t>
      </w:r>
      <w:r>
        <w:rPr>
          <w:rFonts w:hint="eastAsia" w:ascii="Times New Roman" w:hAnsi="Times New Roman" w:eastAsia="方正仿宋_GBK" w:cs="方正仿宋_GBK"/>
          <w:i w:val="0"/>
          <w:iCs w:val="0"/>
          <w:caps w:val="0"/>
          <w:color w:val="333333"/>
          <w:spacing w:val="0"/>
          <w:sz w:val="32"/>
          <w:szCs w:val="32"/>
        </w:rPr>
        <w:t>住宅小区公共收益的归集、使用和管理，充分保障业主合法权益，根据《中华人民共和国民法典》《物业管理条例》《</w:t>
      </w:r>
      <w:r>
        <w:rPr>
          <w:rFonts w:hint="eastAsia" w:ascii="Times New Roman" w:hAnsi="Times New Roman" w:eastAsia="方正仿宋_GBK" w:cs="方正仿宋_GBK"/>
          <w:i w:val="0"/>
          <w:iCs w:val="0"/>
          <w:caps w:val="0"/>
          <w:color w:val="333333"/>
          <w:spacing w:val="0"/>
          <w:sz w:val="32"/>
          <w:szCs w:val="32"/>
          <w:lang w:eastAsia="zh-CN"/>
        </w:rPr>
        <w:t>重庆市</w:t>
      </w:r>
      <w:r>
        <w:rPr>
          <w:rFonts w:hint="eastAsia" w:ascii="Times New Roman" w:hAnsi="Times New Roman" w:eastAsia="方正仿宋_GBK" w:cs="方正仿宋_GBK"/>
          <w:i w:val="0"/>
          <w:iCs w:val="0"/>
          <w:caps w:val="0"/>
          <w:color w:val="333333"/>
          <w:spacing w:val="0"/>
          <w:sz w:val="32"/>
          <w:szCs w:val="32"/>
        </w:rPr>
        <w:t>物业管理条例》等法律法规规定和有关文件精神，结合我</w:t>
      </w:r>
      <w:r>
        <w:rPr>
          <w:rFonts w:hint="eastAsia" w:ascii="Times New Roman" w:hAnsi="Times New Roman" w:eastAsia="方正仿宋_GBK" w:cs="方正仿宋_GBK"/>
          <w:i w:val="0"/>
          <w:iCs w:val="0"/>
          <w:caps w:val="0"/>
          <w:color w:val="333333"/>
          <w:spacing w:val="0"/>
          <w:sz w:val="32"/>
          <w:szCs w:val="32"/>
          <w:lang w:eastAsia="zh-CN"/>
        </w:rPr>
        <w:t>县</w:t>
      </w:r>
      <w:r>
        <w:rPr>
          <w:rFonts w:hint="eastAsia" w:ascii="Times New Roman" w:hAnsi="Times New Roman" w:eastAsia="方正仿宋_GBK" w:cs="方正仿宋_GBK"/>
          <w:i w:val="0"/>
          <w:iCs w:val="0"/>
          <w:caps w:val="0"/>
          <w:color w:val="333333"/>
          <w:spacing w:val="0"/>
          <w:sz w:val="32"/>
          <w:szCs w:val="32"/>
        </w:rPr>
        <w:t>实际，制定本指引。</w:t>
      </w:r>
    </w:p>
    <w:p w14:paraId="750EE510">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jc w:val="both"/>
        <w:textAlignment w:val="auto"/>
        <w:rPr>
          <w:rFonts w:hint="eastAsia" w:ascii="Times New Roman" w:hAnsi="Times New Roman" w:eastAsia="方正仿宋_GBK" w:cs="方正仿宋_GBK"/>
          <w:i w:val="0"/>
          <w:iCs w:val="0"/>
          <w:caps w:val="0"/>
          <w:color w:val="333333"/>
          <w:spacing w:val="0"/>
          <w:sz w:val="32"/>
          <w:szCs w:val="32"/>
        </w:rPr>
      </w:pPr>
      <w:r>
        <w:rPr>
          <w:rFonts w:hint="eastAsia" w:ascii="Times New Roman" w:hAnsi="Times New Roman" w:eastAsia="方正黑体_GBK" w:cs="方正黑体_GBK"/>
          <w:i w:val="0"/>
          <w:iCs w:val="0"/>
          <w:caps w:val="0"/>
          <w:color w:val="333333"/>
          <w:spacing w:val="0"/>
          <w:sz w:val="32"/>
          <w:szCs w:val="32"/>
        </w:rPr>
        <w:t>二、</w:t>
      </w:r>
      <w:r>
        <w:rPr>
          <w:rFonts w:hint="eastAsia" w:ascii="Times New Roman" w:hAnsi="Times New Roman" w:eastAsia="方正仿宋_GBK" w:cs="方正仿宋_GBK"/>
          <w:i w:val="0"/>
          <w:iCs w:val="0"/>
          <w:caps w:val="0"/>
          <w:color w:val="333333"/>
          <w:spacing w:val="0"/>
          <w:sz w:val="32"/>
          <w:szCs w:val="32"/>
        </w:rPr>
        <w:t>公共收益的会计核算采用复式记账法。</w:t>
      </w:r>
    </w:p>
    <w:p w14:paraId="1DEE40D6">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jc w:val="both"/>
        <w:textAlignment w:val="auto"/>
        <w:rPr>
          <w:rFonts w:hint="eastAsia" w:ascii="Times New Roman" w:hAnsi="Times New Roman" w:eastAsia="方正仿宋_GBK" w:cs="方正仿宋_GBK"/>
          <w:i w:val="0"/>
          <w:iCs w:val="0"/>
          <w:caps w:val="0"/>
          <w:color w:val="333333"/>
          <w:spacing w:val="0"/>
          <w:sz w:val="32"/>
          <w:szCs w:val="32"/>
        </w:rPr>
      </w:pPr>
      <w:r>
        <w:rPr>
          <w:rFonts w:hint="eastAsia" w:ascii="Times New Roman" w:hAnsi="Times New Roman" w:eastAsia="方正黑体_GBK" w:cs="方正黑体_GBK"/>
          <w:i w:val="0"/>
          <w:iCs w:val="0"/>
          <w:caps w:val="0"/>
          <w:color w:val="333333"/>
          <w:spacing w:val="0"/>
          <w:sz w:val="32"/>
          <w:szCs w:val="32"/>
        </w:rPr>
        <w:t>三、</w:t>
      </w:r>
      <w:r>
        <w:rPr>
          <w:rFonts w:hint="eastAsia" w:ascii="Times New Roman" w:hAnsi="Times New Roman" w:eastAsia="方正仿宋_GBK" w:cs="方正仿宋_GBK"/>
          <w:i w:val="0"/>
          <w:iCs w:val="0"/>
          <w:caps w:val="0"/>
          <w:color w:val="333333"/>
          <w:spacing w:val="0"/>
          <w:sz w:val="32"/>
          <w:szCs w:val="32"/>
        </w:rPr>
        <w:t>公共收益的会计要素包括资产、负债、净资产、收入和支出。</w:t>
      </w:r>
    </w:p>
    <w:p w14:paraId="7E38DE60">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jc w:val="both"/>
        <w:textAlignment w:val="auto"/>
        <w:rPr>
          <w:rFonts w:hint="eastAsia" w:ascii="Times New Roman" w:hAnsi="Times New Roman" w:eastAsia="方正仿宋_GBK" w:cs="方正仿宋_GBK"/>
          <w:i w:val="0"/>
          <w:iCs w:val="0"/>
          <w:caps w:val="0"/>
          <w:color w:val="333333"/>
          <w:spacing w:val="0"/>
          <w:sz w:val="32"/>
          <w:szCs w:val="32"/>
        </w:rPr>
      </w:pPr>
      <w:r>
        <w:rPr>
          <w:rFonts w:hint="eastAsia" w:ascii="Times New Roman" w:hAnsi="Times New Roman" w:eastAsia="方正黑体_GBK" w:cs="方正黑体_GBK"/>
          <w:i w:val="0"/>
          <w:iCs w:val="0"/>
          <w:caps w:val="0"/>
          <w:color w:val="333333"/>
          <w:spacing w:val="0"/>
          <w:sz w:val="32"/>
          <w:szCs w:val="32"/>
        </w:rPr>
        <w:t>四、</w:t>
      </w:r>
      <w:r>
        <w:rPr>
          <w:rFonts w:hint="eastAsia" w:ascii="Times New Roman" w:hAnsi="Times New Roman" w:eastAsia="方正仿宋_GBK" w:cs="方正仿宋_GBK"/>
          <w:i w:val="0"/>
          <w:iCs w:val="0"/>
          <w:caps w:val="0"/>
          <w:color w:val="333333"/>
          <w:spacing w:val="0"/>
          <w:sz w:val="32"/>
          <w:szCs w:val="32"/>
        </w:rPr>
        <w:t>公共收益的会计核算应当划分会计期间，分期结算账目和编制经营收支报表。会计期间的起讫日期采用公历制。</w:t>
      </w:r>
    </w:p>
    <w:p w14:paraId="4192911E">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jc w:val="both"/>
        <w:textAlignment w:val="auto"/>
        <w:rPr>
          <w:rFonts w:hint="eastAsia" w:ascii="Times New Roman" w:hAnsi="Times New Roman" w:eastAsia="方正仿宋_GBK" w:cs="方正仿宋_GBK"/>
          <w:i w:val="0"/>
          <w:iCs w:val="0"/>
          <w:caps w:val="0"/>
          <w:color w:val="333333"/>
          <w:spacing w:val="0"/>
          <w:sz w:val="32"/>
          <w:szCs w:val="32"/>
        </w:rPr>
      </w:pPr>
      <w:r>
        <w:rPr>
          <w:rFonts w:hint="eastAsia" w:ascii="Times New Roman" w:hAnsi="Times New Roman" w:eastAsia="方正黑体_GBK" w:cs="方正黑体_GBK"/>
          <w:i w:val="0"/>
          <w:iCs w:val="0"/>
          <w:caps w:val="0"/>
          <w:color w:val="333333"/>
          <w:spacing w:val="0"/>
          <w:sz w:val="32"/>
          <w:szCs w:val="32"/>
        </w:rPr>
        <w:t>五、</w:t>
      </w:r>
      <w:r>
        <w:rPr>
          <w:rFonts w:hint="eastAsia" w:ascii="Times New Roman" w:hAnsi="Times New Roman" w:eastAsia="方正仿宋_GBK" w:cs="方正仿宋_GBK"/>
          <w:i w:val="0"/>
          <w:iCs w:val="0"/>
          <w:caps w:val="0"/>
          <w:color w:val="333333"/>
          <w:spacing w:val="0"/>
          <w:sz w:val="32"/>
          <w:szCs w:val="32"/>
        </w:rPr>
        <w:t>公共收益的会计核算应当遵循下列基本原则：</w:t>
      </w:r>
    </w:p>
    <w:p w14:paraId="2DC810D8">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jc w:val="both"/>
        <w:textAlignment w:val="auto"/>
        <w:rPr>
          <w:rFonts w:hint="eastAsia" w:ascii="Times New Roman" w:hAnsi="Times New Roman" w:eastAsia="方正仿宋_GBK" w:cs="方正仿宋_GBK"/>
          <w:i w:val="0"/>
          <w:iCs w:val="0"/>
          <w:caps w:val="0"/>
          <w:color w:val="333333"/>
          <w:spacing w:val="0"/>
          <w:sz w:val="32"/>
          <w:szCs w:val="32"/>
        </w:rPr>
      </w:pPr>
      <w:r>
        <w:rPr>
          <w:rFonts w:hint="eastAsia" w:ascii="Times New Roman" w:hAnsi="Times New Roman" w:eastAsia="方正楷体_GBK" w:cs="方正楷体_GBK"/>
          <w:i w:val="0"/>
          <w:iCs w:val="0"/>
          <w:caps w:val="0"/>
          <w:color w:val="333333"/>
          <w:spacing w:val="0"/>
          <w:sz w:val="32"/>
          <w:szCs w:val="32"/>
        </w:rPr>
        <w:t>（一）</w:t>
      </w:r>
      <w:r>
        <w:rPr>
          <w:rFonts w:hint="eastAsia" w:ascii="Times New Roman" w:hAnsi="Times New Roman" w:eastAsia="方正仿宋_GBK" w:cs="方正仿宋_GBK"/>
          <w:i w:val="0"/>
          <w:iCs w:val="0"/>
          <w:caps w:val="0"/>
          <w:color w:val="333333"/>
          <w:spacing w:val="0"/>
          <w:sz w:val="32"/>
          <w:szCs w:val="32"/>
        </w:rPr>
        <w:t>公共收益的会计核算应当以实际发生的经济业务为依据，如实反映公共收益的收支情况等信息，保证会计信息真实可靠、内容完整。</w:t>
      </w:r>
    </w:p>
    <w:p w14:paraId="6D8DD148">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jc w:val="both"/>
        <w:textAlignment w:val="auto"/>
        <w:rPr>
          <w:rFonts w:hint="eastAsia" w:ascii="Times New Roman" w:hAnsi="Times New Roman" w:eastAsia="方正仿宋_GBK" w:cs="方正仿宋_GBK"/>
          <w:i w:val="0"/>
          <w:iCs w:val="0"/>
          <w:caps w:val="0"/>
          <w:color w:val="333333"/>
          <w:spacing w:val="0"/>
          <w:sz w:val="32"/>
          <w:szCs w:val="32"/>
        </w:rPr>
      </w:pPr>
      <w:r>
        <w:rPr>
          <w:rFonts w:hint="eastAsia" w:ascii="Times New Roman" w:hAnsi="Times New Roman" w:eastAsia="方正楷体_GBK" w:cs="方正楷体_GBK"/>
          <w:i w:val="0"/>
          <w:iCs w:val="0"/>
          <w:caps w:val="0"/>
          <w:color w:val="333333"/>
          <w:spacing w:val="0"/>
          <w:sz w:val="32"/>
          <w:szCs w:val="32"/>
        </w:rPr>
        <w:t>（二）</w:t>
      </w:r>
      <w:r>
        <w:rPr>
          <w:rFonts w:hint="eastAsia" w:ascii="Times New Roman" w:hAnsi="Times New Roman" w:eastAsia="方正仿宋_GBK" w:cs="方正仿宋_GBK"/>
          <w:i w:val="0"/>
          <w:iCs w:val="0"/>
          <w:caps w:val="0"/>
          <w:color w:val="333333"/>
          <w:spacing w:val="0"/>
          <w:sz w:val="32"/>
          <w:szCs w:val="32"/>
        </w:rPr>
        <w:t>公共收益的会计核算应当采用规定的会计政策，确保会计信息口径一致、相互可比。</w:t>
      </w:r>
    </w:p>
    <w:p w14:paraId="5F3315A1">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jc w:val="both"/>
        <w:textAlignment w:val="auto"/>
        <w:rPr>
          <w:rFonts w:hint="eastAsia" w:ascii="Times New Roman" w:hAnsi="Times New Roman" w:eastAsia="方正仿宋_GBK" w:cs="方正仿宋_GBK"/>
          <w:i w:val="0"/>
          <w:iCs w:val="0"/>
          <w:caps w:val="0"/>
          <w:color w:val="333333"/>
          <w:spacing w:val="0"/>
          <w:sz w:val="32"/>
          <w:szCs w:val="32"/>
        </w:rPr>
      </w:pPr>
      <w:r>
        <w:rPr>
          <w:rFonts w:hint="eastAsia" w:ascii="Times New Roman" w:hAnsi="Times New Roman" w:eastAsia="方正楷体_GBK" w:cs="方正楷体_GBK"/>
          <w:i w:val="0"/>
          <w:iCs w:val="0"/>
          <w:caps w:val="0"/>
          <w:color w:val="333333"/>
          <w:spacing w:val="0"/>
          <w:sz w:val="32"/>
          <w:szCs w:val="32"/>
        </w:rPr>
        <w:t>（三）</w:t>
      </w:r>
      <w:r>
        <w:rPr>
          <w:rFonts w:hint="eastAsia" w:ascii="Times New Roman" w:hAnsi="Times New Roman" w:eastAsia="方正仿宋_GBK" w:cs="方正仿宋_GBK"/>
          <w:i w:val="0"/>
          <w:iCs w:val="0"/>
          <w:caps w:val="0"/>
          <w:color w:val="333333"/>
          <w:spacing w:val="0"/>
          <w:sz w:val="32"/>
          <w:szCs w:val="32"/>
        </w:rPr>
        <w:t>公共收益的会计核算应当及时进行，不得提前或者延后。</w:t>
      </w:r>
    </w:p>
    <w:p w14:paraId="05D9C339">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jc w:val="both"/>
        <w:textAlignment w:val="auto"/>
        <w:rPr>
          <w:rFonts w:hint="eastAsia" w:ascii="Times New Roman" w:hAnsi="Times New Roman" w:eastAsia="方正仿宋_GBK" w:cs="方正仿宋_GBK"/>
          <w:i w:val="0"/>
          <w:iCs w:val="0"/>
          <w:caps w:val="0"/>
          <w:color w:val="333333"/>
          <w:spacing w:val="0"/>
          <w:sz w:val="32"/>
          <w:szCs w:val="32"/>
        </w:rPr>
      </w:pPr>
      <w:r>
        <w:rPr>
          <w:rFonts w:hint="eastAsia" w:ascii="Times New Roman" w:hAnsi="Times New Roman" w:eastAsia="方正黑体_GBK" w:cs="方正黑体_GBK"/>
          <w:i w:val="0"/>
          <w:iCs w:val="0"/>
          <w:caps w:val="0"/>
          <w:color w:val="333333"/>
          <w:spacing w:val="0"/>
          <w:sz w:val="32"/>
          <w:szCs w:val="32"/>
        </w:rPr>
        <w:t>六、</w:t>
      </w:r>
      <w:r>
        <w:rPr>
          <w:rFonts w:hint="eastAsia" w:ascii="Times New Roman" w:hAnsi="Times New Roman" w:eastAsia="方正仿宋_GBK" w:cs="方正仿宋_GBK"/>
          <w:i w:val="0"/>
          <w:iCs w:val="0"/>
          <w:caps w:val="0"/>
          <w:color w:val="333333"/>
          <w:spacing w:val="0"/>
          <w:sz w:val="32"/>
          <w:szCs w:val="32"/>
        </w:rPr>
        <w:t>公共收益相关会计基础工作、会计档案管理以及内部控制等，应当按照《中华人民共和国会计法》《会计基础工作规范》《会计档案管理办法》及国家有关内部控制规范等相关法律法规规定执行。</w:t>
      </w:r>
    </w:p>
    <w:p w14:paraId="30D3A7B5">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0"/>
        <w:jc w:val="center"/>
        <w:textAlignment w:val="auto"/>
        <w:rPr>
          <w:rFonts w:hint="eastAsia" w:ascii="Times New Roman" w:hAnsi="Times New Roman" w:eastAsia="方正黑体_GBK" w:cs="方正黑体_GBK"/>
          <w:i w:val="0"/>
          <w:iCs w:val="0"/>
          <w:caps w:val="0"/>
          <w:color w:val="333333"/>
          <w:spacing w:val="0"/>
          <w:sz w:val="32"/>
          <w:szCs w:val="32"/>
        </w:rPr>
      </w:pPr>
      <w:r>
        <w:rPr>
          <w:rFonts w:hint="eastAsia" w:ascii="Times New Roman" w:hAnsi="Times New Roman" w:eastAsia="方正黑体_GBK" w:cs="方正黑体_GBK"/>
          <w:i w:val="0"/>
          <w:iCs w:val="0"/>
          <w:caps w:val="0"/>
          <w:color w:val="333333"/>
          <w:spacing w:val="0"/>
          <w:sz w:val="32"/>
          <w:szCs w:val="32"/>
        </w:rPr>
        <w:t>第二部分</w:t>
      </w:r>
      <w:r>
        <w:rPr>
          <w:rFonts w:hint="eastAsia" w:ascii="Times New Roman" w:hAnsi="Times New Roman" w:eastAsia="方正黑体_GBK" w:cs="方正黑体_GBK"/>
          <w:i w:val="0"/>
          <w:iCs w:val="0"/>
          <w:caps w:val="0"/>
          <w:color w:val="333333"/>
          <w:spacing w:val="0"/>
          <w:sz w:val="32"/>
          <w:szCs w:val="32"/>
          <w:lang w:val="en-US" w:eastAsia="zh-CN"/>
        </w:rPr>
        <w:t xml:space="preserve">  </w:t>
      </w:r>
      <w:r>
        <w:rPr>
          <w:rFonts w:hint="eastAsia" w:ascii="Times New Roman" w:hAnsi="Times New Roman" w:eastAsia="方正黑体_GBK" w:cs="方正黑体_GBK"/>
          <w:i w:val="0"/>
          <w:iCs w:val="0"/>
          <w:caps w:val="0"/>
          <w:color w:val="333333"/>
          <w:spacing w:val="0"/>
          <w:sz w:val="32"/>
          <w:szCs w:val="32"/>
        </w:rPr>
        <w:t>会计科目名称和编号</w:t>
      </w:r>
    </w:p>
    <w:p w14:paraId="6CE4562D">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0"/>
        <w:jc w:val="both"/>
        <w:textAlignment w:val="auto"/>
        <w:rPr>
          <w:rFonts w:hint="eastAsia" w:ascii="Times New Roman" w:hAnsi="Times New Roman" w:eastAsia="方正仿宋_GBK" w:cs="方正仿宋_GBK"/>
          <w:i w:val="0"/>
          <w:iCs w:val="0"/>
          <w:caps w:val="0"/>
          <w:color w:val="333333"/>
          <w:spacing w:val="0"/>
          <w:sz w:val="32"/>
          <w:szCs w:val="32"/>
        </w:rPr>
      </w:pPr>
    </w:p>
    <w:tbl>
      <w:tblPr>
        <w:tblStyle w:val="10"/>
        <w:tblW w:w="0" w:type="auto"/>
        <w:jc w:val="center"/>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autofit"/>
        <w:tblCellMar>
          <w:top w:w="15" w:type="dxa"/>
          <w:left w:w="15" w:type="dxa"/>
          <w:bottom w:w="15" w:type="dxa"/>
          <w:right w:w="15" w:type="dxa"/>
        </w:tblCellMar>
      </w:tblPr>
      <w:tblGrid>
        <w:gridCol w:w="984"/>
        <w:gridCol w:w="1590"/>
        <w:gridCol w:w="6481"/>
      </w:tblGrid>
      <w:tr w14:paraId="2ED1600A">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510" w:hRule="atLeast"/>
          <w:jc w:val="center"/>
        </w:trPr>
        <w:tc>
          <w:tcPr>
            <w:tcW w:w="984" w:type="dxa"/>
            <w:tcBorders>
              <w:top w:val="single" w:color="auto" w:sz="8" w:space="0"/>
              <w:left w:val="nil"/>
              <w:bottom w:val="single" w:color="auto" w:sz="8" w:space="0"/>
              <w:right w:val="single" w:color="auto" w:sz="8" w:space="0"/>
            </w:tcBorders>
            <w:noWrap w:val="0"/>
            <w:tcMar>
              <w:top w:w="0" w:type="dxa"/>
              <w:left w:w="105" w:type="dxa"/>
              <w:bottom w:w="0" w:type="dxa"/>
              <w:right w:w="105" w:type="dxa"/>
            </w:tcMar>
            <w:vAlign w:val="center"/>
          </w:tcPr>
          <w:p w14:paraId="28673185">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both"/>
              <w:textAlignment w:val="auto"/>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序号</w:t>
            </w:r>
          </w:p>
        </w:tc>
        <w:tc>
          <w:tcPr>
            <w:tcW w:w="1590" w:type="dxa"/>
            <w:tcBorders>
              <w:top w:val="single" w:color="auto" w:sz="8" w:space="0"/>
              <w:left w:val="nil"/>
              <w:bottom w:val="single" w:color="auto" w:sz="8" w:space="0"/>
              <w:right w:val="single" w:color="auto" w:sz="8" w:space="0"/>
            </w:tcBorders>
            <w:noWrap w:val="0"/>
            <w:tcMar>
              <w:top w:w="0" w:type="dxa"/>
              <w:left w:w="105" w:type="dxa"/>
              <w:bottom w:w="0" w:type="dxa"/>
              <w:right w:w="105" w:type="dxa"/>
            </w:tcMar>
            <w:vAlign w:val="center"/>
          </w:tcPr>
          <w:p w14:paraId="70E88385">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科目编号</w:t>
            </w:r>
          </w:p>
        </w:tc>
        <w:tc>
          <w:tcPr>
            <w:tcW w:w="6481" w:type="dxa"/>
            <w:tcBorders>
              <w:top w:val="single" w:color="auto" w:sz="8" w:space="0"/>
              <w:left w:val="nil"/>
              <w:bottom w:val="single" w:color="auto" w:sz="8" w:space="0"/>
              <w:right w:val="nil"/>
            </w:tcBorders>
            <w:noWrap w:val="0"/>
            <w:tcMar>
              <w:top w:w="0" w:type="dxa"/>
              <w:left w:w="105" w:type="dxa"/>
              <w:bottom w:w="0" w:type="dxa"/>
              <w:right w:w="105" w:type="dxa"/>
            </w:tcMar>
            <w:vAlign w:val="bottom"/>
          </w:tcPr>
          <w:p w14:paraId="66DCBDE1">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科目名称</w:t>
            </w:r>
          </w:p>
        </w:tc>
      </w:tr>
      <w:tr w14:paraId="0EED1990">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510" w:hRule="atLeast"/>
          <w:jc w:val="center"/>
        </w:trPr>
        <w:tc>
          <w:tcPr>
            <w:tcW w:w="0" w:type="auto"/>
            <w:gridSpan w:val="3"/>
            <w:tcBorders>
              <w:top w:val="nil"/>
              <w:left w:val="nil"/>
              <w:bottom w:val="single" w:color="auto" w:sz="8" w:space="0"/>
              <w:right w:val="nil"/>
            </w:tcBorders>
            <w:noWrap w:val="0"/>
            <w:tcMar>
              <w:top w:w="0" w:type="dxa"/>
              <w:left w:w="105" w:type="dxa"/>
              <w:bottom w:w="0" w:type="dxa"/>
              <w:right w:w="105" w:type="dxa"/>
            </w:tcMar>
            <w:vAlign w:val="center"/>
          </w:tcPr>
          <w:p w14:paraId="4BDA19B8">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一、资产类</w:t>
            </w:r>
          </w:p>
        </w:tc>
      </w:tr>
      <w:tr w14:paraId="385AD151">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510" w:hRule="atLeast"/>
          <w:jc w:val="center"/>
        </w:trPr>
        <w:tc>
          <w:tcPr>
            <w:tcW w:w="984" w:type="dxa"/>
            <w:tcBorders>
              <w:top w:val="nil"/>
              <w:left w:val="nil"/>
              <w:bottom w:val="single" w:color="auto" w:sz="8" w:space="0"/>
              <w:right w:val="single" w:color="auto" w:sz="8" w:space="0"/>
            </w:tcBorders>
            <w:noWrap w:val="0"/>
            <w:tcMar>
              <w:top w:w="0" w:type="dxa"/>
              <w:left w:w="105" w:type="dxa"/>
              <w:bottom w:w="0" w:type="dxa"/>
              <w:right w:w="105" w:type="dxa"/>
            </w:tcMar>
            <w:vAlign w:val="center"/>
          </w:tcPr>
          <w:p w14:paraId="3D4DAFAE">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1</w:t>
            </w:r>
          </w:p>
        </w:tc>
        <w:tc>
          <w:tcPr>
            <w:tcW w:w="1590" w:type="dxa"/>
            <w:tcBorders>
              <w:top w:val="single" w:color="auto" w:sz="8" w:space="0"/>
              <w:left w:val="nil"/>
              <w:bottom w:val="single" w:color="auto" w:sz="8" w:space="0"/>
              <w:right w:val="single" w:color="auto" w:sz="8" w:space="0"/>
            </w:tcBorders>
            <w:noWrap w:val="0"/>
            <w:tcMar>
              <w:top w:w="0" w:type="dxa"/>
              <w:left w:w="105" w:type="dxa"/>
              <w:bottom w:w="0" w:type="dxa"/>
              <w:right w:w="105" w:type="dxa"/>
            </w:tcMar>
            <w:vAlign w:val="center"/>
          </w:tcPr>
          <w:p w14:paraId="20D8F9CF">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1001</w:t>
            </w:r>
          </w:p>
        </w:tc>
        <w:tc>
          <w:tcPr>
            <w:tcW w:w="6481" w:type="dxa"/>
            <w:tcBorders>
              <w:top w:val="single" w:color="auto" w:sz="8" w:space="0"/>
              <w:left w:val="nil"/>
              <w:bottom w:val="single" w:color="auto" w:sz="8" w:space="0"/>
              <w:right w:val="nil"/>
            </w:tcBorders>
            <w:noWrap w:val="0"/>
            <w:tcMar>
              <w:top w:w="0" w:type="dxa"/>
              <w:left w:w="105" w:type="dxa"/>
              <w:bottom w:w="0" w:type="dxa"/>
              <w:right w:w="105" w:type="dxa"/>
            </w:tcMar>
            <w:vAlign w:val="bottom"/>
          </w:tcPr>
          <w:p w14:paraId="3F5D2182">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现金</w:t>
            </w:r>
          </w:p>
        </w:tc>
      </w:tr>
      <w:tr w14:paraId="313855BA">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510" w:hRule="atLeast"/>
          <w:jc w:val="center"/>
        </w:trPr>
        <w:tc>
          <w:tcPr>
            <w:tcW w:w="984" w:type="dxa"/>
            <w:tcBorders>
              <w:top w:val="nil"/>
              <w:left w:val="nil"/>
              <w:bottom w:val="single" w:color="auto" w:sz="8" w:space="0"/>
              <w:right w:val="single" w:color="auto" w:sz="8" w:space="0"/>
            </w:tcBorders>
            <w:noWrap w:val="0"/>
            <w:tcMar>
              <w:top w:w="0" w:type="dxa"/>
              <w:left w:w="105" w:type="dxa"/>
              <w:bottom w:w="0" w:type="dxa"/>
              <w:right w:w="105" w:type="dxa"/>
            </w:tcMar>
            <w:vAlign w:val="center"/>
          </w:tcPr>
          <w:p w14:paraId="6EF1F28E">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2</w:t>
            </w:r>
          </w:p>
        </w:tc>
        <w:tc>
          <w:tcPr>
            <w:tcW w:w="1590" w:type="dxa"/>
            <w:tcBorders>
              <w:top w:val="nil"/>
              <w:left w:val="nil"/>
              <w:bottom w:val="single" w:color="auto" w:sz="8" w:space="0"/>
              <w:right w:val="single" w:color="auto" w:sz="8" w:space="0"/>
            </w:tcBorders>
            <w:noWrap w:val="0"/>
            <w:tcMar>
              <w:top w:w="0" w:type="dxa"/>
              <w:left w:w="105" w:type="dxa"/>
              <w:bottom w:w="0" w:type="dxa"/>
              <w:right w:w="105" w:type="dxa"/>
            </w:tcMar>
            <w:vAlign w:val="center"/>
          </w:tcPr>
          <w:p w14:paraId="0B379ECF">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1002</w:t>
            </w:r>
          </w:p>
        </w:tc>
        <w:tc>
          <w:tcPr>
            <w:tcW w:w="6481" w:type="dxa"/>
            <w:tcBorders>
              <w:top w:val="nil"/>
              <w:left w:val="nil"/>
              <w:bottom w:val="single" w:color="auto" w:sz="8" w:space="0"/>
              <w:right w:val="nil"/>
            </w:tcBorders>
            <w:noWrap w:val="0"/>
            <w:tcMar>
              <w:top w:w="0" w:type="dxa"/>
              <w:left w:w="105" w:type="dxa"/>
              <w:bottom w:w="0" w:type="dxa"/>
              <w:right w:w="105" w:type="dxa"/>
            </w:tcMar>
            <w:vAlign w:val="bottom"/>
          </w:tcPr>
          <w:p w14:paraId="0455A9DB">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银行存款</w:t>
            </w:r>
          </w:p>
        </w:tc>
      </w:tr>
      <w:tr w14:paraId="00FC0C96">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510" w:hRule="atLeast"/>
          <w:jc w:val="center"/>
        </w:trPr>
        <w:tc>
          <w:tcPr>
            <w:tcW w:w="0" w:type="auto"/>
            <w:gridSpan w:val="3"/>
            <w:tcBorders>
              <w:top w:val="nil"/>
              <w:left w:val="nil"/>
              <w:bottom w:val="single" w:color="auto" w:sz="8" w:space="0"/>
              <w:right w:val="nil"/>
            </w:tcBorders>
            <w:noWrap w:val="0"/>
            <w:tcMar>
              <w:top w:w="0" w:type="dxa"/>
              <w:left w:w="105" w:type="dxa"/>
              <w:bottom w:w="0" w:type="dxa"/>
              <w:right w:w="105" w:type="dxa"/>
            </w:tcMar>
            <w:vAlign w:val="center"/>
          </w:tcPr>
          <w:p w14:paraId="2A357C0C">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二、负债类</w:t>
            </w:r>
          </w:p>
        </w:tc>
      </w:tr>
      <w:tr w14:paraId="12CDDDE8">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510" w:hRule="atLeast"/>
          <w:jc w:val="center"/>
        </w:trPr>
        <w:tc>
          <w:tcPr>
            <w:tcW w:w="984" w:type="dxa"/>
            <w:tcBorders>
              <w:top w:val="nil"/>
              <w:left w:val="nil"/>
              <w:bottom w:val="single" w:color="auto" w:sz="8" w:space="0"/>
              <w:right w:val="single" w:color="auto" w:sz="8" w:space="0"/>
            </w:tcBorders>
            <w:noWrap w:val="0"/>
            <w:tcMar>
              <w:top w:w="0" w:type="dxa"/>
              <w:left w:w="105" w:type="dxa"/>
              <w:bottom w:w="0" w:type="dxa"/>
              <w:right w:w="105" w:type="dxa"/>
            </w:tcMar>
            <w:vAlign w:val="center"/>
          </w:tcPr>
          <w:p w14:paraId="35BC9E2A">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3</w:t>
            </w:r>
          </w:p>
        </w:tc>
        <w:tc>
          <w:tcPr>
            <w:tcW w:w="1590" w:type="dxa"/>
            <w:tcBorders>
              <w:top w:val="single" w:color="auto" w:sz="8" w:space="0"/>
              <w:left w:val="nil"/>
              <w:bottom w:val="single" w:color="auto" w:sz="8" w:space="0"/>
              <w:right w:val="single" w:color="auto" w:sz="8" w:space="0"/>
            </w:tcBorders>
            <w:noWrap w:val="0"/>
            <w:tcMar>
              <w:top w:w="0" w:type="dxa"/>
              <w:left w:w="105" w:type="dxa"/>
              <w:bottom w:w="0" w:type="dxa"/>
              <w:right w:w="105" w:type="dxa"/>
            </w:tcMar>
            <w:vAlign w:val="center"/>
          </w:tcPr>
          <w:p w14:paraId="3179688B">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2001</w:t>
            </w:r>
          </w:p>
        </w:tc>
        <w:tc>
          <w:tcPr>
            <w:tcW w:w="6481" w:type="dxa"/>
            <w:tcBorders>
              <w:top w:val="single" w:color="auto" w:sz="8" w:space="0"/>
              <w:left w:val="nil"/>
              <w:bottom w:val="single" w:color="auto" w:sz="8" w:space="0"/>
              <w:right w:val="nil"/>
            </w:tcBorders>
            <w:noWrap w:val="0"/>
            <w:tcMar>
              <w:top w:w="0" w:type="dxa"/>
              <w:left w:w="105" w:type="dxa"/>
              <w:bottom w:w="0" w:type="dxa"/>
              <w:right w:w="105" w:type="dxa"/>
            </w:tcMar>
            <w:vAlign w:val="bottom"/>
          </w:tcPr>
          <w:p w14:paraId="3A7AE400">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其他应付款</w:t>
            </w:r>
          </w:p>
        </w:tc>
      </w:tr>
      <w:tr w14:paraId="750CE3C5">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510" w:hRule="atLeast"/>
          <w:jc w:val="center"/>
        </w:trPr>
        <w:tc>
          <w:tcPr>
            <w:tcW w:w="0" w:type="auto"/>
            <w:gridSpan w:val="3"/>
            <w:tcBorders>
              <w:top w:val="nil"/>
              <w:left w:val="nil"/>
              <w:bottom w:val="single" w:color="auto" w:sz="8" w:space="0"/>
              <w:right w:val="nil"/>
            </w:tcBorders>
            <w:noWrap w:val="0"/>
            <w:tcMar>
              <w:top w:w="0" w:type="dxa"/>
              <w:left w:w="105" w:type="dxa"/>
              <w:bottom w:w="0" w:type="dxa"/>
              <w:right w:w="105" w:type="dxa"/>
            </w:tcMar>
            <w:vAlign w:val="center"/>
          </w:tcPr>
          <w:p w14:paraId="4C321280">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三、净资产类</w:t>
            </w:r>
          </w:p>
        </w:tc>
      </w:tr>
      <w:tr w14:paraId="7993C165">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510" w:hRule="atLeast"/>
          <w:jc w:val="center"/>
        </w:trPr>
        <w:tc>
          <w:tcPr>
            <w:tcW w:w="984" w:type="dxa"/>
            <w:tcBorders>
              <w:top w:val="nil"/>
              <w:left w:val="nil"/>
              <w:bottom w:val="single" w:color="auto" w:sz="8" w:space="0"/>
              <w:right w:val="single" w:color="auto" w:sz="8" w:space="0"/>
            </w:tcBorders>
            <w:noWrap w:val="0"/>
            <w:tcMar>
              <w:top w:w="0" w:type="dxa"/>
              <w:left w:w="105" w:type="dxa"/>
              <w:bottom w:w="0" w:type="dxa"/>
              <w:right w:w="105" w:type="dxa"/>
            </w:tcMar>
            <w:vAlign w:val="center"/>
          </w:tcPr>
          <w:p w14:paraId="370A4D77">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4</w:t>
            </w:r>
          </w:p>
        </w:tc>
        <w:tc>
          <w:tcPr>
            <w:tcW w:w="1590" w:type="dxa"/>
            <w:tcBorders>
              <w:top w:val="single" w:color="auto" w:sz="8" w:space="0"/>
              <w:left w:val="nil"/>
              <w:bottom w:val="single" w:color="auto" w:sz="8" w:space="0"/>
              <w:right w:val="single" w:color="auto" w:sz="8" w:space="0"/>
            </w:tcBorders>
            <w:noWrap w:val="0"/>
            <w:tcMar>
              <w:top w:w="0" w:type="dxa"/>
              <w:left w:w="105" w:type="dxa"/>
              <w:bottom w:w="0" w:type="dxa"/>
              <w:right w:w="105" w:type="dxa"/>
            </w:tcMar>
            <w:vAlign w:val="center"/>
          </w:tcPr>
          <w:p w14:paraId="326C88B7">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3001</w:t>
            </w:r>
          </w:p>
        </w:tc>
        <w:tc>
          <w:tcPr>
            <w:tcW w:w="6481" w:type="dxa"/>
            <w:tcBorders>
              <w:top w:val="single" w:color="auto" w:sz="8" w:space="0"/>
              <w:left w:val="nil"/>
              <w:bottom w:val="single" w:color="auto" w:sz="8" w:space="0"/>
              <w:right w:val="nil"/>
            </w:tcBorders>
            <w:noWrap w:val="0"/>
            <w:tcMar>
              <w:top w:w="0" w:type="dxa"/>
              <w:left w:w="105" w:type="dxa"/>
              <w:bottom w:w="0" w:type="dxa"/>
              <w:right w:w="105" w:type="dxa"/>
            </w:tcMar>
            <w:vAlign w:val="bottom"/>
          </w:tcPr>
          <w:p w14:paraId="06008D97">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累计结余</w:t>
            </w:r>
          </w:p>
        </w:tc>
      </w:tr>
      <w:tr w14:paraId="3C6D690C">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510" w:hRule="atLeast"/>
          <w:jc w:val="center"/>
        </w:trPr>
        <w:tc>
          <w:tcPr>
            <w:tcW w:w="0" w:type="auto"/>
            <w:gridSpan w:val="3"/>
            <w:tcBorders>
              <w:top w:val="nil"/>
              <w:left w:val="nil"/>
              <w:bottom w:val="single" w:color="auto" w:sz="8" w:space="0"/>
              <w:right w:val="nil"/>
            </w:tcBorders>
            <w:noWrap w:val="0"/>
            <w:tcMar>
              <w:top w:w="0" w:type="dxa"/>
              <w:left w:w="105" w:type="dxa"/>
              <w:bottom w:w="0" w:type="dxa"/>
              <w:right w:w="105" w:type="dxa"/>
            </w:tcMar>
            <w:vAlign w:val="center"/>
          </w:tcPr>
          <w:p w14:paraId="19A15D4E">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四、收入类</w:t>
            </w:r>
          </w:p>
        </w:tc>
      </w:tr>
      <w:tr w14:paraId="2CF0E617">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510" w:hRule="atLeast"/>
          <w:jc w:val="center"/>
        </w:trPr>
        <w:tc>
          <w:tcPr>
            <w:tcW w:w="984" w:type="dxa"/>
            <w:tcBorders>
              <w:top w:val="nil"/>
              <w:left w:val="nil"/>
              <w:bottom w:val="single" w:color="auto" w:sz="8" w:space="0"/>
              <w:right w:val="single" w:color="auto" w:sz="8" w:space="0"/>
            </w:tcBorders>
            <w:noWrap w:val="0"/>
            <w:tcMar>
              <w:top w:w="0" w:type="dxa"/>
              <w:left w:w="105" w:type="dxa"/>
              <w:bottom w:w="0" w:type="dxa"/>
              <w:right w:w="105" w:type="dxa"/>
            </w:tcMar>
            <w:vAlign w:val="center"/>
          </w:tcPr>
          <w:p w14:paraId="75EBC953">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5</w:t>
            </w:r>
          </w:p>
        </w:tc>
        <w:tc>
          <w:tcPr>
            <w:tcW w:w="1590" w:type="dxa"/>
            <w:tcBorders>
              <w:top w:val="single" w:color="auto" w:sz="8" w:space="0"/>
              <w:left w:val="nil"/>
              <w:bottom w:val="single" w:color="auto" w:sz="8" w:space="0"/>
              <w:right w:val="single" w:color="auto" w:sz="8" w:space="0"/>
            </w:tcBorders>
            <w:noWrap w:val="0"/>
            <w:tcMar>
              <w:top w:w="0" w:type="dxa"/>
              <w:left w:w="105" w:type="dxa"/>
              <w:bottom w:w="0" w:type="dxa"/>
              <w:right w:w="105" w:type="dxa"/>
            </w:tcMar>
            <w:vAlign w:val="center"/>
          </w:tcPr>
          <w:p w14:paraId="216A4960">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4001</w:t>
            </w:r>
          </w:p>
        </w:tc>
        <w:tc>
          <w:tcPr>
            <w:tcW w:w="6481" w:type="dxa"/>
            <w:tcBorders>
              <w:top w:val="single" w:color="auto" w:sz="8" w:space="0"/>
              <w:left w:val="nil"/>
              <w:bottom w:val="single" w:color="auto" w:sz="8" w:space="0"/>
              <w:right w:val="nil"/>
            </w:tcBorders>
            <w:noWrap w:val="0"/>
            <w:tcMar>
              <w:top w:w="0" w:type="dxa"/>
              <w:left w:w="105" w:type="dxa"/>
              <w:bottom w:w="0" w:type="dxa"/>
              <w:right w:w="105" w:type="dxa"/>
            </w:tcMar>
            <w:vAlign w:val="bottom"/>
          </w:tcPr>
          <w:p w14:paraId="09C7FB95">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共有部分经营收入</w:t>
            </w:r>
          </w:p>
        </w:tc>
      </w:tr>
      <w:tr w14:paraId="6F7C518F">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510" w:hRule="atLeast"/>
          <w:jc w:val="center"/>
        </w:trPr>
        <w:tc>
          <w:tcPr>
            <w:tcW w:w="984" w:type="dxa"/>
            <w:tcBorders>
              <w:top w:val="nil"/>
              <w:left w:val="nil"/>
              <w:bottom w:val="single" w:color="auto" w:sz="8" w:space="0"/>
              <w:right w:val="single" w:color="auto" w:sz="8" w:space="0"/>
            </w:tcBorders>
            <w:noWrap w:val="0"/>
            <w:tcMar>
              <w:top w:w="0" w:type="dxa"/>
              <w:left w:w="105" w:type="dxa"/>
              <w:bottom w:w="0" w:type="dxa"/>
              <w:right w:w="105" w:type="dxa"/>
            </w:tcMar>
            <w:vAlign w:val="center"/>
          </w:tcPr>
          <w:p w14:paraId="6B066795">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6</w:t>
            </w:r>
          </w:p>
        </w:tc>
        <w:tc>
          <w:tcPr>
            <w:tcW w:w="1590" w:type="dxa"/>
            <w:tcBorders>
              <w:top w:val="nil"/>
              <w:left w:val="nil"/>
              <w:bottom w:val="single" w:color="auto" w:sz="8" w:space="0"/>
              <w:right w:val="single" w:color="auto" w:sz="8" w:space="0"/>
            </w:tcBorders>
            <w:noWrap w:val="0"/>
            <w:tcMar>
              <w:top w:w="0" w:type="dxa"/>
              <w:left w:w="105" w:type="dxa"/>
              <w:bottom w:w="0" w:type="dxa"/>
              <w:right w:w="105" w:type="dxa"/>
            </w:tcMar>
            <w:vAlign w:val="center"/>
          </w:tcPr>
          <w:p w14:paraId="24BA861C">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right"/>
              <w:textAlignment w:val="auto"/>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4001-1</w:t>
            </w:r>
          </w:p>
        </w:tc>
        <w:tc>
          <w:tcPr>
            <w:tcW w:w="6481" w:type="dxa"/>
            <w:tcBorders>
              <w:top w:val="nil"/>
              <w:left w:val="nil"/>
              <w:bottom w:val="single" w:color="auto" w:sz="8" w:space="0"/>
              <w:right w:val="nil"/>
            </w:tcBorders>
            <w:noWrap w:val="0"/>
            <w:tcMar>
              <w:top w:w="0" w:type="dxa"/>
              <w:left w:w="105" w:type="dxa"/>
              <w:bottom w:w="0" w:type="dxa"/>
              <w:right w:w="105" w:type="dxa"/>
            </w:tcMar>
            <w:vAlign w:val="bottom"/>
          </w:tcPr>
          <w:p w14:paraId="6918EAB0">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right"/>
              <w:textAlignment w:val="auto"/>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房屋租赁收入</w:t>
            </w:r>
          </w:p>
        </w:tc>
      </w:tr>
      <w:tr w14:paraId="373F9DE7">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510" w:hRule="atLeast"/>
          <w:jc w:val="center"/>
        </w:trPr>
        <w:tc>
          <w:tcPr>
            <w:tcW w:w="984" w:type="dxa"/>
            <w:tcBorders>
              <w:top w:val="nil"/>
              <w:left w:val="nil"/>
              <w:bottom w:val="single" w:color="auto" w:sz="8" w:space="0"/>
              <w:right w:val="single" w:color="auto" w:sz="8" w:space="0"/>
            </w:tcBorders>
            <w:noWrap w:val="0"/>
            <w:tcMar>
              <w:top w:w="0" w:type="dxa"/>
              <w:left w:w="105" w:type="dxa"/>
              <w:bottom w:w="0" w:type="dxa"/>
              <w:right w:w="105" w:type="dxa"/>
            </w:tcMar>
            <w:vAlign w:val="center"/>
          </w:tcPr>
          <w:p w14:paraId="4351BF8E">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7</w:t>
            </w:r>
          </w:p>
        </w:tc>
        <w:tc>
          <w:tcPr>
            <w:tcW w:w="1590" w:type="dxa"/>
            <w:tcBorders>
              <w:top w:val="nil"/>
              <w:left w:val="nil"/>
              <w:bottom w:val="single" w:color="auto" w:sz="8" w:space="0"/>
              <w:right w:val="single" w:color="auto" w:sz="8" w:space="0"/>
            </w:tcBorders>
            <w:noWrap w:val="0"/>
            <w:tcMar>
              <w:top w:w="0" w:type="dxa"/>
              <w:left w:w="105" w:type="dxa"/>
              <w:bottom w:w="0" w:type="dxa"/>
              <w:right w:w="105" w:type="dxa"/>
            </w:tcMar>
            <w:vAlign w:val="center"/>
          </w:tcPr>
          <w:p w14:paraId="01053558">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right"/>
              <w:textAlignment w:val="auto"/>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4001-2</w:t>
            </w:r>
          </w:p>
        </w:tc>
        <w:tc>
          <w:tcPr>
            <w:tcW w:w="6481" w:type="dxa"/>
            <w:tcBorders>
              <w:top w:val="nil"/>
              <w:left w:val="nil"/>
              <w:bottom w:val="single" w:color="auto" w:sz="8" w:space="0"/>
              <w:right w:val="nil"/>
            </w:tcBorders>
            <w:noWrap w:val="0"/>
            <w:tcMar>
              <w:top w:w="0" w:type="dxa"/>
              <w:left w:w="105" w:type="dxa"/>
              <w:bottom w:w="0" w:type="dxa"/>
              <w:right w:w="105" w:type="dxa"/>
            </w:tcMar>
            <w:vAlign w:val="bottom"/>
          </w:tcPr>
          <w:p w14:paraId="46635577">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right"/>
              <w:textAlignment w:val="auto"/>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公共停车泊位收入</w:t>
            </w:r>
          </w:p>
        </w:tc>
      </w:tr>
      <w:tr w14:paraId="4283DEE5">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510" w:hRule="atLeast"/>
          <w:jc w:val="center"/>
        </w:trPr>
        <w:tc>
          <w:tcPr>
            <w:tcW w:w="984" w:type="dxa"/>
            <w:tcBorders>
              <w:top w:val="nil"/>
              <w:left w:val="nil"/>
              <w:bottom w:val="single" w:color="auto" w:sz="8" w:space="0"/>
              <w:right w:val="single" w:color="auto" w:sz="8" w:space="0"/>
            </w:tcBorders>
            <w:noWrap w:val="0"/>
            <w:tcMar>
              <w:top w:w="0" w:type="dxa"/>
              <w:left w:w="105" w:type="dxa"/>
              <w:bottom w:w="0" w:type="dxa"/>
              <w:right w:w="105" w:type="dxa"/>
            </w:tcMar>
            <w:vAlign w:val="center"/>
          </w:tcPr>
          <w:p w14:paraId="00A8CC29">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8</w:t>
            </w:r>
          </w:p>
        </w:tc>
        <w:tc>
          <w:tcPr>
            <w:tcW w:w="1590" w:type="dxa"/>
            <w:tcBorders>
              <w:top w:val="nil"/>
              <w:left w:val="nil"/>
              <w:bottom w:val="single" w:color="auto" w:sz="8" w:space="0"/>
              <w:right w:val="single" w:color="auto" w:sz="8" w:space="0"/>
            </w:tcBorders>
            <w:noWrap w:val="0"/>
            <w:tcMar>
              <w:top w:w="0" w:type="dxa"/>
              <w:left w:w="105" w:type="dxa"/>
              <w:bottom w:w="0" w:type="dxa"/>
              <w:right w:w="105" w:type="dxa"/>
            </w:tcMar>
            <w:vAlign w:val="center"/>
          </w:tcPr>
          <w:p w14:paraId="3AA6C31E">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right"/>
              <w:textAlignment w:val="auto"/>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4001-3</w:t>
            </w:r>
          </w:p>
        </w:tc>
        <w:tc>
          <w:tcPr>
            <w:tcW w:w="6481" w:type="dxa"/>
            <w:tcBorders>
              <w:top w:val="nil"/>
              <w:left w:val="nil"/>
              <w:bottom w:val="single" w:color="auto" w:sz="8" w:space="0"/>
              <w:right w:val="nil"/>
            </w:tcBorders>
            <w:noWrap w:val="0"/>
            <w:tcMar>
              <w:top w:w="0" w:type="dxa"/>
              <w:left w:w="105" w:type="dxa"/>
              <w:bottom w:w="0" w:type="dxa"/>
              <w:right w:w="105" w:type="dxa"/>
            </w:tcMar>
            <w:vAlign w:val="bottom"/>
          </w:tcPr>
          <w:p w14:paraId="392AE185">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right"/>
              <w:textAlignment w:val="auto"/>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广告位收入</w:t>
            </w:r>
          </w:p>
        </w:tc>
      </w:tr>
      <w:tr w14:paraId="03DE4F77">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510" w:hRule="atLeast"/>
          <w:jc w:val="center"/>
        </w:trPr>
        <w:tc>
          <w:tcPr>
            <w:tcW w:w="984" w:type="dxa"/>
            <w:tcBorders>
              <w:top w:val="nil"/>
              <w:left w:val="nil"/>
              <w:bottom w:val="single" w:color="auto" w:sz="8" w:space="0"/>
              <w:right w:val="single" w:color="auto" w:sz="8" w:space="0"/>
            </w:tcBorders>
            <w:noWrap w:val="0"/>
            <w:tcMar>
              <w:top w:w="0" w:type="dxa"/>
              <w:left w:w="105" w:type="dxa"/>
              <w:bottom w:w="0" w:type="dxa"/>
              <w:right w:w="105" w:type="dxa"/>
            </w:tcMar>
            <w:vAlign w:val="center"/>
          </w:tcPr>
          <w:p w14:paraId="4E74F1A5">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9</w:t>
            </w:r>
          </w:p>
        </w:tc>
        <w:tc>
          <w:tcPr>
            <w:tcW w:w="1590" w:type="dxa"/>
            <w:tcBorders>
              <w:top w:val="nil"/>
              <w:left w:val="nil"/>
              <w:bottom w:val="single" w:color="auto" w:sz="8" w:space="0"/>
              <w:right w:val="single" w:color="auto" w:sz="8" w:space="0"/>
            </w:tcBorders>
            <w:noWrap w:val="0"/>
            <w:tcMar>
              <w:top w:w="0" w:type="dxa"/>
              <w:left w:w="105" w:type="dxa"/>
              <w:bottom w:w="0" w:type="dxa"/>
              <w:right w:w="105" w:type="dxa"/>
            </w:tcMar>
            <w:vAlign w:val="center"/>
          </w:tcPr>
          <w:p w14:paraId="7256C3BC">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right"/>
              <w:textAlignment w:val="auto"/>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4001-4</w:t>
            </w:r>
          </w:p>
        </w:tc>
        <w:tc>
          <w:tcPr>
            <w:tcW w:w="6481" w:type="dxa"/>
            <w:tcBorders>
              <w:top w:val="nil"/>
              <w:left w:val="nil"/>
              <w:bottom w:val="single" w:color="auto" w:sz="8" w:space="0"/>
              <w:right w:val="nil"/>
            </w:tcBorders>
            <w:noWrap w:val="0"/>
            <w:tcMar>
              <w:top w:w="0" w:type="dxa"/>
              <w:left w:w="105" w:type="dxa"/>
              <w:bottom w:w="0" w:type="dxa"/>
              <w:right w:w="105" w:type="dxa"/>
            </w:tcMar>
            <w:vAlign w:val="bottom"/>
          </w:tcPr>
          <w:p w14:paraId="7E1DFB7D">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right"/>
              <w:textAlignment w:val="auto"/>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摆摊设点收入</w:t>
            </w:r>
          </w:p>
        </w:tc>
      </w:tr>
      <w:tr w14:paraId="7D99F6B1">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335" w:hRule="atLeast"/>
          <w:jc w:val="center"/>
        </w:trPr>
        <w:tc>
          <w:tcPr>
            <w:tcW w:w="984" w:type="dxa"/>
            <w:tcBorders>
              <w:top w:val="nil"/>
              <w:left w:val="nil"/>
              <w:bottom w:val="single" w:color="auto" w:sz="8" w:space="0"/>
              <w:right w:val="single" w:color="auto" w:sz="8" w:space="0"/>
            </w:tcBorders>
            <w:noWrap w:val="0"/>
            <w:tcMar>
              <w:top w:w="0" w:type="dxa"/>
              <w:left w:w="105" w:type="dxa"/>
              <w:bottom w:w="0" w:type="dxa"/>
              <w:right w:w="105" w:type="dxa"/>
            </w:tcMar>
            <w:vAlign w:val="center"/>
          </w:tcPr>
          <w:p w14:paraId="637E5660">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10</w:t>
            </w:r>
          </w:p>
        </w:tc>
        <w:tc>
          <w:tcPr>
            <w:tcW w:w="1590" w:type="dxa"/>
            <w:tcBorders>
              <w:top w:val="nil"/>
              <w:left w:val="nil"/>
              <w:bottom w:val="single" w:color="auto" w:sz="8" w:space="0"/>
              <w:right w:val="single" w:color="auto" w:sz="8" w:space="0"/>
            </w:tcBorders>
            <w:noWrap w:val="0"/>
            <w:tcMar>
              <w:top w:w="0" w:type="dxa"/>
              <w:left w:w="105" w:type="dxa"/>
              <w:bottom w:w="0" w:type="dxa"/>
              <w:right w:w="105" w:type="dxa"/>
            </w:tcMar>
            <w:vAlign w:val="center"/>
          </w:tcPr>
          <w:p w14:paraId="69D7988B">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right"/>
              <w:textAlignment w:val="auto"/>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4001-5</w:t>
            </w:r>
          </w:p>
        </w:tc>
        <w:tc>
          <w:tcPr>
            <w:tcW w:w="6481" w:type="dxa"/>
            <w:tcBorders>
              <w:top w:val="nil"/>
              <w:left w:val="nil"/>
              <w:bottom w:val="single" w:color="auto" w:sz="8" w:space="0"/>
              <w:right w:val="nil"/>
            </w:tcBorders>
            <w:noWrap w:val="0"/>
            <w:tcMar>
              <w:top w:w="0" w:type="dxa"/>
              <w:left w:w="105" w:type="dxa"/>
              <w:bottom w:w="0" w:type="dxa"/>
              <w:right w:w="105" w:type="dxa"/>
            </w:tcMar>
            <w:vAlign w:val="bottom"/>
          </w:tcPr>
          <w:p w14:paraId="71A6787D">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right"/>
              <w:textAlignment w:val="auto"/>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快递柜、净水机、自动售卖机等场地收入</w:t>
            </w:r>
          </w:p>
        </w:tc>
      </w:tr>
      <w:tr w14:paraId="185292C8">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510" w:hRule="atLeast"/>
          <w:jc w:val="center"/>
        </w:trPr>
        <w:tc>
          <w:tcPr>
            <w:tcW w:w="984" w:type="dxa"/>
            <w:tcBorders>
              <w:top w:val="nil"/>
              <w:left w:val="nil"/>
              <w:bottom w:val="single" w:color="auto" w:sz="8" w:space="0"/>
              <w:right w:val="single" w:color="auto" w:sz="8" w:space="0"/>
            </w:tcBorders>
            <w:noWrap w:val="0"/>
            <w:tcMar>
              <w:top w:w="0" w:type="dxa"/>
              <w:left w:w="105" w:type="dxa"/>
              <w:bottom w:w="0" w:type="dxa"/>
              <w:right w:w="105" w:type="dxa"/>
            </w:tcMar>
            <w:vAlign w:val="center"/>
          </w:tcPr>
          <w:p w14:paraId="0DCE91CE">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11</w:t>
            </w:r>
          </w:p>
        </w:tc>
        <w:tc>
          <w:tcPr>
            <w:tcW w:w="1590" w:type="dxa"/>
            <w:tcBorders>
              <w:top w:val="nil"/>
              <w:left w:val="nil"/>
              <w:bottom w:val="single" w:color="auto" w:sz="8" w:space="0"/>
              <w:right w:val="single" w:color="auto" w:sz="8" w:space="0"/>
            </w:tcBorders>
            <w:noWrap w:val="0"/>
            <w:tcMar>
              <w:top w:w="0" w:type="dxa"/>
              <w:left w:w="105" w:type="dxa"/>
              <w:bottom w:w="0" w:type="dxa"/>
              <w:right w:w="105" w:type="dxa"/>
            </w:tcMar>
            <w:vAlign w:val="center"/>
          </w:tcPr>
          <w:p w14:paraId="0FB405F4">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right"/>
              <w:textAlignment w:val="auto"/>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4001-6</w:t>
            </w:r>
          </w:p>
        </w:tc>
        <w:tc>
          <w:tcPr>
            <w:tcW w:w="6481" w:type="dxa"/>
            <w:tcBorders>
              <w:top w:val="nil"/>
              <w:left w:val="nil"/>
              <w:bottom w:val="single" w:color="auto" w:sz="8" w:space="0"/>
              <w:right w:val="nil"/>
            </w:tcBorders>
            <w:noWrap w:val="0"/>
            <w:tcMar>
              <w:top w:w="0" w:type="dxa"/>
              <w:left w:w="105" w:type="dxa"/>
              <w:bottom w:w="0" w:type="dxa"/>
              <w:right w:w="105" w:type="dxa"/>
            </w:tcMar>
            <w:vAlign w:val="bottom"/>
          </w:tcPr>
          <w:p w14:paraId="0747304C">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right"/>
              <w:textAlignment w:val="auto"/>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移动通信设施场地收入</w:t>
            </w:r>
          </w:p>
        </w:tc>
      </w:tr>
      <w:tr w14:paraId="70831EAA">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510" w:hRule="atLeast"/>
          <w:jc w:val="center"/>
        </w:trPr>
        <w:tc>
          <w:tcPr>
            <w:tcW w:w="984" w:type="dxa"/>
            <w:tcBorders>
              <w:top w:val="nil"/>
              <w:left w:val="nil"/>
              <w:bottom w:val="single" w:color="auto" w:sz="8" w:space="0"/>
              <w:right w:val="single" w:color="auto" w:sz="8" w:space="0"/>
            </w:tcBorders>
            <w:noWrap w:val="0"/>
            <w:tcMar>
              <w:top w:w="0" w:type="dxa"/>
              <w:left w:w="105" w:type="dxa"/>
              <w:bottom w:w="0" w:type="dxa"/>
              <w:right w:w="105" w:type="dxa"/>
            </w:tcMar>
            <w:vAlign w:val="center"/>
          </w:tcPr>
          <w:p w14:paraId="365926BD">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12</w:t>
            </w:r>
          </w:p>
        </w:tc>
        <w:tc>
          <w:tcPr>
            <w:tcW w:w="1590" w:type="dxa"/>
            <w:tcBorders>
              <w:top w:val="nil"/>
              <w:left w:val="nil"/>
              <w:bottom w:val="single" w:color="auto" w:sz="8" w:space="0"/>
              <w:right w:val="single" w:color="auto" w:sz="8" w:space="0"/>
            </w:tcBorders>
            <w:noWrap w:val="0"/>
            <w:tcMar>
              <w:top w:w="0" w:type="dxa"/>
              <w:left w:w="105" w:type="dxa"/>
              <w:bottom w:w="0" w:type="dxa"/>
              <w:right w:w="105" w:type="dxa"/>
            </w:tcMar>
            <w:vAlign w:val="center"/>
          </w:tcPr>
          <w:p w14:paraId="3ADBA467">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right"/>
              <w:textAlignment w:val="auto"/>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4001-7</w:t>
            </w:r>
          </w:p>
        </w:tc>
        <w:tc>
          <w:tcPr>
            <w:tcW w:w="6481" w:type="dxa"/>
            <w:tcBorders>
              <w:top w:val="nil"/>
              <w:left w:val="nil"/>
              <w:bottom w:val="single" w:color="auto" w:sz="8" w:space="0"/>
              <w:right w:val="nil"/>
            </w:tcBorders>
            <w:noWrap w:val="0"/>
            <w:tcMar>
              <w:top w:w="0" w:type="dxa"/>
              <w:left w:w="105" w:type="dxa"/>
              <w:bottom w:w="0" w:type="dxa"/>
              <w:right w:w="105" w:type="dxa"/>
            </w:tcMar>
            <w:vAlign w:val="bottom"/>
          </w:tcPr>
          <w:p w14:paraId="67EED3BF">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right"/>
              <w:textAlignment w:val="auto"/>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设备残值收入</w:t>
            </w:r>
          </w:p>
        </w:tc>
      </w:tr>
      <w:tr w14:paraId="2A47A55E">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510" w:hRule="atLeast"/>
          <w:jc w:val="center"/>
        </w:trPr>
        <w:tc>
          <w:tcPr>
            <w:tcW w:w="984" w:type="dxa"/>
            <w:tcBorders>
              <w:top w:val="nil"/>
              <w:left w:val="nil"/>
              <w:bottom w:val="single" w:color="auto" w:sz="8" w:space="0"/>
              <w:right w:val="single" w:color="auto" w:sz="8" w:space="0"/>
            </w:tcBorders>
            <w:noWrap w:val="0"/>
            <w:tcMar>
              <w:top w:w="0" w:type="dxa"/>
              <w:left w:w="105" w:type="dxa"/>
              <w:bottom w:w="0" w:type="dxa"/>
              <w:right w:w="105" w:type="dxa"/>
            </w:tcMar>
            <w:vAlign w:val="center"/>
          </w:tcPr>
          <w:p w14:paraId="7CBC02B3">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13</w:t>
            </w:r>
          </w:p>
        </w:tc>
        <w:tc>
          <w:tcPr>
            <w:tcW w:w="1590" w:type="dxa"/>
            <w:tcBorders>
              <w:top w:val="nil"/>
              <w:left w:val="nil"/>
              <w:bottom w:val="single" w:color="auto" w:sz="8" w:space="0"/>
              <w:right w:val="single" w:color="auto" w:sz="8" w:space="0"/>
            </w:tcBorders>
            <w:noWrap w:val="0"/>
            <w:tcMar>
              <w:top w:w="0" w:type="dxa"/>
              <w:left w:w="105" w:type="dxa"/>
              <w:bottom w:w="0" w:type="dxa"/>
              <w:right w:w="105" w:type="dxa"/>
            </w:tcMar>
            <w:vAlign w:val="center"/>
          </w:tcPr>
          <w:p w14:paraId="21306400">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right"/>
              <w:textAlignment w:val="auto"/>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4001-8</w:t>
            </w:r>
          </w:p>
        </w:tc>
        <w:tc>
          <w:tcPr>
            <w:tcW w:w="6481" w:type="dxa"/>
            <w:tcBorders>
              <w:top w:val="nil"/>
              <w:left w:val="nil"/>
              <w:bottom w:val="single" w:color="auto" w:sz="8" w:space="0"/>
              <w:right w:val="nil"/>
            </w:tcBorders>
            <w:noWrap w:val="0"/>
            <w:tcMar>
              <w:top w:w="0" w:type="dxa"/>
              <w:left w:w="105" w:type="dxa"/>
              <w:bottom w:w="0" w:type="dxa"/>
              <w:right w:w="105" w:type="dxa"/>
            </w:tcMar>
            <w:vAlign w:val="bottom"/>
          </w:tcPr>
          <w:p w14:paraId="2F059888">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right"/>
              <w:textAlignment w:val="auto"/>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其他收入</w:t>
            </w:r>
          </w:p>
        </w:tc>
      </w:tr>
      <w:tr w14:paraId="3B58A035">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510" w:hRule="atLeast"/>
          <w:jc w:val="center"/>
        </w:trPr>
        <w:tc>
          <w:tcPr>
            <w:tcW w:w="984" w:type="dxa"/>
            <w:tcBorders>
              <w:top w:val="nil"/>
              <w:left w:val="nil"/>
              <w:bottom w:val="single" w:color="auto" w:sz="8" w:space="0"/>
              <w:right w:val="single" w:color="auto" w:sz="8" w:space="0"/>
            </w:tcBorders>
            <w:noWrap w:val="0"/>
            <w:tcMar>
              <w:top w:w="0" w:type="dxa"/>
              <w:left w:w="105" w:type="dxa"/>
              <w:bottom w:w="0" w:type="dxa"/>
              <w:right w:w="105" w:type="dxa"/>
            </w:tcMar>
            <w:vAlign w:val="center"/>
          </w:tcPr>
          <w:p w14:paraId="102FD074">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14</w:t>
            </w:r>
          </w:p>
        </w:tc>
        <w:tc>
          <w:tcPr>
            <w:tcW w:w="1590" w:type="dxa"/>
            <w:tcBorders>
              <w:top w:val="nil"/>
              <w:left w:val="nil"/>
              <w:bottom w:val="single" w:color="auto" w:sz="8" w:space="0"/>
              <w:right w:val="single" w:color="auto" w:sz="8" w:space="0"/>
            </w:tcBorders>
            <w:noWrap w:val="0"/>
            <w:tcMar>
              <w:top w:w="0" w:type="dxa"/>
              <w:left w:w="105" w:type="dxa"/>
              <w:bottom w:w="0" w:type="dxa"/>
              <w:right w:w="105" w:type="dxa"/>
            </w:tcMar>
            <w:vAlign w:val="center"/>
          </w:tcPr>
          <w:p w14:paraId="1568C528">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right"/>
              <w:textAlignment w:val="auto"/>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4001-9</w:t>
            </w:r>
          </w:p>
        </w:tc>
        <w:tc>
          <w:tcPr>
            <w:tcW w:w="6481" w:type="dxa"/>
            <w:tcBorders>
              <w:top w:val="nil"/>
              <w:left w:val="nil"/>
              <w:bottom w:val="single" w:color="auto" w:sz="8" w:space="0"/>
              <w:right w:val="nil"/>
            </w:tcBorders>
            <w:noWrap w:val="0"/>
            <w:tcMar>
              <w:top w:w="0" w:type="dxa"/>
              <w:left w:w="105" w:type="dxa"/>
              <w:bottom w:w="0" w:type="dxa"/>
              <w:right w:w="105" w:type="dxa"/>
            </w:tcMar>
            <w:vAlign w:val="bottom"/>
          </w:tcPr>
          <w:p w14:paraId="25647258">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right"/>
              <w:textAlignment w:val="auto"/>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利息收入</w:t>
            </w:r>
          </w:p>
        </w:tc>
      </w:tr>
      <w:tr w14:paraId="162EF7CD">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90" w:hRule="atLeast"/>
          <w:jc w:val="center"/>
        </w:trPr>
        <w:tc>
          <w:tcPr>
            <w:tcW w:w="0" w:type="auto"/>
            <w:gridSpan w:val="3"/>
            <w:tcBorders>
              <w:top w:val="nil"/>
              <w:left w:val="nil"/>
              <w:bottom w:val="single" w:color="auto" w:sz="8" w:space="0"/>
              <w:right w:val="nil"/>
            </w:tcBorders>
            <w:noWrap w:val="0"/>
            <w:tcMar>
              <w:top w:w="0" w:type="dxa"/>
              <w:left w:w="105" w:type="dxa"/>
              <w:bottom w:w="0" w:type="dxa"/>
              <w:right w:w="105" w:type="dxa"/>
            </w:tcMar>
            <w:vAlign w:val="center"/>
          </w:tcPr>
          <w:p w14:paraId="4428E9DA">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五、成本类</w:t>
            </w:r>
          </w:p>
        </w:tc>
      </w:tr>
      <w:tr w14:paraId="4ABB609C">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510" w:hRule="atLeast"/>
          <w:jc w:val="center"/>
        </w:trPr>
        <w:tc>
          <w:tcPr>
            <w:tcW w:w="984" w:type="dxa"/>
            <w:tcBorders>
              <w:top w:val="nil"/>
              <w:left w:val="nil"/>
              <w:bottom w:val="single" w:color="auto" w:sz="8" w:space="0"/>
              <w:right w:val="single" w:color="auto" w:sz="8" w:space="0"/>
            </w:tcBorders>
            <w:noWrap w:val="0"/>
            <w:tcMar>
              <w:top w:w="0" w:type="dxa"/>
              <w:left w:w="105" w:type="dxa"/>
              <w:bottom w:w="0" w:type="dxa"/>
              <w:right w:w="105" w:type="dxa"/>
            </w:tcMar>
            <w:vAlign w:val="center"/>
          </w:tcPr>
          <w:p w14:paraId="7EB5E1DB">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15</w:t>
            </w:r>
          </w:p>
        </w:tc>
        <w:tc>
          <w:tcPr>
            <w:tcW w:w="1590" w:type="dxa"/>
            <w:tcBorders>
              <w:top w:val="single" w:color="auto" w:sz="8" w:space="0"/>
              <w:left w:val="nil"/>
              <w:bottom w:val="single" w:color="auto" w:sz="8" w:space="0"/>
              <w:right w:val="single" w:color="auto" w:sz="8" w:space="0"/>
            </w:tcBorders>
            <w:noWrap w:val="0"/>
            <w:tcMar>
              <w:top w:w="0" w:type="dxa"/>
              <w:left w:w="105" w:type="dxa"/>
              <w:bottom w:w="0" w:type="dxa"/>
              <w:right w:w="105" w:type="dxa"/>
            </w:tcMar>
            <w:vAlign w:val="center"/>
          </w:tcPr>
          <w:p w14:paraId="326F13FD">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5001</w:t>
            </w:r>
          </w:p>
        </w:tc>
        <w:tc>
          <w:tcPr>
            <w:tcW w:w="6481" w:type="dxa"/>
            <w:tcBorders>
              <w:top w:val="single" w:color="auto" w:sz="8" w:space="0"/>
              <w:left w:val="nil"/>
              <w:bottom w:val="single" w:color="auto" w:sz="8" w:space="0"/>
              <w:right w:val="nil"/>
            </w:tcBorders>
            <w:noWrap w:val="0"/>
            <w:tcMar>
              <w:top w:w="0" w:type="dxa"/>
              <w:left w:w="105" w:type="dxa"/>
              <w:bottom w:w="0" w:type="dxa"/>
              <w:right w:w="105" w:type="dxa"/>
            </w:tcMar>
            <w:vAlign w:val="bottom"/>
          </w:tcPr>
          <w:p w14:paraId="7509E8A2">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公共收益经营管理成本</w:t>
            </w:r>
          </w:p>
        </w:tc>
      </w:tr>
      <w:tr w14:paraId="39E03F12">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510" w:hRule="atLeast"/>
          <w:jc w:val="center"/>
        </w:trPr>
        <w:tc>
          <w:tcPr>
            <w:tcW w:w="984" w:type="dxa"/>
            <w:tcBorders>
              <w:top w:val="nil"/>
              <w:left w:val="nil"/>
              <w:bottom w:val="single" w:color="auto" w:sz="8" w:space="0"/>
              <w:right w:val="single" w:color="auto" w:sz="8" w:space="0"/>
            </w:tcBorders>
            <w:noWrap w:val="0"/>
            <w:tcMar>
              <w:top w:w="0" w:type="dxa"/>
              <w:left w:w="105" w:type="dxa"/>
              <w:bottom w:w="0" w:type="dxa"/>
              <w:right w:w="105" w:type="dxa"/>
            </w:tcMar>
            <w:vAlign w:val="center"/>
          </w:tcPr>
          <w:p w14:paraId="4E0670DA">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16</w:t>
            </w:r>
          </w:p>
        </w:tc>
        <w:tc>
          <w:tcPr>
            <w:tcW w:w="1590" w:type="dxa"/>
            <w:tcBorders>
              <w:top w:val="nil"/>
              <w:left w:val="nil"/>
              <w:bottom w:val="single" w:color="auto" w:sz="8" w:space="0"/>
              <w:right w:val="single" w:color="auto" w:sz="8" w:space="0"/>
            </w:tcBorders>
            <w:noWrap w:val="0"/>
            <w:tcMar>
              <w:top w:w="0" w:type="dxa"/>
              <w:left w:w="105" w:type="dxa"/>
              <w:bottom w:w="0" w:type="dxa"/>
              <w:right w:w="105" w:type="dxa"/>
            </w:tcMar>
            <w:vAlign w:val="center"/>
          </w:tcPr>
          <w:p w14:paraId="5E9B5B7E">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right"/>
              <w:textAlignment w:val="auto"/>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5001-1</w:t>
            </w:r>
          </w:p>
        </w:tc>
        <w:tc>
          <w:tcPr>
            <w:tcW w:w="6481" w:type="dxa"/>
            <w:tcBorders>
              <w:top w:val="nil"/>
              <w:left w:val="nil"/>
              <w:bottom w:val="single" w:color="auto" w:sz="8" w:space="0"/>
              <w:right w:val="nil"/>
            </w:tcBorders>
            <w:noWrap w:val="0"/>
            <w:tcMar>
              <w:top w:w="0" w:type="dxa"/>
              <w:left w:w="105" w:type="dxa"/>
              <w:bottom w:w="0" w:type="dxa"/>
              <w:right w:w="105" w:type="dxa"/>
            </w:tcMar>
            <w:vAlign w:val="bottom"/>
          </w:tcPr>
          <w:p w14:paraId="04F7C9BD">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right"/>
              <w:textAlignment w:val="auto"/>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物业服务人提取的合理成本</w:t>
            </w:r>
          </w:p>
        </w:tc>
      </w:tr>
      <w:tr w14:paraId="322183CB">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510" w:hRule="atLeast"/>
          <w:jc w:val="center"/>
        </w:trPr>
        <w:tc>
          <w:tcPr>
            <w:tcW w:w="984" w:type="dxa"/>
            <w:tcBorders>
              <w:top w:val="nil"/>
              <w:left w:val="nil"/>
              <w:bottom w:val="single" w:color="auto" w:sz="8" w:space="0"/>
              <w:right w:val="single" w:color="auto" w:sz="8" w:space="0"/>
            </w:tcBorders>
            <w:noWrap w:val="0"/>
            <w:tcMar>
              <w:top w:w="0" w:type="dxa"/>
              <w:left w:w="105" w:type="dxa"/>
              <w:bottom w:w="0" w:type="dxa"/>
              <w:right w:w="105" w:type="dxa"/>
            </w:tcMar>
            <w:vAlign w:val="center"/>
          </w:tcPr>
          <w:p w14:paraId="066E4F5D">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17</w:t>
            </w:r>
          </w:p>
        </w:tc>
        <w:tc>
          <w:tcPr>
            <w:tcW w:w="1590" w:type="dxa"/>
            <w:tcBorders>
              <w:top w:val="nil"/>
              <w:left w:val="nil"/>
              <w:bottom w:val="single" w:color="auto" w:sz="8" w:space="0"/>
              <w:right w:val="single" w:color="auto" w:sz="8" w:space="0"/>
            </w:tcBorders>
            <w:noWrap w:val="0"/>
            <w:tcMar>
              <w:top w:w="0" w:type="dxa"/>
              <w:left w:w="105" w:type="dxa"/>
              <w:bottom w:w="0" w:type="dxa"/>
              <w:right w:w="105" w:type="dxa"/>
            </w:tcMar>
            <w:vAlign w:val="center"/>
          </w:tcPr>
          <w:p w14:paraId="6EA57F59">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right"/>
              <w:textAlignment w:val="auto"/>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5001-2</w:t>
            </w:r>
          </w:p>
        </w:tc>
        <w:tc>
          <w:tcPr>
            <w:tcW w:w="6481" w:type="dxa"/>
            <w:tcBorders>
              <w:top w:val="nil"/>
              <w:left w:val="nil"/>
              <w:bottom w:val="single" w:color="auto" w:sz="8" w:space="0"/>
              <w:right w:val="nil"/>
            </w:tcBorders>
            <w:noWrap w:val="0"/>
            <w:tcMar>
              <w:top w:w="0" w:type="dxa"/>
              <w:left w:w="105" w:type="dxa"/>
              <w:bottom w:w="0" w:type="dxa"/>
              <w:right w:w="105" w:type="dxa"/>
            </w:tcMar>
            <w:vAlign w:val="bottom"/>
          </w:tcPr>
          <w:p w14:paraId="19438A48">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right"/>
              <w:textAlignment w:val="auto"/>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经营费用</w:t>
            </w:r>
          </w:p>
        </w:tc>
      </w:tr>
      <w:tr w14:paraId="6C663BCB">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510" w:hRule="atLeast"/>
          <w:jc w:val="center"/>
        </w:trPr>
        <w:tc>
          <w:tcPr>
            <w:tcW w:w="984" w:type="dxa"/>
            <w:tcBorders>
              <w:top w:val="nil"/>
              <w:left w:val="nil"/>
              <w:bottom w:val="single" w:color="auto" w:sz="8" w:space="0"/>
              <w:right w:val="single" w:color="auto" w:sz="8" w:space="0"/>
            </w:tcBorders>
            <w:noWrap w:val="0"/>
            <w:tcMar>
              <w:top w:w="0" w:type="dxa"/>
              <w:left w:w="105" w:type="dxa"/>
              <w:bottom w:w="0" w:type="dxa"/>
              <w:right w:w="105" w:type="dxa"/>
            </w:tcMar>
            <w:vAlign w:val="center"/>
          </w:tcPr>
          <w:p w14:paraId="2578B18F">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18</w:t>
            </w:r>
          </w:p>
        </w:tc>
        <w:tc>
          <w:tcPr>
            <w:tcW w:w="1590" w:type="dxa"/>
            <w:tcBorders>
              <w:top w:val="nil"/>
              <w:left w:val="nil"/>
              <w:bottom w:val="single" w:color="auto" w:sz="8" w:space="0"/>
              <w:right w:val="single" w:color="auto" w:sz="8" w:space="0"/>
            </w:tcBorders>
            <w:noWrap w:val="0"/>
            <w:tcMar>
              <w:top w:w="0" w:type="dxa"/>
              <w:left w:w="105" w:type="dxa"/>
              <w:bottom w:w="0" w:type="dxa"/>
              <w:right w:w="105" w:type="dxa"/>
            </w:tcMar>
            <w:vAlign w:val="center"/>
          </w:tcPr>
          <w:p w14:paraId="076CD25E">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right"/>
              <w:textAlignment w:val="auto"/>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5001-3</w:t>
            </w:r>
          </w:p>
        </w:tc>
        <w:tc>
          <w:tcPr>
            <w:tcW w:w="6481" w:type="dxa"/>
            <w:tcBorders>
              <w:top w:val="nil"/>
              <w:left w:val="nil"/>
              <w:bottom w:val="single" w:color="auto" w:sz="8" w:space="0"/>
              <w:right w:val="nil"/>
            </w:tcBorders>
            <w:noWrap w:val="0"/>
            <w:tcMar>
              <w:top w:w="0" w:type="dxa"/>
              <w:left w:w="105" w:type="dxa"/>
              <w:bottom w:w="0" w:type="dxa"/>
              <w:right w:w="105" w:type="dxa"/>
            </w:tcMar>
            <w:vAlign w:val="bottom"/>
          </w:tcPr>
          <w:p w14:paraId="77F431DD">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right"/>
              <w:textAlignment w:val="auto"/>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税费</w:t>
            </w:r>
          </w:p>
        </w:tc>
      </w:tr>
      <w:tr w14:paraId="69542052">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510" w:hRule="atLeast"/>
          <w:jc w:val="center"/>
        </w:trPr>
        <w:tc>
          <w:tcPr>
            <w:tcW w:w="0" w:type="auto"/>
            <w:gridSpan w:val="3"/>
            <w:tcBorders>
              <w:top w:val="nil"/>
              <w:left w:val="nil"/>
              <w:bottom w:val="single" w:color="auto" w:sz="8" w:space="0"/>
              <w:right w:val="nil"/>
            </w:tcBorders>
            <w:noWrap w:val="0"/>
            <w:tcMar>
              <w:top w:w="0" w:type="dxa"/>
              <w:left w:w="105" w:type="dxa"/>
              <w:bottom w:w="0" w:type="dxa"/>
              <w:right w:w="105" w:type="dxa"/>
            </w:tcMar>
            <w:vAlign w:val="center"/>
          </w:tcPr>
          <w:p w14:paraId="06BBF4D2">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eastAsia" w:ascii="Times New Roman" w:hAnsi="Times New Roman" w:eastAsia="方正仿宋_GBK" w:cs="方正仿宋_GBK"/>
                <w:sz w:val="32"/>
                <w:szCs w:val="32"/>
              </w:rPr>
            </w:pPr>
            <w:r>
              <w:rPr>
                <w:rStyle w:val="13"/>
                <w:rFonts w:hint="eastAsia" w:ascii="Times New Roman" w:hAnsi="Times New Roman" w:eastAsia="方正仿宋_GBK" w:cs="方正仿宋_GBK"/>
                <w:b/>
                <w:bCs/>
                <w:sz w:val="32"/>
                <w:szCs w:val="32"/>
              </w:rPr>
              <w:t>六、支出类</w:t>
            </w:r>
          </w:p>
        </w:tc>
      </w:tr>
      <w:tr w14:paraId="5D3CC3FD">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510" w:hRule="atLeast"/>
          <w:jc w:val="center"/>
        </w:trPr>
        <w:tc>
          <w:tcPr>
            <w:tcW w:w="984" w:type="dxa"/>
            <w:tcBorders>
              <w:top w:val="nil"/>
              <w:left w:val="nil"/>
              <w:bottom w:val="single" w:color="auto" w:sz="8" w:space="0"/>
              <w:right w:val="single" w:color="auto" w:sz="8" w:space="0"/>
            </w:tcBorders>
            <w:noWrap w:val="0"/>
            <w:tcMar>
              <w:top w:w="0" w:type="dxa"/>
              <w:left w:w="105" w:type="dxa"/>
              <w:bottom w:w="0" w:type="dxa"/>
              <w:right w:w="105" w:type="dxa"/>
            </w:tcMar>
            <w:vAlign w:val="center"/>
          </w:tcPr>
          <w:p w14:paraId="4B3F26C9">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19</w:t>
            </w:r>
          </w:p>
        </w:tc>
        <w:tc>
          <w:tcPr>
            <w:tcW w:w="1590" w:type="dxa"/>
            <w:tcBorders>
              <w:top w:val="nil"/>
              <w:left w:val="nil"/>
              <w:bottom w:val="single" w:color="auto" w:sz="8" w:space="0"/>
              <w:right w:val="single" w:color="auto" w:sz="8" w:space="0"/>
            </w:tcBorders>
            <w:noWrap w:val="0"/>
            <w:tcMar>
              <w:top w:w="0" w:type="dxa"/>
              <w:left w:w="105" w:type="dxa"/>
              <w:bottom w:w="0" w:type="dxa"/>
              <w:right w:w="105" w:type="dxa"/>
            </w:tcMar>
            <w:vAlign w:val="center"/>
          </w:tcPr>
          <w:p w14:paraId="31C346CB">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6001</w:t>
            </w:r>
          </w:p>
        </w:tc>
        <w:tc>
          <w:tcPr>
            <w:tcW w:w="6481" w:type="dxa"/>
            <w:tcBorders>
              <w:top w:val="nil"/>
              <w:left w:val="nil"/>
              <w:bottom w:val="single" w:color="auto" w:sz="8" w:space="0"/>
              <w:right w:val="nil"/>
            </w:tcBorders>
            <w:noWrap w:val="0"/>
            <w:tcMar>
              <w:top w:w="0" w:type="dxa"/>
              <w:left w:w="105" w:type="dxa"/>
              <w:bottom w:w="0" w:type="dxa"/>
              <w:right w:w="105" w:type="dxa"/>
            </w:tcMar>
            <w:vAlign w:val="bottom"/>
          </w:tcPr>
          <w:p w14:paraId="522C5B48">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both"/>
              <w:textAlignment w:val="auto"/>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公共收益支出</w:t>
            </w:r>
          </w:p>
        </w:tc>
      </w:tr>
      <w:tr w14:paraId="7B5D5A42">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510" w:hRule="atLeast"/>
          <w:jc w:val="center"/>
        </w:trPr>
        <w:tc>
          <w:tcPr>
            <w:tcW w:w="984" w:type="dxa"/>
            <w:tcBorders>
              <w:top w:val="nil"/>
              <w:left w:val="nil"/>
              <w:bottom w:val="single" w:color="auto" w:sz="8" w:space="0"/>
              <w:right w:val="single" w:color="auto" w:sz="8" w:space="0"/>
            </w:tcBorders>
            <w:noWrap w:val="0"/>
            <w:tcMar>
              <w:top w:w="0" w:type="dxa"/>
              <w:left w:w="105" w:type="dxa"/>
              <w:bottom w:w="0" w:type="dxa"/>
              <w:right w:w="105" w:type="dxa"/>
            </w:tcMar>
            <w:vAlign w:val="center"/>
          </w:tcPr>
          <w:p w14:paraId="0E8800B7">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20</w:t>
            </w:r>
          </w:p>
        </w:tc>
        <w:tc>
          <w:tcPr>
            <w:tcW w:w="1590" w:type="dxa"/>
            <w:tcBorders>
              <w:top w:val="nil"/>
              <w:left w:val="nil"/>
              <w:bottom w:val="single" w:color="auto" w:sz="8" w:space="0"/>
              <w:right w:val="single" w:color="auto" w:sz="8" w:space="0"/>
            </w:tcBorders>
            <w:noWrap w:val="0"/>
            <w:tcMar>
              <w:top w:w="0" w:type="dxa"/>
              <w:left w:w="105" w:type="dxa"/>
              <w:bottom w:w="0" w:type="dxa"/>
              <w:right w:w="105" w:type="dxa"/>
            </w:tcMar>
            <w:vAlign w:val="center"/>
          </w:tcPr>
          <w:p w14:paraId="4BFFF515">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right"/>
              <w:textAlignment w:val="auto"/>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6001-1</w:t>
            </w:r>
          </w:p>
        </w:tc>
        <w:tc>
          <w:tcPr>
            <w:tcW w:w="6481" w:type="dxa"/>
            <w:tcBorders>
              <w:top w:val="nil"/>
              <w:left w:val="nil"/>
              <w:bottom w:val="single" w:color="auto" w:sz="8" w:space="0"/>
              <w:right w:val="nil"/>
            </w:tcBorders>
            <w:noWrap w:val="0"/>
            <w:tcMar>
              <w:top w:w="0" w:type="dxa"/>
              <w:left w:w="105" w:type="dxa"/>
              <w:bottom w:w="0" w:type="dxa"/>
              <w:right w:w="105" w:type="dxa"/>
            </w:tcMar>
            <w:vAlign w:val="bottom"/>
          </w:tcPr>
          <w:p w14:paraId="23E29C98">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right"/>
              <w:textAlignment w:val="auto"/>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补充住宅专项维修资金</w:t>
            </w:r>
          </w:p>
        </w:tc>
      </w:tr>
      <w:tr w14:paraId="4E5B16E4">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510" w:hRule="atLeast"/>
          <w:jc w:val="center"/>
        </w:trPr>
        <w:tc>
          <w:tcPr>
            <w:tcW w:w="984" w:type="dxa"/>
            <w:tcBorders>
              <w:top w:val="nil"/>
              <w:left w:val="nil"/>
              <w:bottom w:val="single" w:color="auto" w:sz="8" w:space="0"/>
              <w:right w:val="single" w:color="auto" w:sz="8" w:space="0"/>
            </w:tcBorders>
            <w:noWrap w:val="0"/>
            <w:tcMar>
              <w:top w:w="0" w:type="dxa"/>
              <w:left w:w="105" w:type="dxa"/>
              <w:bottom w:w="0" w:type="dxa"/>
              <w:right w:w="105" w:type="dxa"/>
            </w:tcMar>
            <w:vAlign w:val="center"/>
          </w:tcPr>
          <w:p w14:paraId="7B190D78">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21</w:t>
            </w:r>
          </w:p>
        </w:tc>
        <w:tc>
          <w:tcPr>
            <w:tcW w:w="1590" w:type="dxa"/>
            <w:tcBorders>
              <w:top w:val="nil"/>
              <w:left w:val="nil"/>
              <w:bottom w:val="single" w:color="auto" w:sz="8" w:space="0"/>
              <w:right w:val="single" w:color="auto" w:sz="8" w:space="0"/>
            </w:tcBorders>
            <w:noWrap w:val="0"/>
            <w:tcMar>
              <w:top w:w="0" w:type="dxa"/>
              <w:left w:w="105" w:type="dxa"/>
              <w:bottom w:w="0" w:type="dxa"/>
              <w:right w:w="105" w:type="dxa"/>
            </w:tcMar>
            <w:vAlign w:val="center"/>
          </w:tcPr>
          <w:p w14:paraId="681A021D">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right"/>
              <w:textAlignment w:val="auto"/>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6001-2</w:t>
            </w:r>
          </w:p>
        </w:tc>
        <w:tc>
          <w:tcPr>
            <w:tcW w:w="6481" w:type="dxa"/>
            <w:tcBorders>
              <w:top w:val="nil"/>
              <w:left w:val="nil"/>
              <w:bottom w:val="single" w:color="auto" w:sz="8" w:space="0"/>
              <w:right w:val="nil"/>
            </w:tcBorders>
            <w:noWrap w:val="0"/>
            <w:tcMar>
              <w:top w:w="0" w:type="dxa"/>
              <w:left w:w="105" w:type="dxa"/>
              <w:bottom w:w="0" w:type="dxa"/>
              <w:right w:w="105" w:type="dxa"/>
            </w:tcMar>
            <w:vAlign w:val="bottom"/>
          </w:tcPr>
          <w:p w14:paraId="0A264F4A">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right"/>
              <w:textAlignment w:val="auto"/>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共有部位、共有设施设备的维修、更新与改造费用</w:t>
            </w:r>
          </w:p>
        </w:tc>
      </w:tr>
      <w:tr w14:paraId="0D483E8B">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510" w:hRule="atLeast"/>
          <w:jc w:val="center"/>
        </w:trPr>
        <w:tc>
          <w:tcPr>
            <w:tcW w:w="984" w:type="dxa"/>
            <w:tcBorders>
              <w:top w:val="nil"/>
              <w:left w:val="nil"/>
              <w:bottom w:val="single" w:color="auto" w:sz="8" w:space="0"/>
              <w:right w:val="single" w:color="auto" w:sz="8" w:space="0"/>
            </w:tcBorders>
            <w:noWrap w:val="0"/>
            <w:tcMar>
              <w:top w:w="0" w:type="dxa"/>
              <w:left w:w="105" w:type="dxa"/>
              <w:bottom w:w="0" w:type="dxa"/>
              <w:right w:w="105" w:type="dxa"/>
            </w:tcMar>
            <w:vAlign w:val="center"/>
          </w:tcPr>
          <w:p w14:paraId="6B4180A1">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22</w:t>
            </w:r>
          </w:p>
        </w:tc>
        <w:tc>
          <w:tcPr>
            <w:tcW w:w="1590" w:type="dxa"/>
            <w:tcBorders>
              <w:top w:val="nil"/>
              <w:left w:val="nil"/>
              <w:bottom w:val="single" w:color="auto" w:sz="8" w:space="0"/>
              <w:right w:val="single" w:color="auto" w:sz="8" w:space="0"/>
            </w:tcBorders>
            <w:noWrap w:val="0"/>
            <w:tcMar>
              <w:top w:w="0" w:type="dxa"/>
              <w:left w:w="105" w:type="dxa"/>
              <w:bottom w:w="0" w:type="dxa"/>
              <w:right w:w="105" w:type="dxa"/>
            </w:tcMar>
            <w:vAlign w:val="center"/>
          </w:tcPr>
          <w:p w14:paraId="36ED200F">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right"/>
              <w:textAlignment w:val="auto"/>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6001-3</w:t>
            </w:r>
          </w:p>
        </w:tc>
        <w:tc>
          <w:tcPr>
            <w:tcW w:w="6481" w:type="dxa"/>
            <w:tcBorders>
              <w:top w:val="nil"/>
              <w:left w:val="nil"/>
              <w:bottom w:val="single" w:color="auto" w:sz="8" w:space="0"/>
              <w:right w:val="nil"/>
            </w:tcBorders>
            <w:noWrap w:val="0"/>
            <w:tcMar>
              <w:top w:w="0" w:type="dxa"/>
              <w:left w:w="105" w:type="dxa"/>
              <w:bottom w:w="0" w:type="dxa"/>
              <w:right w:w="105" w:type="dxa"/>
            </w:tcMar>
            <w:vAlign w:val="bottom"/>
          </w:tcPr>
          <w:p w14:paraId="5879A757">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right"/>
              <w:textAlignment w:val="auto"/>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业主大会、业主委员会运作经费</w:t>
            </w:r>
          </w:p>
        </w:tc>
      </w:tr>
      <w:tr w14:paraId="2BF50F33">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510" w:hRule="atLeast"/>
          <w:jc w:val="center"/>
        </w:trPr>
        <w:tc>
          <w:tcPr>
            <w:tcW w:w="984" w:type="dxa"/>
            <w:tcBorders>
              <w:top w:val="nil"/>
              <w:left w:val="nil"/>
              <w:bottom w:val="single" w:color="auto" w:sz="8" w:space="0"/>
              <w:right w:val="single" w:color="auto" w:sz="8" w:space="0"/>
            </w:tcBorders>
            <w:noWrap w:val="0"/>
            <w:tcMar>
              <w:top w:w="0" w:type="dxa"/>
              <w:left w:w="105" w:type="dxa"/>
              <w:bottom w:w="0" w:type="dxa"/>
              <w:right w:w="105" w:type="dxa"/>
            </w:tcMar>
            <w:vAlign w:val="center"/>
          </w:tcPr>
          <w:p w14:paraId="6E31D326">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23</w:t>
            </w:r>
          </w:p>
        </w:tc>
        <w:tc>
          <w:tcPr>
            <w:tcW w:w="1590" w:type="dxa"/>
            <w:tcBorders>
              <w:top w:val="nil"/>
              <w:left w:val="nil"/>
              <w:bottom w:val="single" w:color="auto" w:sz="8" w:space="0"/>
              <w:right w:val="single" w:color="auto" w:sz="8" w:space="0"/>
            </w:tcBorders>
            <w:noWrap w:val="0"/>
            <w:tcMar>
              <w:top w:w="0" w:type="dxa"/>
              <w:left w:w="105" w:type="dxa"/>
              <w:bottom w:w="0" w:type="dxa"/>
              <w:right w:w="105" w:type="dxa"/>
            </w:tcMar>
            <w:vAlign w:val="center"/>
          </w:tcPr>
          <w:p w14:paraId="5270723D">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right"/>
              <w:textAlignment w:val="auto"/>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6001-4</w:t>
            </w:r>
          </w:p>
        </w:tc>
        <w:tc>
          <w:tcPr>
            <w:tcW w:w="6481" w:type="dxa"/>
            <w:tcBorders>
              <w:top w:val="nil"/>
              <w:left w:val="nil"/>
              <w:bottom w:val="single" w:color="auto" w:sz="8" w:space="0"/>
              <w:right w:val="nil"/>
            </w:tcBorders>
            <w:noWrap w:val="0"/>
            <w:tcMar>
              <w:top w:w="0" w:type="dxa"/>
              <w:left w:w="105" w:type="dxa"/>
              <w:bottom w:w="0" w:type="dxa"/>
              <w:right w:w="105" w:type="dxa"/>
            </w:tcMar>
            <w:vAlign w:val="bottom"/>
          </w:tcPr>
          <w:p w14:paraId="560AA42B">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right"/>
              <w:textAlignment w:val="auto"/>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人员报酬</w:t>
            </w:r>
          </w:p>
        </w:tc>
      </w:tr>
      <w:tr w14:paraId="5938F4D5">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510" w:hRule="atLeast"/>
          <w:jc w:val="center"/>
        </w:trPr>
        <w:tc>
          <w:tcPr>
            <w:tcW w:w="984" w:type="dxa"/>
            <w:tcBorders>
              <w:top w:val="nil"/>
              <w:left w:val="nil"/>
              <w:bottom w:val="single" w:color="auto" w:sz="8" w:space="0"/>
              <w:right w:val="single" w:color="auto" w:sz="8" w:space="0"/>
            </w:tcBorders>
            <w:noWrap w:val="0"/>
            <w:tcMar>
              <w:top w:w="0" w:type="dxa"/>
              <w:left w:w="105" w:type="dxa"/>
              <w:bottom w:w="0" w:type="dxa"/>
              <w:right w:w="105" w:type="dxa"/>
            </w:tcMar>
            <w:vAlign w:val="center"/>
          </w:tcPr>
          <w:p w14:paraId="21EB3085">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24</w:t>
            </w:r>
          </w:p>
        </w:tc>
        <w:tc>
          <w:tcPr>
            <w:tcW w:w="1590" w:type="dxa"/>
            <w:tcBorders>
              <w:top w:val="nil"/>
              <w:left w:val="nil"/>
              <w:bottom w:val="single" w:color="auto" w:sz="8" w:space="0"/>
              <w:right w:val="single" w:color="auto" w:sz="8" w:space="0"/>
            </w:tcBorders>
            <w:noWrap w:val="0"/>
            <w:tcMar>
              <w:top w:w="0" w:type="dxa"/>
              <w:left w:w="105" w:type="dxa"/>
              <w:bottom w:w="0" w:type="dxa"/>
              <w:right w:w="105" w:type="dxa"/>
            </w:tcMar>
            <w:vAlign w:val="center"/>
          </w:tcPr>
          <w:p w14:paraId="1E475A82">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right"/>
              <w:textAlignment w:val="auto"/>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6001-5</w:t>
            </w:r>
          </w:p>
        </w:tc>
        <w:tc>
          <w:tcPr>
            <w:tcW w:w="6481" w:type="dxa"/>
            <w:tcBorders>
              <w:top w:val="nil"/>
              <w:left w:val="nil"/>
              <w:bottom w:val="single" w:color="auto" w:sz="8" w:space="0"/>
              <w:right w:val="nil"/>
            </w:tcBorders>
            <w:noWrap w:val="0"/>
            <w:tcMar>
              <w:top w:w="0" w:type="dxa"/>
              <w:left w:w="105" w:type="dxa"/>
              <w:bottom w:w="0" w:type="dxa"/>
              <w:right w:w="105" w:type="dxa"/>
            </w:tcMar>
            <w:vAlign w:val="bottom"/>
          </w:tcPr>
          <w:p w14:paraId="7EC9BC02">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right"/>
              <w:textAlignment w:val="auto"/>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第三方委托费用</w:t>
            </w:r>
          </w:p>
        </w:tc>
      </w:tr>
      <w:tr w14:paraId="7155CDF2">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510" w:hRule="atLeast"/>
          <w:jc w:val="center"/>
        </w:trPr>
        <w:tc>
          <w:tcPr>
            <w:tcW w:w="984" w:type="dxa"/>
            <w:tcBorders>
              <w:top w:val="nil"/>
              <w:left w:val="nil"/>
              <w:bottom w:val="single" w:color="auto" w:sz="8" w:space="0"/>
              <w:right w:val="single" w:color="auto" w:sz="8" w:space="0"/>
            </w:tcBorders>
            <w:noWrap w:val="0"/>
            <w:tcMar>
              <w:top w:w="0" w:type="dxa"/>
              <w:left w:w="105" w:type="dxa"/>
              <w:bottom w:w="0" w:type="dxa"/>
              <w:right w:w="105" w:type="dxa"/>
            </w:tcMar>
            <w:vAlign w:val="center"/>
          </w:tcPr>
          <w:p w14:paraId="57F1C9F0">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25</w:t>
            </w:r>
          </w:p>
        </w:tc>
        <w:tc>
          <w:tcPr>
            <w:tcW w:w="1590" w:type="dxa"/>
            <w:tcBorders>
              <w:top w:val="nil"/>
              <w:left w:val="nil"/>
              <w:bottom w:val="single" w:color="auto" w:sz="8" w:space="0"/>
              <w:right w:val="single" w:color="auto" w:sz="8" w:space="0"/>
            </w:tcBorders>
            <w:noWrap w:val="0"/>
            <w:tcMar>
              <w:top w:w="0" w:type="dxa"/>
              <w:left w:w="105" w:type="dxa"/>
              <w:bottom w:w="0" w:type="dxa"/>
              <w:right w:w="105" w:type="dxa"/>
            </w:tcMar>
            <w:vAlign w:val="center"/>
          </w:tcPr>
          <w:p w14:paraId="4BAE2116">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right"/>
              <w:textAlignment w:val="auto"/>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6001-6</w:t>
            </w:r>
          </w:p>
        </w:tc>
        <w:tc>
          <w:tcPr>
            <w:tcW w:w="6481" w:type="dxa"/>
            <w:tcBorders>
              <w:top w:val="nil"/>
              <w:left w:val="nil"/>
              <w:bottom w:val="single" w:color="auto" w:sz="8" w:space="0"/>
              <w:right w:val="nil"/>
            </w:tcBorders>
            <w:noWrap w:val="0"/>
            <w:tcMar>
              <w:top w:w="0" w:type="dxa"/>
              <w:left w:w="105" w:type="dxa"/>
              <w:bottom w:w="0" w:type="dxa"/>
              <w:right w:w="105" w:type="dxa"/>
            </w:tcMar>
            <w:vAlign w:val="bottom"/>
          </w:tcPr>
          <w:p w14:paraId="50424C19">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right"/>
              <w:textAlignment w:val="auto"/>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房屋保险、体检费用</w:t>
            </w:r>
          </w:p>
        </w:tc>
      </w:tr>
      <w:tr w14:paraId="2BEBCCF8">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510" w:hRule="atLeast"/>
          <w:jc w:val="center"/>
        </w:trPr>
        <w:tc>
          <w:tcPr>
            <w:tcW w:w="984" w:type="dxa"/>
            <w:tcBorders>
              <w:top w:val="nil"/>
              <w:left w:val="nil"/>
              <w:bottom w:val="single" w:color="auto" w:sz="8" w:space="0"/>
              <w:right w:val="single" w:color="auto" w:sz="8" w:space="0"/>
            </w:tcBorders>
            <w:noWrap w:val="0"/>
            <w:tcMar>
              <w:top w:w="0" w:type="dxa"/>
              <w:left w:w="105" w:type="dxa"/>
              <w:bottom w:w="0" w:type="dxa"/>
              <w:right w:w="105" w:type="dxa"/>
            </w:tcMar>
            <w:vAlign w:val="center"/>
          </w:tcPr>
          <w:p w14:paraId="20E3A36D">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26</w:t>
            </w:r>
          </w:p>
        </w:tc>
        <w:tc>
          <w:tcPr>
            <w:tcW w:w="1590" w:type="dxa"/>
            <w:tcBorders>
              <w:top w:val="nil"/>
              <w:left w:val="nil"/>
              <w:bottom w:val="single" w:color="auto" w:sz="8" w:space="0"/>
              <w:right w:val="single" w:color="auto" w:sz="8" w:space="0"/>
            </w:tcBorders>
            <w:noWrap w:val="0"/>
            <w:tcMar>
              <w:top w:w="0" w:type="dxa"/>
              <w:left w:w="105" w:type="dxa"/>
              <w:bottom w:w="0" w:type="dxa"/>
              <w:right w:w="105" w:type="dxa"/>
            </w:tcMar>
            <w:vAlign w:val="center"/>
          </w:tcPr>
          <w:p w14:paraId="300F4EEF">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right"/>
              <w:textAlignment w:val="auto"/>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6001-7</w:t>
            </w:r>
          </w:p>
        </w:tc>
        <w:tc>
          <w:tcPr>
            <w:tcW w:w="6481" w:type="dxa"/>
            <w:tcBorders>
              <w:top w:val="nil"/>
              <w:left w:val="nil"/>
              <w:bottom w:val="single" w:color="auto" w:sz="8" w:space="0"/>
              <w:right w:val="nil"/>
            </w:tcBorders>
            <w:noWrap w:val="0"/>
            <w:tcMar>
              <w:top w:w="0" w:type="dxa"/>
              <w:left w:w="105" w:type="dxa"/>
              <w:bottom w:w="0" w:type="dxa"/>
              <w:right w:w="105" w:type="dxa"/>
            </w:tcMar>
            <w:vAlign w:val="bottom"/>
          </w:tcPr>
          <w:p w14:paraId="5F7252FE">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right"/>
              <w:textAlignment w:val="auto"/>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设施设备增设费用</w:t>
            </w:r>
          </w:p>
        </w:tc>
      </w:tr>
      <w:tr w14:paraId="216C697B">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510" w:hRule="atLeast"/>
          <w:jc w:val="center"/>
        </w:trPr>
        <w:tc>
          <w:tcPr>
            <w:tcW w:w="984" w:type="dxa"/>
            <w:tcBorders>
              <w:top w:val="nil"/>
              <w:left w:val="nil"/>
              <w:bottom w:val="single" w:color="auto" w:sz="8" w:space="0"/>
              <w:right w:val="single" w:color="auto" w:sz="8" w:space="0"/>
            </w:tcBorders>
            <w:noWrap w:val="0"/>
            <w:tcMar>
              <w:top w:w="0" w:type="dxa"/>
              <w:left w:w="105" w:type="dxa"/>
              <w:bottom w:w="0" w:type="dxa"/>
              <w:right w:w="105" w:type="dxa"/>
            </w:tcMar>
            <w:vAlign w:val="center"/>
          </w:tcPr>
          <w:p w14:paraId="63FDDC6B">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27</w:t>
            </w:r>
          </w:p>
        </w:tc>
        <w:tc>
          <w:tcPr>
            <w:tcW w:w="1590" w:type="dxa"/>
            <w:tcBorders>
              <w:top w:val="nil"/>
              <w:left w:val="nil"/>
              <w:bottom w:val="single" w:color="auto" w:sz="8" w:space="0"/>
              <w:right w:val="single" w:color="auto" w:sz="8" w:space="0"/>
            </w:tcBorders>
            <w:noWrap w:val="0"/>
            <w:tcMar>
              <w:top w:w="0" w:type="dxa"/>
              <w:left w:w="105" w:type="dxa"/>
              <w:bottom w:w="0" w:type="dxa"/>
              <w:right w:w="105" w:type="dxa"/>
            </w:tcMar>
            <w:vAlign w:val="center"/>
          </w:tcPr>
          <w:p w14:paraId="5A51563F">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right"/>
              <w:textAlignment w:val="auto"/>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6001-8</w:t>
            </w:r>
          </w:p>
        </w:tc>
        <w:tc>
          <w:tcPr>
            <w:tcW w:w="6481" w:type="dxa"/>
            <w:tcBorders>
              <w:top w:val="nil"/>
              <w:left w:val="nil"/>
              <w:bottom w:val="single" w:color="auto" w:sz="8" w:space="0"/>
              <w:right w:val="nil"/>
            </w:tcBorders>
            <w:noWrap w:val="0"/>
            <w:tcMar>
              <w:top w:w="0" w:type="dxa"/>
              <w:left w:w="105" w:type="dxa"/>
              <w:bottom w:w="0" w:type="dxa"/>
              <w:right w:w="105" w:type="dxa"/>
            </w:tcMar>
            <w:vAlign w:val="bottom"/>
          </w:tcPr>
          <w:p w14:paraId="0C9EE66A">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right"/>
              <w:textAlignment w:val="auto"/>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抵扣物业费、水电公摊费用</w:t>
            </w:r>
          </w:p>
        </w:tc>
      </w:tr>
      <w:tr w14:paraId="62095FAF">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510" w:hRule="atLeast"/>
          <w:jc w:val="center"/>
        </w:trPr>
        <w:tc>
          <w:tcPr>
            <w:tcW w:w="984" w:type="dxa"/>
            <w:tcBorders>
              <w:top w:val="nil"/>
              <w:left w:val="nil"/>
              <w:bottom w:val="single" w:color="auto" w:sz="8" w:space="0"/>
              <w:right w:val="single" w:color="auto" w:sz="8" w:space="0"/>
            </w:tcBorders>
            <w:noWrap w:val="0"/>
            <w:tcMar>
              <w:top w:w="0" w:type="dxa"/>
              <w:left w:w="105" w:type="dxa"/>
              <w:bottom w:w="0" w:type="dxa"/>
              <w:right w:w="105" w:type="dxa"/>
            </w:tcMar>
            <w:vAlign w:val="center"/>
          </w:tcPr>
          <w:p w14:paraId="04847607">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28</w:t>
            </w:r>
          </w:p>
        </w:tc>
        <w:tc>
          <w:tcPr>
            <w:tcW w:w="1590" w:type="dxa"/>
            <w:tcBorders>
              <w:top w:val="nil"/>
              <w:left w:val="nil"/>
              <w:bottom w:val="single" w:color="auto" w:sz="8" w:space="0"/>
              <w:right w:val="single" w:color="auto" w:sz="8" w:space="0"/>
            </w:tcBorders>
            <w:noWrap w:val="0"/>
            <w:tcMar>
              <w:top w:w="0" w:type="dxa"/>
              <w:left w:w="105" w:type="dxa"/>
              <w:bottom w:w="0" w:type="dxa"/>
              <w:right w:w="105" w:type="dxa"/>
            </w:tcMar>
            <w:vAlign w:val="center"/>
          </w:tcPr>
          <w:p w14:paraId="4A24F013">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right"/>
              <w:textAlignment w:val="auto"/>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6001-9</w:t>
            </w:r>
          </w:p>
        </w:tc>
        <w:tc>
          <w:tcPr>
            <w:tcW w:w="6481" w:type="dxa"/>
            <w:tcBorders>
              <w:top w:val="nil"/>
              <w:left w:val="nil"/>
              <w:bottom w:val="single" w:color="auto" w:sz="8" w:space="0"/>
              <w:right w:val="nil"/>
            </w:tcBorders>
            <w:noWrap w:val="0"/>
            <w:tcMar>
              <w:top w:w="0" w:type="dxa"/>
              <w:left w:w="105" w:type="dxa"/>
              <w:bottom w:w="0" w:type="dxa"/>
              <w:right w:w="105" w:type="dxa"/>
            </w:tcMar>
            <w:vAlign w:val="bottom"/>
          </w:tcPr>
          <w:p w14:paraId="02F50146">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right"/>
              <w:textAlignment w:val="auto"/>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其他支出</w:t>
            </w:r>
          </w:p>
        </w:tc>
      </w:tr>
    </w:tbl>
    <w:p w14:paraId="6069397D">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0"/>
        <w:jc w:val="center"/>
        <w:textAlignment w:val="auto"/>
        <w:rPr>
          <w:rFonts w:hint="eastAsia" w:ascii="Times New Roman" w:hAnsi="Times New Roman" w:eastAsia="方正黑体_GBK" w:cs="方正黑体_GBK"/>
          <w:i w:val="0"/>
          <w:iCs w:val="0"/>
          <w:caps w:val="0"/>
          <w:color w:val="333333"/>
          <w:spacing w:val="0"/>
          <w:sz w:val="32"/>
          <w:szCs w:val="32"/>
        </w:rPr>
      </w:pPr>
      <w:r>
        <w:rPr>
          <w:rFonts w:hint="eastAsia" w:ascii="Times New Roman" w:hAnsi="Times New Roman" w:eastAsia="方正黑体_GBK" w:cs="方正黑体_GBK"/>
          <w:i w:val="0"/>
          <w:iCs w:val="0"/>
          <w:caps w:val="0"/>
          <w:color w:val="333333"/>
          <w:spacing w:val="0"/>
          <w:sz w:val="32"/>
          <w:szCs w:val="32"/>
        </w:rPr>
        <w:t>第三部分</w:t>
      </w:r>
      <w:r>
        <w:rPr>
          <w:rFonts w:hint="eastAsia" w:ascii="Times New Roman" w:hAnsi="Times New Roman" w:eastAsia="方正黑体_GBK" w:cs="方正黑体_GBK"/>
          <w:i w:val="0"/>
          <w:iCs w:val="0"/>
          <w:caps w:val="0"/>
          <w:color w:val="333333"/>
          <w:spacing w:val="0"/>
          <w:sz w:val="32"/>
          <w:szCs w:val="32"/>
          <w:lang w:val="en-US" w:eastAsia="zh-CN"/>
        </w:rPr>
        <w:t xml:space="preserve">  </w:t>
      </w:r>
      <w:r>
        <w:rPr>
          <w:rFonts w:hint="eastAsia" w:ascii="Times New Roman" w:hAnsi="Times New Roman" w:eastAsia="方正黑体_GBK" w:cs="方正黑体_GBK"/>
          <w:i w:val="0"/>
          <w:iCs w:val="0"/>
          <w:caps w:val="0"/>
          <w:color w:val="333333"/>
          <w:spacing w:val="0"/>
          <w:sz w:val="32"/>
          <w:szCs w:val="32"/>
        </w:rPr>
        <w:t>会计科目入账说明</w:t>
      </w:r>
    </w:p>
    <w:p w14:paraId="0DF08F35">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36"/>
        <w:jc w:val="both"/>
        <w:textAlignment w:val="auto"/>
        <w:rPr>
          <w:rFonts w:hint="eastAsia" w:ascii="Times New Roman" w:hAnsi="Times New Roman" w:eastAsia="方正黑体_GBK" w:cs="方正黑体_GBK"/>
          <w:i w:val="0"/>
          <w:iCs w:val="0"/>
          <w:caps w:val="0"/>
          <w:color w:val="333333"/>
          <w:spacing w:val="0"/>
          <w:sz w:val="32"/>
          <w:szCs w:val="32"/>
        </w:rPr>
      </w:pPr>
      <w:r>
        <w:rPr>
          <w:rFonts w:hint="eastAsia" w:ascii="Times New Roman" w:hAnsi="Times New Roman" w:eastAsia="方正黑体_GBK" w:cs="方正黑体_GBK"/>
          <w:b w:val="0"/>
          <w:bCs w:val="0"/>
          <w:i w:val="0"/>
          <w:iCs w:val="0"/>
          <w:caps w:val="0"/>
          <w:color w:val="333333"/>
          <w:spacing w:val="0"/>
          <w:sz w:val="32"/>
          <w:szCs w:val="32"/>
        </w:rPr>
        <w:t>一、资产类</w:t>
      </w:r>
    </w:p>
    <w:p w14:paraId="4F54CA78">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36"/>
        <w:jc w:val="both"/>
        <w:textAlignment w:val="auto"/>
        <w:rPr>
          <w:rFonts w:hint="eastAsia" w:ascii="Times New Roman" w:hAnsi="Times New Roman" w:eastAsia="方正仿宋_GBK" w:cs="方正仿宋_GBK"/>
          <w:i w:val="0"/>
          <w:iCs w:val="0"/>
          <w:caps w:val="0"/>
          <w:color w:val="333333"/>
          <w:spacing w:val="0"/>
          <w:sz w:val="32"/>
          <w:szCs w:val="32"/>
        </w:rPr>
      </w:pPr>
      <w:r>
        <w:rPr>
          <w:rFonts w:hint="eastAsia" w:ascii="Times New Roman" w:hAnsi="Times New Roman" w:eastAsia="方正仿宋_GBK" w:cs="方正仿宋_GBK"/>
          <w:i w:val="0"/>
          <w:iCs w:val="0"/>
          <w:caps w:val="0"/>
          <w:color w:val="333333"/>
          <w:spacing w:val="0"/>
          <w:sz w:val="32"/>
          <w:szCs w:val="32"/>
        </w:rPr>
        <w:t>1001.现金 本科目核算公共收益现金的各种收入和支出，应当设置“现金日记账”，根据收付款凭证，按照业务发生顺序逐笔登记。每日终了，应当计算当日的现金收入合计额、现金支出合计额和结余额，将结余额与实际库存额核对。</w:t>
      </w:r>
    </w:p>
    <w:p w14:paraId="562D3B37">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36"/>
        <w:jc w:val="both"/>
        <w:textAlignment w:val="auto"/>
        <w:rPr>
          <w:rFonts w:hint="eastAsia" w:ascii="Times New Roman" w:hAnsi="Times New Roman" w:eastAsia="方正仿宋_GBK" w:cs="方正仿宋_GBK"/>
          <w:i w:val="0"/>
          <w:iCs w:val="0"/>
          <w:caps w:val="0"/>
          <w:color w:val="333333"/>
          <w:spacing w:val="0"/>
          <w:sz w:val="32"/>
          <w:szCs w:val="32"/>
        </w:rPr>
      </w:pPr>
      <w:r>
        <w:rPr>
          <w:rFonts w:hint="eastAsia" w:ascii="Times New Roman" w:hAnsi="Times New Roman" w:eastAsia="方正仿宋_GBK" w:cs="方正仿宋_GBK"/>
          <w:i w:val="0"/>
          <w:iCs w:val="0"/>
          <w:caps w:val="0"/>
          <w:color w:val="333333"/>
          <w:spacing w:val="0"/>
          <w:sz w:val="32"/>
          <w:szCs w:val="32"/>
        </w:rPr>
        <w:t>1002.银行存款 本科目核算公共收益账户银行存款的各种收入和支出，应当按照开户银行、存款种类等，分别设置“银行存款日记账”，由出纳人员根据收付款凭证，按照业务的发生顺序逐笔登记，每季度终了应结出余额。</w:t>
      </w:r>
    </w:p>
    <w:p w14:paraId="30B65CCA">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eastAsia" w:ascii="Times New Roman" w:hAnsi="Times New Roman" w:eastAsia="方正黑体_GBK" w:cs="方正黑体_GBK"/>
          <w:i w:val="0"/>
          <w:iCs w:val="0"/>
          <w:caps w:val="0"/>
          <w:color w:val="333333"/>
          <w:spacing w:val="0"/>
          <w:sz w:val="32"/>
          <w:szCs w:val="32"/>
        </w:rPr>
      </w:pPr>
      <w:r>
        <w:rPr>
          <w:rFonts w:hint="eastAsia" w:ascii="Times New Roman" w:hAnsi="Times New Roman" w:eastAsia="方正黑体_GBK" w:cs="方正黑体_GBK"/>
          <w:i w:val="0"/>
          <w:iCs w:val="0"/>
          <w:caps w:val="0"/>
          <w:color w:val="333333"/>
          <w:spacing w:val="0"/>
          <w:sz w:val="32"/>
          <w:szCs w:val="32"/>
        </w:rPr>
        <w:t>二、负债类</w:t>
      </w:r>
    </w:p>
    <w:p w14:paraId="4DB7800E">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36"/>
        <w:jc w:val="both"/>
        <w:textAlignment w:val="auto"/>
        <w:rPr>
          <w:rFonts w:hint="eastAsia" w:ascii="Times New Roman" w:hAnsi="Times New Roman" w:eastAsia="方正仿宋_GBK" w:cs="方正仿宋_GBK"/>
          <w:i w:val="0"/>
          <w:iCs w:val="0"/>
          <w:caps w:val="0"/>
          <w:color w:val="333333"/>
          <w:spacing w:val="0"/>
          <w:sz w:val="32"/>
          <w:szCs w:val="32"/>
        </w:rPr>
      </w:pPr>
      <w:r>
        <w:rPr>
          <w:rFonts w:hint="eastAsia" w:ascii="Times New Roman" w:hAnsi="Times New Roman" w:eastAsia="方正仿宋_GBK" w:cs="方正仿宋_GBK"/>
          <w:i w:val="0"/>
          <w:iCs w:val="0"/>
          <w:caps w:val="0"/>
          <w:color w:val="333333"/>
          <w:spacing w:val="0"/>
          <w:sz w:val="32"/>
          <w:szCs w:val="32"/>
        </w:rPr>
        <w:t>2001.其他应付款 本科目核算的是指与公共收益账户暂收其他单位或个人的款项，如应付租入固定资产和包装物的租金、存入保证金等。</w:t>
      </w:r>
    </w:p>
    <w:p w14:paraId="4A0B4C91">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eastAsia" w:ascii="Times New Roman" w:hAnsi="Times New Roman" w:eastAsia="方正黑体_GBK" w:cs="方正黑体_GBK"/>
          <w:i w:val="0"/>
          <w:iCs w:val="0"/>
          <w:caps w:val="0"/>
          <w:color w:val="333333"/>
          <w:spacing w:val="0"/>
          <w:sz w:val="32"/>
          <w:szCs w:val="32"/>
        </w:rPr>
      </w:pPr>
      <w:r>
        <w:rPr>
          <w:rFonts w:hint="eastAsia" w:ascii="Times New Roman" w:hAnsi="Times New Roman" w:eastAsia="方正黑体_GBK" w:cs="方正黑体_GBK"/>
          <w:i w:val="0"/>
          <w:iCs w:val="0"/>
          <w:caps w:val="0"/>
          <w:color w:val="333333"/>
          <w:spacing w:val="0"/>
          <w:sz w:val="32"/>
          <w:szCs w:val="32"/>
        </w:rPr>
        <w:t>三、净资产类</w:t>
      </w:r>
    </w:p>
    <w:p w14:paraId="7A63889B">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36"/>
        <w:jc w:val="both"/>
        <w:textAlignment w:val="auto"/>
        <w:rPr>
          <w:rFonts w:hint="eastAsia" w:ascii="Times New Roman" w:hAnsi="Times New Roman" w:eastAsia="方正仿宋_GBK" w:cs="方正仿宋_GBK"/>
          <w:i w:val="0"/>
          <w:iCs w:val="0"/>
          <w:caps w:val="0"/>
          <w:color w:val="333333"/>
          <w:spacing w:val="0"/>
          <w:sz w:val="32"/>
          <w:szCs w:val="32"/>
        </w:rPr>
      </w:pPr>
      <w:r>
        <w:rPr>
          <w:rFonts w:hint="eastAsia" w:ascii="Times New Roman" w:hAnsi="Times New Roman" w:eastAsia="方正仿宋_GBK" w:cs="方正仿宋_GBK"/>
          <w:i w:val="0"/>
          <w:iCs w:val="0"/>
          <w:caps w:val="0"/>
          <w:color w:val="333333"/>
          <w:spacing w:val="0"/>
          <w:sz w:val="32"/>
          <w:szCs w:val="32"/>
        </w:rPr>
        <w:t>3001.累计结余 本科目是</w:t>
      </w:r>
      <w:r>
        <w:rPr>
          <w:rFonts w:hint="eastAsia" w:ascii="Times New Roman" w:hAnsi="Times New Roman" w:eastAsia="方正仿宋_GBK" w:cs="方正仿宋_GBK"/>
          <w:i w:val="0"/>
          <w:iCs w:val="0"/>
          <w:caps w:val="0"/>
          <w:color w:val="333333"/>
          <w:spacing w:val="0"/>
          <w:sz w:val="32"/>
          <w:szCs w:val="32"/>
          <w:lang w:eastAsia="zh-CN"/>
        </w:rPr>
        <w:t>反映</w:t>
      </w:r>
      <w:r>
        <w:rPr>
          <w:rFonts w:hint="eastAsia" w:ascii="Times New Roman" w:hAnsi="Times New Roman" w:eastAsia="方正仿宋_GBK" w:cs="方正仿宋_GBK"/>
          <w:i w:val="0"/>
          <w:iCs w:val="0"/>
          <w:caps w:val="0"/>
          <w:color w:val="333333"/>
          <w:spacing w:val="0"/>
          <w:sz w:val="32"/>
          <w:szCs w:val="32"/>
        </w:rPr>
        <w:t>每个核算周期末公共收益的结余情况，每个核算周期应将所有的收入及支出结转到本科目。</w:t>
      </w:r>
    </w:p>
    <w:p w14:paraId="2AD269C9">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eastAsia" w:ascii="Times New Roman" w:hAnsi="Times New Roman" w:eastAsia="方正黑体_GBK" w:cs="方正黑体_GBK"/>
          <w:i w:val="0"/>
          <w:iCs w:val="0"/>
          <w:caps w:val="0"/>
          <w:color w:val="333333"/>
          <w:spacing w:val="0"/>
          <w:sz w:val="32"/>
          <w:szCs w:val="32"/>
        </w:rPr>
      </w:pPr>
      <w:r>
        <w:rPr>
          <w:rFonts w:hint="eastAsia" w:ascii="Times New Roman" w:hAnsi="Times New Roman" w:eastAsia="方正黑体_GBK" w:cs="方正黑体_GBK"/>
          <w:i w:val="0"/>
          <w:iCs w:val="0"/>
          <w:caps w:val="0"/>
          <w:color w:val="333333"/>
          <w:spacing w:val="0"/>
          <w:sz w:val="32"/>
          <w:szCs w:val="32"/>
        </w:rPr>
        <w:t>四、收入类</w:t>
      </w:r>
    </w:p>
    <w:p w14:paraId="5B1BB382">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36"/>
        <w:jc w:val="both"/>
        <w:textAlignment w:val="auto"/>
        <w:rPr>
          <w:rFonts w:hint="eastAsia" w:ascii="Times New Roman" w:hAnsi="Times New Roman" w:eastAsia="方正仿宋_GBK" w:cs="方正仿宋_GBK"/>
          <w:i w:val="0"/>
          <w:iCs w:val="0"/>
          <w:caps w:val="0"/>
          <w:color w:val="333333"/>
          <w:spacing w:val="0"/>
          <w:sz w:val="32"/>
          <w:szCs w:val="32"/>
        </w:rPr>
      </w:pPr>
      <w:r>
        <w:rPr>
          <w:rFonts w:hint="eastAsia" w:ascii="Times New Roman" w:hAnsi="Times New Roman" w:eastAsia="方正仿宋_GBK" w:cs="方正仿宋_GBK"/>
          <w:i w:val="0"/>
          <w:iCs w:val="0"/>
          <w:caps w:val="0"/>
          <w:color w:val="333333"/>
          <w:spacing w:val="0"/>
          <w:sz w:val="32"/>
          <w:szCs w:val="32"/>
        </w:rPr>
        <w:t>4001 共有部分经营收入</w:t>
      </w:r>
    </w:p>
    <w:p w14:paraId="5E256706">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36"/>
        <w:jc w:val="both"/>
        <w:textAlignment w:val="auto"/>
        <w:rPr>
          <w:rFonts w:hint="eastAsia" w:ascii="Times New Roman" w:hAnsi="Times New Roman" w:eastAsia="方正仿宋_GBK" w:cs="方正仿宋_GBK"/>
          <w:i w:val="0"/>
          <w:iCs w:val="0"/>
          <w:caps w:val="0"/>
          <w:color w:val="333333"/>
          <w:spacing w:val="0"/>
          <w:sz w:val="32"/>
          <w:szCs w:val="32"/>
        </w:rPr>
      </w:pPr>
      <w:r>
        <w:rPr>
          <w:rFonts w:hint="eastAsia" w:ascii="Times New Roman" w:hAnsi="Times New Roman" w:eastAsia="方正仿宋_GBK" w:cs="方正仿宋_GBK"/>
          <w:i w:val="0"/>
          <w:iCs w:val="0"/>
          <w:caps w:val="0"/>
          <w:color w:val="333333"/>
          <w:spacing w:val="0"/>
          <w:sz w:val="32"/>
          <w:szCs w:val="32"/>
        </w:rPr>
        <w:t>4001-1.房屋租赁收入是指出租业主共有的经营用房所取得的收入。</w:t>
      </w:r>
    </w:p>
    <w:p w14:paraId="6090F752">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36"/>
        <w:jc w:val="both"/>
        <w:textAlignment w:val="auto"/>
        <w:rPr>
          <w:rFonts w:hint="eastAsia" w:ascii="Times New Roman" w:hAnsi="Times New Roman" w:eastAsia="方正仿宋_GBK" w:cs="方正仿宋_GBK"/>
          <w:i w:val="0"/>
          <w:iCs w:val="0"/>
          <w:caps w:val="0"/>
          <w:color w:val="333333"/>
          <w:spacing w:val="0"/>
          <w:sz w:val="32"/>
          <w:szCs w:val="32"/>
        </w:rPr>
      </w:pPr>
      <w:r>
        <w:rPr>
          <w:rFonts w:hint="eastAsia" w:ascii="Times New Roman" w:hAnsi="Times New Roman" w:eastAsia="方正仿宋_GBK" w:cs="方正仿宋_GBK"/>
          <w:i w:val="0"/>
          <w:iCs w:val="0"/>
          <w:caps w:val="0"/>
          <w:color w:val="333333"/>
          <w:spacing w:val="0"/>
          <w:sz w:val="32"/>
          <w:szCs w:val="32"/>
        </w:rPr>
        <w:t>4001-2.公共停车泊位收入是指利用物业服务区域内的公共停车位、占用公共道路和场地设置的机动车临时停车位所取得的收入。</w:t>
      </w:r>
    </w:p>
    <w:p w14:paraId="55492AF5">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36"/>
        <w:jc w:val="both"/>
        <w:textAlignment w:val="auto"/>
        <w:rPr>
          <w:rFonts w:hint="eastAsia" w:ascii="Times New Roman" w:hAnsi="Times New Roman" w:eastAsia="方正仿宋_GBK" w:cs="方正仿宋_GBK"/>
          <w:i w:val="0"/>
          <w:iCs w:val="0"/>
          <w:caps w:val="0"/>
          <w:color w:val="333333"/>
          <w:spacing w:val="0"/>
          <w:sz w:val="32"/>
          <w:szCs w:val="32"/>
        </w:rPr>
      </w:pPr>
      <w:r>
        <w:rPr>
          <w:rFonts w:hint="eastAsia" w:ascii="Times New Roman" w:hAnsi="Times New Roman" w:eastAsia="方正仿宋_GBK" w:cs="方正仿宋_GBK"/>
          <w:i w:val="0"/>
          <w:iCs w:val="0"/>
          <w:caps w:val="0"/>
          <w:color w:val="333333"/>
          <w:spacing w:val="0"/>
          <w:sz w:val="32"/>
          <w:szCs w:val="32"/>
        </w:rPr>
        <w:t>4001-3.广告位收入是指</w:t>
      </w:r>
      <w:r>
        <w:rPr>
          <w:rFonts w:hint="eastAsia" w:ascii="Times New Roman" w:hAnsi="Times New Roman" w:eastAsia="方正仿宋_GBK" w:cs="方正仿宋_GBK"/>
          <w:b w:val="0"/>
          <w:bCs w:val="0"/>
          <w:i w:val="0"/>
          <w:iCs w:val="0"/>
          <w:caps w:val="0"/>
          <w:color w:val="333333"/>
          <w:spacing w:val="0"/>
          <w:sz w:val="32"/>
          <w:szCs w:val="32"/>
        </w:rPr>
        <w:t>利用业主共有场地、灯箱、单元门、外墙等设置户外广告以及利用电梯轿厢、单元门厅、走廊通道等设置室内广告所取得的收入</w:t>
      </w:r>
      <w:r>
        <w:rPr>
          <w:rFonts w:hint="eastAsia" w:ascii="Times New Roman" w:hAnsi="Times New Roman" w:eastAsia="方正仿宋_GBK" w:cs="方正仿宋_GBK"/>
          <w:i w:val="0"/>
          <w:iCs w:val="0"/>
          <w:caps w:val="0"/>
          <w:color w:val="333333"/>
          <w:spacing w:val="0"/>
          <w:sz w:val="32"/>
          <w:szCs w:val="32"/>
        </w:rPr>
        <w:t>。</w:t>
      </w:r>
    </w:p>
    <w:p w14:paraId="56EC08BC">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36"/>
        <w:jc w:val="both"/>
        <w:textAlignment w:val="auto"/>
        <w:rPr>
          <w:rFonts w:hint="eastAsia" w:ascii="Times New Roman" w:hAnsi="Times New Roman" w:eastAsia="方正仿宋_GBK" w:cs="方正仿宋_GBK"/>
          <w:i w:val="0"/>
          <w:iCs w:val="0"/>
          <w:caps w:val="0"/>
          <w:color w:val="333333"/>
          <w:spacing w:val="0"/>
          <w:sz w:val="32"/>
          <w:szCs w:val="32"/>
        </w:rPr>
      </w:pPr>
      <w:r>
        <w:rPr>
          <w:rFonts w:hint="eastAsia" w:ascii="Times New Roman" w:hAnsi="Times New Roman" w:eastAsia="方正仿宋_GBK" w:cs="方正仿宋_GBK"/>
          <w:i w:val="0"/>
          <w:iCs w:val="0"/>
          <w:caps w:val="0"/>
          <w:color w:val="333333"/>
          <w:spacing w:val="0"/>
          <w:sz w:val="32"/>
          <w:szCs w:val="32"/>
        </w:rPr>
        <w:t>4001-4.摆摊设点收入是指在利用物业服务区域内共有部位用于摆摊设点所取得的收入。</w:t>
      </w:r>
    </w:p>
    <w:p w14:paraId="27FCDC7C">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36"/>
        <w:jc w:val="both"/>
        <w:textAlignment w:val="auto"/>
        <w:rPr>
          <w:rFonts w:hint="eastAsia" w:ascii="Times New Roman" w:hAnsi="Times New Roman" w:eastAsia="方正仿宋_GBK" w:cs="方正仿宋_GBK"/>
          <w:i w:val="0"/>
          <w:iCs w:val="0"/>
          <w:caps w:val="0"/>
          <w:color w:val="333333"/>
          <w:spacing w:val="0"/>
          <w:sz w:val="32"/>
          <w:szCs w:val="32"/>
        </w:rPr>
      </w:pPr>
      <w:r>
        <w:rPr>
          <w:rFonts w:hint="eastAsia" w:ascii="Times New Roman" w:hAnsi="Times New Roman" w:eastAsia="方正仿宋_GBK" w:cs="方正仿宋_GBK"/>
          <w:i w:val="0"/>
          <w:iCs w:val="0"/>
          <w:caps w:val="0"/>
          <w:color w:val="333333"/>
          <w:spacing w:val="0"/>
          <w:sz w:val="32"/>
          <w:szCs w:val="32"/>
        </w:rPr>
        <w:t>4001-5.快递柜、净水机、自动售卖机等场地收入指利用物业服务区域内共有部位设置快递柜、净水机、自动售卖机等所取得的收入。</w:t>
      </w:r>
    </w:p>
    <w:p w14:paraId="0141E019">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36"/>
        <w:jc w:val="both"/>
        <w:textAlignment w:val="auto"/>
        <w:rPr>
          <w:rFonts w:hint="eastAsia" w:ascii="Times New Roman" w:hAnsi="Times New Roman" w:eastAsia="方正仿宋_GBK" w:cs="方正仿宋_GBK"/>
          <w:i w:val="0"/>
          <w:iCs w:val="0"/>
          <w:caps w:val="0"/>
          <w:color w:val="333333"/>
          <w:spacing w:val="0"/>
          <w:sz w:val="32"/>
          <w:szCs w:val="32"/>
        </w:rPr>
      </w:pPr>
      <w:r>
        <w:rPr>
          <w:rFonts w:hint="eastAsia" w:ascii="Times New Roman" w:hAnsi="Times New Roman" w:eastAsia="方正仿宋_GBK" w:cs="方正仿宋_GBK"/>
          <w:i w:val="0"/>
          <w:iCs w:val="0"/>
          <w:caps w:val="0"/>
          <w:color w:val="333333"/>
          <w:spacing w:val="0"/>
          <w:sz w:val="32"/>
          <w:szCs w:val="32"/>
        </w:rPr>
        <w:t>4001-6.移动通信设施场地收入是指利用物业服务区域内共有部位设置移动通信设施所取得的收入。</w:t>
      </w:r>
    </w:p>
    <w:p w14:paraId="4C0774A0">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36"/>
        <w:jc w:val="both"/>
        <w:textAlignment w:val="auto"/>
        <w:rPr>
          <w:rFonts w:hint="eastAsia" w:ascii="Times New Roman" w:hAnsi="Times New Roman" w:eastAsia="方正仿宋_GBK" w:cs="方正仿宋_GBK"/>
          <w:i w:val="0"/>
          <w:iCs w:val="0"/>
          <w:caps w:val="0"/>
          <w:color w:val="333333"/>
          <w:spacing w:val="0"/>
          <w:sz w:val="32"/>
          <w:szCs w:val="32"/>
        </w:rPr>
      </w:pPr>
      <w:r>
        <w:rPr>
          <w:rFonts w:hint="eastAsia" w:ascii="Times New Roman" w:hAnsi="Times New Roman" w:eastAsia="方正仿宋_GBK" w:cs="方正仿宋_GBK"/>
          <w:i w:val="0"/>
          <w:iCs w:val="0"/>
          <w:caps w:val="0"/>
          <w:color w:val="333333"/>
          <w:spacing w:val="0"/>
          <w:sz w:val="32"/>
          <w:szCs w:val="32"/>
        </w:rPr>
        <w:t>4001-7.设备残值收入就指</w:t>
      </w:r>
      <w:r>
        <w:rPr>
          <w:rFonts w:hint="eastAsia" w:ascii="Times New Roman" w:hAnsi="Times New Roman" w:eastAsia="方正仿宋_GBK" w:cs="方正仿宋_GBK"/>
          <w:b w:val="0"/>
          <w:bCs w:val="0"/>
          <w:i w:val="0"/>
          <w:iCs w:val="0"/>
          <w:caps w:val="0"/>
          <w:color w:val="333333"/>
          <w:spacing w:val="0"/>
          <w:sz w:val="32"/>
          <w:szCs w:val="32"/>
        </w:rPr>
        <w:t>处置经业主大会同意报废的共用设施设备回收残值等所取得的收入。</w:t>
      </w:r>
    </w:p>
    <w:p w14:paraId="779F44AC">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36"/>
        <w:jc w:val="both"/>
        <w:textAlignment w:val="auto"/>
        <w:rPr>
          <w:rFonts w:hint="eastAsia" w:ascii="Times New Roman" w:hAnsi="Times New Roman" w:eastAsia="方正仿宋_GBK" w:cs="方正仿宋_GBK"/>
          <w:i w:val="0"/>
          <w:iCs w:val="0"/>
          <w:caps w:val="0"/>
          <w:color w:val="333333"/>
          <w:spacing w:val="0"/>
          <w:sz w:val="32"/>
          <w:szCs w:val="32"/>
        </w:rPr>
      </w:pPr>
      <w:r>
        <w:rPr>
          <w:rFonts w:hint="eastAsia" w:ascii="Times New Roman" w:hAnsi="Times New Roman" w:eastAsia="方正仿宋_GBK" w:cs="方正仿宋_GBK"/>
          <w:i w:val="0"/>
          <w:iCs w:val="0"/>
          <w:caps w:val="0"/>
          <w:color w:val="333333"/>
          <w:spacing w:val="0"/>
          <w:sz w:val="32"/>
          <w:szCs w:val="32"/>
        </w:rPr>
        <w:t>4001-8.其他收入是指除1到7项之外利用共有部位经营所取得的收入，须注明具体收入内容。</w:t>
      </w:r>
    </w:p>
    <w:p w14:paraId="5D3BD91A">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36"/>
        <w:jc w:val="both"/>
        <w:textAlignment w:val="auto"/>
        <w:rPr>
          <w:rFonts w:hint="eastAsia" w:ascii="Times New Roman" w:hAnsi="Times New Roman" w:eastAsia="方正仿宋_GBK" w:cs="方正仿宋_GBK"/>
          <w:i w:val="0"/>
          <w:iCs w:val="0"/>
          <w:caps w:val="0"/>
          <w:color w:val="333333"/>
          <w:spacing w:val="0"/>
          <w:sz w:val="32"/>
          <w:szCs w:val="32"/>
        </w:rPr>
      </w:pPr>
      <w:r>
        <w:rPr>
          <w:rFonts w:hint="eastAsia" w:ascii="Times New Roman" w:hAnsi="Times New Roman" w:eastAsia="方正仿宋_GBK" w:cs="方正仿宋_GBK"/>
          <w:i w:val="0"/>
          <w:iCs w:val="0"/>
          <w:caps w:val="0"/>
          <w:color w:val="333333"/>
          <w:spacing w:val="0"/>
          <w:sz w:val="32"/>
          <w:szCs w:val="32"/>
        </w:rPr>
        <w:t>4001-9.利息收入是指上述1到8项收入总和在报告期内产生的利息总额。</w:t>
      </w:r>
    </w:p>
    <w:p w14:paraId="3215AA00">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eastAsia" w:ascii="Times New Roman" w:hAnsi="Times New Roman" w:eastAsia="方正黑体_GBK" w:cs="方正黑体_GBK"/>
          <w:i w:val="0"/>
          <w:iCs w:val="0"/>
          <w:caps w:val="0"/>
          <w:color w:val="333333"/>
          <w:spacing w:val="0"/>
          <w:sz w:val="32"/>
          <w:szCs w:val="32"/>
        </w:rPr>
      </w:pPr>
      <w:r>
        <w:rPr>
          <w:rFonts w:hint="eastAsia" w:ascii="Times New Roman" w:hAnsi="Times New Roman" w:eastAsia="方正黑体_GBK" w:cs="方正黑体_GBK"/>
          <w:i w:val="0"/>
          <w:iCs w:val="0"/>
          <w:caps w:val="0"/>
          <w:color w:val="333333"/>
          <w:spacing w:val="0"/>
          <w:sz w:val="32"/>
          <w:szCs w:val="32"/>
        </w:rPr>
        <w:t>五、成本类</w:t>
      </w:r>
    </w:p>
    <w:p w14:paraId="51BB6300">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36"/>
        <w:jc w:val="both"/>
        <w:textAlignment w:val="auto"/>
        <w:rPr>
          <w:rFonts w:hint="eastAsia" w:ascii="Times New Roman" w:hAnsi="Times New Roman" w:eastAsia="方正仿宋_GBK" w:cs="方正仿宋_GBK"/>
          <w:i w:val="0"/>
          <w:iCs w:val="0"/>
          <w:caps w:val="0"/>
          <w:color w:val="333333"/>
          <w:spacing w:val="0"/>
          <w:sz w:val="32"/>
          <w:szCs w:val="32"/>
        </w:rPr>
      </w:pPr>
      <w:r>
        <w:rPr>
          <w:rFonts w:hint="eastAsia" w:ascii="Times New Roman" w:hAnsi="Times New Roman" w:eastAsia="方正仿宋_GBK" w:cs="方正仿宋_GBK"/>
          <w:i w:val="0"/>
          <w:iCs w:val="0"/>
          <w:caps w:val="0"/>
          <w:color w:val="333333"/>
          <w:spacing w:val="0"/>
          <w:sz w:val="32"/>
          <w:szCs w:val="32"/>
        </w:rPr>
        <w:t>5001 公共收益经营管理成本</w:t>
      </w:r>
    </w:p>
    <w:p w14:paraId="510421C8">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36"/>
        <w:jc w:val="both"/>
        <w:textAlignment w:val="auto"/>
        <w:rPr>
          <w:rFonts w:hint="eastAsia" w:ascii="Times New Roman" w:hAnsi="Times New Roman" w:eastAsia="方正仿宋_GBK" w:cs="方正仿宋_GBK"/>
          <w:i w:val="0"/>
          <w:iCs w:val="0"/>
          <w:caps w:val="0"/>
          <w:color w:val="333333"/>
          <w:spacing w:val="0"/>
          <w:sz w:val="32"/>
          <w:szCs w:val="32"/>
        </w:rPr>
      </w:pPr>
      <w:r>
        <w:rPr>
          <w:rFonts w:hint="eastAsia" w:ascii="Times New Roman" w:hAnsi="Times New Roman" w:eastAsia="方正仿宋_GBK" w:cs="方正仿宋_GBK"/>
          <w:b w:val="0"/>
          <w:bCs w:val="0"/>
          <w:i w:val="0"/>
          <w:iCs w:val="0"/>
          <w:caps w:val="0"/>
          <w:color w:val="333333"/>
          <w:spacing w:val="0"/>
          <w:sz w:val="32"/>
          <w:szCs w:val="32"/>
        </w:rPr>
        <w:t>经营管理成本是指因取得经营收入而直接或间接发生的有关成本和费用支出。包括委托物业服务人经营及业主委员会、物业管理委员会经营两种情形。其中：</w:t>
      </w:r>
    </w:p>
    <w:p w14:paraId="146D4DC2">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36"/>
        <w:jc w:val="both"/>
        <w:textAlignment w:val="auto"/>
        <w:rPr>
          <w:rFonts w:hint="eastAsia" w:ascii="Times New Roman" w:hAnsi="Times New Roman" w:eastAsia="方正仿宋_GBK" w:cs="方正仿宋_GBK"/>
          <w:i w:val="0"/>
          <w:iCs w:val="0"/>
          <w:caps w:val="0"/>
          <w:color w:val="333333"/>
          <w:spacing w:val="0"/>
          <w:sz w:val="32"/>
          <w:szCs w:val="32"/>
        </w:rPr>
      </w:pPr>
      <w:r>
        <w:rPr>
          <w:rFonts w:hint="eastAsia" w:ascii="Times New Roman" w:hAnsi="Times New Roman" w:eastAsia="方正仿宋_GBK" w:cs="方正仿宋_GBK"/>
          <w:b w:val="0"/>
          <w:bCs w:val="0"/>
          <w:i w:val="0"/>
          <w:iCs w:val="0"/>
          <w:caps w:val="0"/>
          <w:color w:val="333333"/>
          <w:spacing w:val="0"/>
          <w:sz w:val="32"/>
          <w:szCs w:val="32"/>
        </w:rPr>
        <w:t>5001-1.物业服务人提取的合理成本是指委托物业服务人经营的，依据合同约定支付物业服务人合理成本的费用。</w:t>
      </w:r>
    </w:p>
    <w:p w14:paraId="32A936FA">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36"/>
        <w:jc w:val="both"/>
        <w:textAlignment w:val="auto"/>
        <w:rPr>
          <w:rFonts w:hint="eastAsia" w:ascii="Times New Roman" w:hAnsi="Times New Roman" w:eastAsia="方正仿宋_GBK" w:cs="方正仿宋_GBK"/>
          <w:i w:val="0"/>
          <w:iCs w:val="0"/>
          <w:caps w:val="0"/>
          <w:color w:val="333333"/>
          <w:spacing w:val="0"/>
          <w:sz w:val="32"/>
          <w:szCs w:val="32"/>
        </w:rPr>
      </w:pPr>
      <w:r>
        <w:rPr>
          <w:rFonts w:hint="eastAsia" w:ascii="Times New Roman" w:hAnsi="Times New Roman" w:eastAsia="方正仿宋_GBK" w:cs="方正仿宋_GBK"/>
          <w:b w:val="0"/>
          <w:bCs w:val="0"/>
          <w:i w:val="0"/>
          <w:iCs w:val="0"/>
          <w:caps w:val="0"/>
          <w:color w:val="333333"/>
          <w:spacing w:val="0"/>
          <w:sz w:val="32"/>
          <w:szCs w:val="32"/>
        </w:rPr>
        <w:t>5001-2.经营费用是指业主委员会、物业管理委员会经营时，在取得经营收入的过程中直接或间接发生有关费用支出，如人工费、材料费、水费、电费等。</w:t>
      </w:r>
    </w:p>
    <w:p w14:paraId="1F549880">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36"/>
        <w:jc w:val="both"/>
        <w:textAlignment w:val="auto"/>
        <w:rPr>
          <w:rFonts w:hint="eastAsia" w:ascii="Times New Roman" w:hAnsi="Times New Roman" w:eastAsia="方正仿宋_GBK" w:cs="方正仿宋_GBK"/>
          <w:i w:val="0"/>
          <w:iCs w:val="0"/>
          <w:caps w:val="0"/>
          <w:color w:val="333333"/>
          <w:spacing w:val="0"/>
          <w:sz w:val="32"/>
          <w:szCs w:val="32"/>
        </w:rPr>
      </w:pPr>
      <w:r>
        <w:rPr>
          <w:rFonts w:hint="eastAsia" w:ascii="Times New Roman" w:hAnsi="Times New Roman" w:eastAsia="方正仿宋_GBK" w:cs="方正仿宋_GBK"/>
          <w:b w:val="0"/>
          <w:bCs w:val="0"/>
          <w:i w:val="0"/>
          <w:iCs w:val="0"/>
          <w:caps w:val="0"/>
          <w:color w:val="333333"/>
          <w:spacing w:val="0"/>
          <w:sz w:val="32"/>
          <w:szCs w:val="32"/>
        </w:rPr>
        <w:t>5001-3.税费是指业主委员会、物业管理委员会经营时，按照国家相关法律法规规定，在取得经营收入的过程中应当缴纳的营业税、教育费附加等相关税费。</w:t>
      </w:r>
    </w:p>
    <w:p w14:paraId="7C7E376B">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eastAsia" w:ascii="Times New Roman" w:hAnsi="Times New Roman" w:eastAsia="方正黑体_GBK" w:cs="方正黑体_GBK"/>
          <w:i w:val="0"/>
          <w:iCs w:val="0"/>
          <w:caps w:val="0"/>
          <w:color w:val="333333"/>
          <w:spacing w:val="0"/>
          <w:sz w:val="32"/>
          <w:szCs w:val="32"/>
        </w:rPr>
      </w:pPr>
      <w:r>
        <w:rPr>
          <w:rFonts w:hint="eastAsia" w:ascii="Times New Roman" w:hAnsi="Times New Roman" w:eastAsia="方正黑体_GBK" w:cs="方正黑体_GBK"/>
          <w:i w:val="0"/>
          <w:iCs w:val="0"/>
          <w:caps w:val="0"/>
          <w:color w:val="333333"/>
          <w:spacing w:val="0"/>
          <w:sz w:val="32"/>
          <w:szCs w:val="32"/>
        </w:rPr>
        <w:t>六、支出类</w:t>
      </w:r>
    </w:p>
    <w:p w14:paraId="51DA5615">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36"/>
        <w:jc w:val="both"/>
        <w:textAlignment w:val="auto"/>
        <w:rPr>
          <w:rFonts w:hint="eastAsia" w:ascii="Times New Roman" w:hAnsi="Times New Roman" w:eastAsia="方正仿宋_GBK" w:cs="方正仿宋_GBK"/>
          <w:i w:val="0"/>
          <w:iCs w:val="0"/>
          <w:caps w:val="0"/>
          <w:color w:val="333333"/>
          <w:spacing w:val="0"/>
          <w:sz w:val="32"/>
          <w:szCs w:val="32"/>
        </w:rPr>
      </w:pPr>
      <w:r>
        <w:rPr>
          <w:rFonts w:hint="eastAsia" w:ascii="Times New Roman" w:hAnsi="Times New Roman" w:eastAsia="方正仿宋_GBK" w:cs="方正仿宋_GBK"/>
          <w:i w:val="0"/>
          <w:iCs w:val="0"/>
          <w:caps w:val="0"/>
          <w:color w:val="333333"/>
          <w:spacing w:val="0"/>
          <w:sz w:val="32"/>
          <w:szCs w:val="32"/>
        </w:rPr>
        <w:t>6001 公共收益支出</w:t>
      </w:r>
    </w:p>
    <w:p w14:paraId="7305594E">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36"/>
        <w:jc w:val="both"/>
        <w:textAlignment w:val="auto"/>
        <w:rPr>
          <w:rFonts w:hint="eastAsia" w:ascii="Times New Roman" w:hAnsi="Times New Roman" w:eastAsia="方正仿宋_GBK" w:cs="方正仿宋_GBK"/>
          <w:i w:val="0"/>
          <w:iCs w:val="0"/>
          <w:caps w:val="0"/>
          <w:color w:val="333333"/>
          <w:spacing w:val="0"/>
          <w:sz w:val="32"/>
          <w:szCs w:val="32"/>
        </w:rPr>
      </w:pPr>
      <w:r>
        <w:rPr>
          <w:rFonts w:hint="eastAsia" w:ascii="Times New Roman" w:hAnsi="Times New Roman" w:eastAsia="方正仿宋_GBK" w:cs="方正仿宋_GBK"/>
          <w:b w:val="0"/>
          <w:bCs w:val="0"/>
          <w:i w:val="0"/>
          <w:iCs w:val="0"/>
          <w:caps w:val="0"/>
          <w:color w:val="333333"/>
          <w:spacing w:val="0"/>
          <w:sz w:val="32"/>
          <w:szCs w:val="32"/>
        </w:rPr>
        <w:t>6001-1.补充住宅专项维修资金是指将业主共有的公共收益按照业主专有部分面积所占比例分配并存入到住宅专项维修资金专户的分户账。</w:t>
      </w:r>
    </w:p>
    <w:p w14:paraId="51263514">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36"/>
        <w:jc w:val="both"/>
        <w:textAlignment w:val="auto"/>
        <w:rPr>
          <w:rFonts w:hint="eastAsia" w:ascii="Times New Roman" w:hAnsi="Times New Roman" w:eastAsia="方正仿宋_GBK" w:cs="方正仿宋_GBK"/>
          <w:i w:val="0"/>
          <w:iCs w:val="0"/>
          <w:caps w:val="0"/>
          <w:color w:val="333333"/>
          <w:spacing w:val="0"/>
          <w:sz w:val="32"/>
          <w:szCs w:val="32"/>
        </w:rPr>
      </w:pPr>
      <w:r>
        <w:rPr>
          <w:rFonts w:hint="eastAsia" w:ascii="Times New Roman" w:hAnsi="Times New Roman" w:eastAsia="方正仿宋_GBK" w:cs="方正仿宋_GBK"/>
          <w:b w:val="0"/>
          <w:bCs w:val="0"/>
          <w:i w:val="0"/>
          <w:iCs w:val="0"/>
          <w:caps w:val="0"/>
          <w:color w:val="333333"/>
          <w:spacing w:val="0"/>
          <w:sz w:val="32"/>
          <w:szCs w:val="32"/>
        </w:rPr>
        <w:t>6001-2.共有部位、共有设施设备的维修、更新与改造费用是指根据《物业服务合</w:t>
      </w:r>
      <w:r>
        <w:rPr>
          <w:rFonts w:hint="eastAsia" w:ascii="Times New Roman" w:hAnsi="Times New Roman" w:eastAsia="方正仿宋_GBK" w:cs="方正仿宋_GBK"/>
          <w:i w:val="0"/>
          <w:iCs w:val="0"/>
          <w:caps w:val="0"/>
          <w:color w:val="333333"/>
          <w:spacing w:val="0"/>
          <w:sz w:val="32"/>
          <w:szCs w:val="32"/>
        </w:rPr>
        <w:t>同》和《业主大会议事规则》《管理规约》等规定，用于</w:t>
      </w:r>
      <w:r>
        <w:rPr>
          <w:rFonts w:hint="eastAsia" w:ascii="Times New Roman" w:hAnsi="Times New Roman" w:eastAsia="方正仿宋_GBK" w:cs="方正仿宋_GBK"/>
          <w:b w:val="0"/>
          <w:bCs w:val="0"/>
          <w:i w:val="0"/>
          <w:iCs w:val="0"/>
          <w:caps w:val="0"/>
          <w:color w:val="333333"/>
          <w:spacing w:val="0"/>
          <w:sz w:val="32"/>
          <w:szCs w:val="32"/>
        </w:rPr>
        <w:t>物业服务区域内共有部位、共有设施设备维修、更新与改造的产生的费用支出。</w:t>
      </w:r>
    </w:p>
    <w:p w14:paraId="1E1D4904">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36"/>
        <w:jc w:val="both"/>
        <w:textAlignment w:val="auto"/>
        <w:rPr>
          <w:rFonts w:hint="eastAsia" w:ascii="Times New Roman" w:hAnsi="Times New Roman" w:eastAsia="方正仿宋_GBK" w:cs="方正仿宋_GBK"/>
          <w:i w:val="0"/>
          <w:iCs w:val="0"/>
          <w:caps w:val="0"/>
          <w:color w:val="333333"/>
          <w:spacing w:val="0"/>
          <w:sz w:val="32"/>
          <w:szCs w:val="32"/>
        </w:rPr>
      </w:pPr>
      <w:r>
        <w:rPr>
          <w:rFonts w:hint="eastAsia" w:ascii="Times New Roman" w:hAnsi="Times New Roman" w:eastAsia="方正仿宋_GBK" w:cs="方正仿宋_GBK"/>
          <w:b w:val="0"/>
          <w:bCs w:val="0"/>
          <w:i w:val="0"/>
          <w:iCs w:val="0"/>
          <w:caps w:val="0"/>
          <w:color w:val="333333"/>
          <w:spacing w:val="0"/>
          <w:sz w:val="32"/>
          <w:szCs w:val="32"/>
        </w:rPr>
        <w:t>6001-3.业主大会、业主委员会运作经费是指按照管理规约或临时管理规约约定，按比例提取用于业主大会、业主委员会正常运作所需的通讯费、纸张费、邮递费等日常办公费用。</w:t>
      </w:r>
    </w:p>
    <w:p w14:paraId="5F7B1AB8">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36"/>
        <w:jc w:val="both"/>
        <w:textAlignment w:val="auto"/>
        <w:rPr>
          <w:rFonts w:hint="eastAsia" w:ascii="Times New Roman" w:hAnsi="Times New Roman" w:eastAsia="方正仿宋_GBK" w:cs="方正仿宋_GBK"/>
          <w:i w:val="0"/>
          <w:iCs w:val="0"/>
          <w:caps w:val="0"/>
          <w:color w:val="333333"/>
          <w:spacing w:val="0"/>
          <w:sz w:val="32"/>
          <w:szCs w:val="32"/>
        </w:rPr>
      </w:pPr>
      <w:r>
        <w:rPr>
          <w:rFonts w:hint="eastAsia" w:ascii="Times New Roman" w:hAnsi="Times New Roman" w:eastAsia="方正仿宋_GBK" w:cs="方正仿宋_GBK"/>
          <w:b w:val="0"/>
          <w:bCs w:val="0"/>
          <w:i w:val="0"/>
          <w:iCs w:val="0"/>
          <w:caps w:val="0"/>
          <w:color w:val="333333"/>
          <w:spacing w:val="0"/>
          <w:sz w:val="32"/>
          <w:szCs w:val="32"/>
        </w:rPr>
        <w:t>6001-4.人员报酬是指业主大会决定给予业主委员会、物业管理委员会有关人员及聘请的专职工作人员报酬或者补贴。</w:t>
      </w:r>
    </w:p>
    <w:p w14:paraId="71D56005">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36"/>
        <w:jc w:val="both"/>
        <w:textAlignment w:val="auto"/>
        <w:rPr>
          <w:rFonts w:hint="eastAsia" w:ascii="Times New Roman" w:hAnsi="Times New Roman" w:eastAsia="方正仿宋_GBK" w:cs="方正仿宋_GBK"/>
          <w:i w:val="0"/>
          <w:iCs w:val="0"/>
          <w:caps w:val="0"/>
          <w:color w:val="333333"/>
          <w:spacing w:val="0"/>
          <w:sz w:val="32"/>
          <w:szCs w:val="32"/>
        </w:rPr>
      </w:pPr>
      <w:r>
        <w:rPr>
          <w:rFonts w:hint="eastAsia" w:ascii="Times New Roman" w:hAnsi="Times New Roman" w:eastAsia="方正仿宋_GBK" w:cs="方正仿宋_GBK"/>
          <w:b w:val="0"/>
          <w:bCs w:val="0"/>
          <w:i w:val="0"/>
          <w:iCs w:val="0"/>
          <w:caps w:val="0"/>
          <w:color w:val="333333"/>
          <w:spacing w:val="0"/>
          <w:sz w:val="32"/>
          <w:szCs w:val="32"/>
        </w:rPr>
        <w:t>6001-5.第三方委托费用是指委托第三方开展评估鉴定、财务审计、招标代理等费用。</w:t>
      </w:r>
    </w:p>
    <w:p w14:paraId="3380F8E4">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36"/>
        <w:jc w:val="both"/>
        <w:textAlignment w:val="auto"/>
        <w:rPr>
          <w:rFonts w:hint="eastAsia" w:ascii="Times New Roman" w:hAnsi="Times New Roman" w:eastAsia="方正仿宋_GBK" w:cs="方正仿宋_GBK"/>
          <w:i w:val="0"/>
          <w:iCs w:val="0"/>
          <w:caps w:val="0"/>
          <w:color w:val="333333"/>
          <w:spacing w:val="0"/>
          <w:sz w:val="32"/>
          <w:szCs w:val="32"/>
        </w:rPr>
      </w:pPr>
      <w:r>
        <w:rPr>
          <w:rFonts w:hint="eastAsia" w:ascii="Times New Roman" w:hAnsi="Times New Roman" w:eastAsia="方正仿宋_GBK" w:cs="方正仿宋_GBK"/>
          <w:b w:val="0"/>
          <w:bCs w:val="0"/>
          <w:i w:val="0"/>
          <w:iCs w:val="0"/>
          <w:caps w:val="0"/>
          <w:color w:val="333333"/>
          <w:spacing w:val="0"/>
          <w:sz w:val="32"/>
          <w:szCs w:val="32"/>
        </w:rPr>
        <w:t>6001-6.房屋保险、体检费用是指支付房屋及共用设施设备的保险、体检费用。</w:t>
      </w:r>
    </w:p>
    <w:p w14:paraId="6575A783">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36"/>
        <w:jc w:val="both"/>
        <w:textAlignment w:val="auto"/>
        <w:rPr>
          <w:rFonts w:hint="eastAsia" w:ascii="Times New Roman" w:hAnsi="Times New Roman" w:eastAsia="方正仿宋_GBK" w:cs="方正仿宋_GBK"/>
          <w:i w:val="0"/>
          <w:iCs w:val="0"/>
          <w:caps w:val="0"/>
          <w:color w:val="333333"/>
          <w:spacing w:val="0"/>
          <w:sz w:val="32"/>
          <w:szCs w:val="32"/>
        </w:rPr>
      </w:pPr>
      <w:r>
        <w:rPr>
          <w:rFonts w:hint="eastAsia" w:ascii="Times New Roman" w:hAnsi="Times New Roman" w:eastAsia="方正仿宋_GBK" w:cs="方正仿宋_GBK"/>
          <w:b w:val="0"/>
          <w:bCs w:val="0"/>
          <w:i w:val="0"/>
          <w:iCs w:val="0"/>
          <w:caps w:val="0"/>
          <w:color w:val="333333"/>
          <w:spacing w:val="0"/>
          <w:sz w:val="32"/>
          <w:szCs w:val="32"/>
        </w:rPr>
        <w:t>6001-7.</w:t>
      </w:r>
      <w:r>
        <w:rPr>
          <w:rFonts w:hint="eastAsia" w:ascii="Times New Roman" w:hAnsi="Times New Roman" w:eastAsia="方正仿宋_GBK" w:cs="方正仿宋_GBK"/>
          <w:i w:val="0"/>
          <w:iCs w:val="0"/>
          <w:caps w:val="0"/>
          <w:color w:val="333333"/>
          <w:spacing w:val="0"/>
          <w:sz w:val="32"/>
          <w:szCs w:val="32"/>
        </w:rPr>
        <w:t>设施设备增设费用</w:t>
      </w:r>
      <w:r>
        <w:rPr>
          <w:rFonts w:hint="eastAsia" w:ascii="Times New Roman" w:hAnsi="Times New Roman" w:eastAsia="方正仿宋_GBK" w:cs="方正仿宋_GBK"/>
          <w:b w:val="0"/>
          <w:bCs w:val="0"/>
          <w:i w:val="0"/>
          <w:iCs w:val="0"/>
          <w:caps w:val="0"/>
          <w:color w:val="333333"/>
          <w:spacing w:val="0"/>
          <w:sz w:val="32"/>
          <w:szCs w:val="32"/>
        </w:rPr>
        <w:t>是指增设全体业主共有的电动自行车充电设施、智能安防设施、文体设施等设施设备费用。</w:t>
      </w:r>
    </w:p>
    <w:p w14:paraId="6A2DCFD6">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36"/>
        <w:jc w:val="both"/>
        <w:textAlignment w:val="auto"/>
        <w:rPr>
          <w:rFonts w:hint="eastAsia" w:ascii="Times New Roman" w:hAnsi="Times New Roman" w:eastAsia="方正仿宋_GBK" w:cs="方正仿宋_GBK"/>
          <w:i w:val="0"/>
          <w:iCs w:val="0"/>
          <w:caps w:val="0"/>
          <w:color w:val="333333"/>
          <w:spacing w:val="0"/>
          <w:sz w:val="32"/>
          <w:szCs w:val="32"/>
        </w:rPr>
      </w:pPr>
      <w:r>
        <w:rPr>
          <w:rFonts w:hint="eastAsia" w:ascii="Times New Roman" w:hAnsi="Times New Roman" w:eastAsia="方正仿宋_GBK" w:cs="方正仿宋_GBK"/>
          <w:b w:val="0"/>
          <w:bCs w:val="0"/>
          <w:i w:val="0"/>
          <w:iCs w:val="0"/>
          <w:caps w:val="0"/>
          <w:color w:val="333333"/>
          <w:spacing w:val="0"/>
          <w:sz w:val="32"/>
          <w:szCs w:val="32"/>
        </w:rPr>
        <w:t>6001-8.</w:t>
      </w:r>
      <w:r>
        <w:rPr>
          <w:rFonts w:hint="eastAsia" w:ascii="Times New Roman" w:hAnsi="Times New Roman" w:eastAsia="方正仿宋_GBK" w:cs="方正仿宋_GBK"/>
          <w:i w:val="0"/>
          <w:iCs w:val="0"/>
          <w:caps w:val="0"/>
          <w:color w:val="333333"/>
          <w:spacing w:val="0"/>
          <w:sz w:val="32"/>
          <w:szCs w:val="32"/>
        </w:rPr>
        <w:t>抵扣物业费、水电公摊费用</w:t>
      </w:r>
      <w:r>
        <w:rPr>
          <w:rFonts w:hint="eastAsia" w:ascii="Times New Roman" w:hAnsi="Times New Roman" w:eastAsia="方正仿宋_GBK" w:cs="方正仿宋_GBK"/>
          <w:b w:val="0"/>
          <w:bCs w:val="0"/>
          <w:i w:val="0"/>
          <w:iCs w:val="0"/>
          <w:caps w:val="0"/>
          <w:color w:val="333333"/>
          <w:spacing w:val="0"/>
          <w:sz w:val="32"/>
          <w:szCs w:val="32"/>
        </w:rPr>
        <w:t>是根据业主大会决定支付应由业主承担</w:t>
      </w:r>
      <w:r>
        <w:rPr>
          <w:rFonts w:hint="eastAsia" w:ascii="Times New Roman" w:hAnsi="Times New Roman" w:eastAsia="方正仿宋_GBK" w:cs="方正仿宋_GBK"/>
          <w:i w:val="0"/>
          <w:iCs w:val="0"/>
          <w:caps w:val="0"/>
          <w:color w:val="333333"/>
          <w:spacing w:val="0"/>
          <w:sz w:val="32"/>
          <w:szCs w:val="32"/>
        </w:rPr>
        <w:t>的物业服务费用、水电公摊费用</w:t>
      </w:r>
      <w:r>
        <w:rPr>
          <w:rFonts w:hint="eastAsia" w:ascii="Times New Roman" w:hAnsi="Times New Roman" w:eastAsia="方正仿宋_GBK" w:cs="方正仿宋_GBK"/>
          <w:b w:val="0"/>
          <w:bCs w:val="0"/>
          <w:i w:val="0"/>
          <w:iCs w:val="0"/>
          <w:caps w:val="0"/>
          <w:color w:val="333333"/>
          <w:spacing w:val="0"/>
          <w:sz w:val="32"/>
          <w:szCs w:val="32"/>
        </w:rPr>
        <w:t>。</w:t>
      </w:r>
    </w:p>
    <w:p w14:paraId="0A4DFC49">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36"/>
        <w:jc w:val="both"/>
        <w:textAlignment w:val="auto"/>
        <w:rPr>
          <w:rFonts w:hint="eastAsia" w:ascii="Times New Roman" w:hAnsi="Times New Roman" w:eastAsia="方正仿宋_GBK" w:cs="方正仿宋_GBK"/>
          <w:i w:val="0"/>
          <w:iCs w:val="0"/>
          <w:caps w:val="0"/>
          <w:color w:val="333333"/>
          <w:spacing w:val="0"/>
          <w:sz w:val="32"/>
          <w:szCs w:val="32"/>
        </w:rPr>
      </w:pPr>
      <w:r>
        <w:rPr>
          <w:rFonts w:hint="eastAsia" w:ascii="Times New Roman" w:hAnsi="Times New Roman" w:eastAsia="方正仿宋_GBK" w:cs="方正仿宋_GBK"/>
          <w:b w:val="0"/>
          <w:bCs w:val="0"/>
          <w:i w:val="0"/>
          <w:iCs w:val="0"/>
          <w:caps w:val="0"/>
          <w:color w:val="333333"/>
          <w:spacing w:val="0"/>
          <w:sz w:val="32"/>
          <w:szCs w:val="32"/>
        </w:rPr>
        <w:t>6001-9.其他支出是指除上述1到8项之外所产生的支出，须注明支出内容。</w:t>
      </w:r>
    </w:p>
    <w:p w14:paraId="4E31B3C6">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default" w:ascii="Times New Roman" w:hAnsi="Times New Roman" w:eastAsia="方正仿宋_GBK" w:cs="Times New Roman"/>
          <w:color w:val="000000"/>
          <w:sz w:val="28"/>
          <w:szCs w:val="28"/>
          <w:u w:val="thick"/>
          <w:lang w:val="en-US" w:eastAsia="zh-CN"/>
        </w:rPr>
      </w:pPr>
    </w:p>
    <w:p w14:paraId="00D48089">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default" w:ascii="Times New Roman" w:hAnsi="Times New Roman" w:eastAsia="方正仿宋_GBK" w:cs="Times New Roman"/>
          <w:color w:val="000000"/>
          <w:sz w:val="28"/>
          <w:szCs w:val="28"/>
          <w:u w:val="thick"/>
          <w:lang w:val="en-US" w:eastAsia="zh-CN"/>
        </w:rPr>
      </w:pPr>
    </w:p>
    <w:p w14:paraId="7867EE97">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default" w:ascii="Times New Roman" w:hAnsi="Times New Roman" w:eastAsia="方正仿宋_GBK" w:cs="Times New Roman"/>
          <w:color w:val="000000"/>
          <w:sz w:val="28"/>
          <w:szCs w:val="28"/>
          <w:u w:val="thick"/>
          <w:lang w:val="en-US" w:eastAsia="zh-CN"/>
        </w:rPr>
      </w:pPr>
    </w:p>
    <w:p w14:paraId="7C69B94B">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default" w:ascii="Times New Roman" w:hAnsi="Times New Roman" w:eastAsia="方正仿宋_GBK" w:cs="Times New Roman"/>
          <w:color w:val="000000"/>
          <w:sz w:val="28"/>
          <w:szCs w:val="28"/>
          <w:u w:val="thick"/>
          <w:lang w:val="en-US" w:eastAsia="zh-CN"/>
        </w:rPr>
      </w:pPr>
    </w:p>
    <w:p w14:paraId="0B03F12A">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default" w:ascii="Times New Roman" w:hAnsi="Times New Roman" w:eastAsia="方正仿宋_GBK" w:cs="Times New Roman"/>
          <w:color w:val="000000"/>
          <w:sz w:val="28"/>
          <w:szCs w:val="28"/>
          <w:u w:val="thick"/>
          <w:lang w:val="en-US" w:eastAsia="zh-CN"/>
        </w:rPr>
      </w:pPr>
    </w:p>
    <w:p w14:paraId="27AC53D0">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default" w:ascii="Times New Roman" w:hAnsi="Times New Roman" w:eastAsia="方正仿宋_GBK" w:cs="Times New Roman"/>
          <w:color w:val="000000"/>
          <w:sz w:val="32"/>
          <w:szCs w:val="32"/>
          <w:shd w:val="clear" w:color="auto" w:fill="FFFFFF"/>
        </w:rPr>
      </w:pPr>
      <w:r>
        <w:rPr>
          <w:rFonts w:hint="default" w:ascii="Times New Roman" w:hAnsi="Times New Roman" w:eastAsia="方正仿宋_GBK" w:cs="Times New Roman"/>
          <w:color w:val="000000"/>
          <w:sz w:val="28"/>
          <w:szCs w:val="28"/>
          <w:u w:val="thick"/>
          <w:lang w:val="en-US" w:eastAsia="zh-CN"/>
        </w:rPr>
        <w:t xml:space="preserve">                                                              </w:t>
      </w:r>
      <w:r>
        <w:rPr>
          <w:rFonts w:hint="default" w:ascii="Times New Roman" w:hAnsi="Times New Roman" w:eastAsia="方正仿宋_GBK" w:cs="Times New Roman"/>
          <w:color w:val="000000"/>
          <w:sz w:val="28"/>
          <w:szCs w:val="28"/>
          <w:u w:val="thick"/>
        </w:rPr>
        <w:t xml:space="preserve"> </w:t>
      </w:r>
    </w:p>
    <w:p w14:paraId="63093B8D">
      <w:pPr>
        <w:keepNext w:val="0"/>
        <w:keepLines w:val="0"/>
        <w:pageBreakBefore w:val="0"/>
        <w:wordWrap/>
        <w:overflowPunct/>
        <w:topLinePunct w:val="0"/>
        <w:bidi w:val="0"/>
        <w:spacing w:line="560" w:lineRule="exact"/>
        <w:jc w:val="left"/>
        <w:rPr>
          <w:rFonts w:hint="eastAsia" w:ascii="Times New Roman" w:hAnsi="Times New Roman" w:eastAsia="方正仿宋_GBK" w:cs="Times New Roman"/>
          <w:b w:val="0"/>
          <w:bCs w:val="0"/>
          <w:u w:val="thick" w:color="000000"/>
          <w:lang w:val="en-US" w:eastAsia="zh-CN"/>
        </w:rPr>
      </w:pPr>
      <w:r>
        <w:rPr>
          <w:rFonts w:hint="default" w:ascii="Times New Roman" w:hAnsi="Times New Roman" w:eastAsia="方正仿宋_GBK" w:cs="Times New Roman"/>
          <w:color w:val="000000"/>
          <w:sz w:val="28"/>
          <w:szCs w:val="28"/>
          <w:u w:val="thick"/>
        </w:rPr>
        <w:t xml:space="preserve">丰都县住房和城乡建设委员会办公室 </w:t>
      </w:r>
      <w:r>
        <w:rPr>
          <w:rFonts w:hint="default" w:ascii="Times New Roman" w:hAnsi="Times New Roman" w:eastAsia="方正仿宋_GBK" w:cs="Times New Roman"/>
          <w:color w:val="000000"/>
          <w:sz w:val="28"/>
          <w:szCs w:val="28"/>
          <w:u w:val="thick"/>
          <w:lang w:val="en-US" w:eastAsia="zh-CN"/>
        </w:rPr>
        <w:t xml:space="preserve">         </w:t>
      </w:r>
      <w:r>
        <w:rPr>
          <w:rFonts w:hint="eastAsia" w:ascii="Times New Roman" w:hAnsi="Times New Roman" w:eastAsia="方正仿宋_GBK" w:cs="Times New Roman"/>
          <w:color w:val="000000"/>
          <w:sz w:val="28"/>
          <w:szCs w:val="28"/>
          <w:u w:val="thick"/>
          <w:lang w:val="en-US" w:eastAsia="zh-CN"/>
        </w:rPr>
        <w:t xml:space="preserve"> </w:t>
      </w:r>
      <w:r>
        <w:rPr>
          <w:rFonts w:hint="default" w:ascii="Times New Roman" w:hAnsi="Times New Roman" w:eastAsia="方正仿宋_GBK" w:cs="Times New Roman"/>
          <w:color w:val="000000"/>
          <w:sz w:val="28"/>
          <w:szCs w:val="28"/>
          <w:u w:val="thick"/>
          <w:lang w:val="en-US" w:eastAsia="zh-CN"/>
        </w:rPr>
        <w:t xml:space="preserve"> </w:t>
      </w:r>
      <w:r>
        <w:rPr>
          <w:rFonts w:hint="default" w:ascii="Times New Roman" w:hAnsi="Times New Roman" w:eastAsia="方正仿宋_GBK" w:cs="Times New Roman"/>
          <w:color w:val="000000"/>
          <w:sz w:val="28"/>
          <w:szCs w:val="28"/>
          <w:u w:val="thick"/>
          <w:lang w:eastAsia="zh-CN"/>
        </w:rPr>
        <w:t>202</w:t>
      </w:r>
      <w:r>
        <w:rPr>
          <w:rFonts w:hint="eastAsia" w:ascii="Times New Roman" w:hAnsi="Times New Roman" w:eastAsia="方正仿宋_GBK" w:cs="Times New Roman"/>
          <w:color w:val="000000"/>
          <w:sz w:val="28"/>
          <w:szCs w:val="28"/>
          <w:u w:val="thick"/>
          <w:lang w:val="en-US" w:eastAsia="zh-CN"/>
        </w:rPr>
        <w:t>5</w:t>
      </w:r>
      <w:r>
        <w:rPr>
          <w:rFonts w:hint="default" w:ascii="Times New Roman" w:hAnsi="Times New Roman" w:eastAsia="方正仿宋_GBK" w:cs="Times New Roman"/>
          <w:color w:val="000000"/>
          <w:sz w:val="28"/>
          <w:szCs w:val="28"/>
          <w:u w:val="thick"/>
          <w:lang w:eastAsia="zh-CN"/>
        </w:rPr>
        <w:t>年</w:t>
      </w:r>
      <w:r>
        <w:rPr>
          <w:rFonts w:hint="eastAsia" w:ascii="Times New Roman" w:hAnsi="Times New Roman" w:eastAsia="方正仿宋_GBK" w:cs="Times New Roman"/>
          <w:color w:val="000000"/>
          <w:sz w:val="28"/>
          <w:szCs w:val="28"/>
          <w:u w:val="thick"/>
          <w:lang w:val="en-US" w:eastAsia="zh-CN"/>
        </w:rPr>
        <w:t>7</w:t>
      </w:r>
      <w:r>
        <w:rPr>
          <w:rFonts w:hint="default" w:ascii="Times New Roman" w:hAnsi="Times New Roman" w:eastAsia="方正仿宋_GBK" w:cs="Times New Roman"/>
          <w:color w:val="000000"/>
          <w:sz w:val="28"/>
          <w:szCs w:val="28"/>
          <w:u w:val="thick"/>
          <w:lang w:eastAsia="zh-CN"/>
        </w:rPr>
        <w:t>月</w:t>
      </w:r>
      <w:r>
        <w:rPr>
          <w:rFonts w:hint="eastAsia" w:ascii="Times New Roman" w:hAnsi="Times New Roman" w:eastAsia="方正仿宋_GBK" w:cs="Times New Roman"/>
          <w:color w:val="000000"/>
          <w:sz w:val="28"/>
          <w:szCs w:val="28"/>
          <w:u w:val="thick"/>
          <w:lang w:val="en-US" w:eastAsia="zh-CN"/>
        </w:rPr>
        <w:t>21</w:t>
      </w:r>
      <w:r>
        <w:rPr>
          <w:rFonts w:hint="default" w:ascii="Times New Roman" w:hAnsi="Times New Roman" w:eastAsia="方正仿宋_GBK" w:cs="Times New Roman"/>
          <w:color w:val="000000"/>
          <w:sz w:val="28"/>
          <w:szCs w:val="28"/>
          <w:u w:val="thick"/>
          <w:lang w:eastAsia="zh-CN"/>
        </w:rPr>
        <w:t>日</w:t>
      </w:r>
      <w:r>
        <w:rPr>
          <w:rFonts w:hint="default" w:ascii="Times New Roman" w:hAnsi="Times New Roman" w:eastAsia="方正仿宋_GBK" w:cs="Times New Roman"/>
          <w:color w:val="000000"/>
          <w:sz w:val="28"/>
          <w:szCs w:val="28"/>
          <w:u w:val="thick"/>
        </w:rPr>
        <w:t>印</w:t>
      </w:r>
      <w:r>
        <w:rPr>
          <w:rFonts w:hint="eastAsia" w:ascii="Times New Roman" w:hAnsi="Times New Roman" w:eastAsia="方正仿宋_GBK" w:cs="Times New Roman"/>
          <w:color w:val="000000"/>
          <w:sz w:val="28"/>
          <w:szCs w:val="28"/>
          <w:u w:val="thick"/>
          <w:lang w:eastAsia="zh-CN"/>
        </w:rPr>
        <w:t>发</w:t>
      </w:r>
    </w:p>
    <w:p w14:paraId="01309230">
      <w:pPr>
        <w:pStyle w:val="7"/>
        <w:rPr>
          <w:rFonts w:hint="eastAsia"/>
          <w:lang w:val="en-US" w:eastAsia="zh-CN"/>
        </w:rPr>
      </w:pPr>
    </w:p>
    <w:sectPr>
      <w:headerReference r:id="rId3" w:type="default"/>
      <w:footerReference r:id="rId4" w:type="default"/>
      <w:pgSz w:w="11906" w:h="16838"/>
      <w:pgMar w:top="2098" w:right="1474" w:bottom="1984" w:left="1587" w:header="851" w:footer="992" w:gutter="0"/>
      <w:pgBorders>
        <w:top w:val="none" w:sz="0" w:space="0"/>
        <w:left w:val="none" w:sz="0" w:space="0"/>
        <w:bottom w:val="none" w:sz="0" w:space="0"/>
        <w:right w:val="none" w:sz="0" w:space="0"/>
      </w:pgBorders>
      <w:pgNumType w:fmt="numberInDash"/>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_GBK">
    <w:panose1 w:val="03000509000000000000"/>
    <w:charset w:val="86"/>
    <w:family w:val="auto"/>
    <w:pitch w:val="default"/>
    <w:sig w:usb0="00000001" w:usb1="080E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方正小标宋简体">
    <w:altName w:val="黑体"/>
    <w:panose1 w:val="03000509000000000000"/>
    <w:charset w:val="86"/>
    <w:family w:val="auto"/>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AC57BA">
    <w:pPr>
      <w:pStyle w:val="8"/>
      <w:ind w:left="4788" w:leftChars="2280" w:firstLine="6400" w:firstLineChars="2000"/>
      <w:rPr>
        <w:rFonts w:hint="eastAsia" w:eastAsia="仿宋"/>
        <w:sz w:val="32"/>
        <w:szCs w:val="48"/>
        <w:lang w:val="en-US" w:eastAsia="zh-CN"/>
      </w:rPr>
    </w:pPr>
    <w:r>
      <w:rPr>
        <w:sz w:val="32"/>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9FE9CFB">
                          <w:pPr>
                            <w:pStyle w:val="6"/>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14:paraId="29FE9CFB">
                    <w:pPr>
                      <w:pStyle w:val="6"/>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v:textbox>
            </v:shape>
          </w:pict>
        </mc:Fallback>
      </mc:AlternateContent>
    </w:r>
    <w:r>
      <w:rPr>
        <w:rFonts w:hint="eastAsia" w:eastAsia="仿宋"/>
        <w:sz w:val="32"/>
        <w:szCs w:val="48"/>
        <w:lang w:val="en-US" w:eastAsia="zh-CN"/>
      </w:rPr>
      <w:t xml:space="preserve">  </w:t>
    </w:r>
  </w:p>
  <w:p w14:paraId="0DE3291F">
    <w:pPr>
      <w:pStyle w:val="8"/>
      <w:keepNext w:val="0"/>
      <w:keepLines w:val="0"/>
      <w:pageBreakBefore w:val="0"/>
      <w:widowControl w:val="0"/>
      <w:kinsoku/>
      <w:wordWrap/>
      <w:overflowPunct/>
      <w:topLinePunct w:val="0"/>
      <w:bidi w:val="0"/>
      <w:adjustRightInd/>
      <w:snapToGrid w:val="0"/>
      <w:ind w:left="3570" w:leftChars="1700" w:firstLine="7398" w:firstLineChars="2312"/>
      <w:jc w:val="center"/>
      <w:textAlignment w:val="auto"/>
      <w:rPr>
        <w:rFonts w:hint="eastAsia" w:ascii="宋体" w:hAnsi="宋体" w:eastAsia="宋体" w:cs="宋体"/>
        <w:b/>
        <w:bCs/>
        <w:color w:val="005192"/>
        <w:sz w:val="28"/>
        <w:szCs w:val="44"/>
        <w:lang w:val="en-US" w:eastAsia="zh-CN"/>
      </w:rPr>
    </w:pPr>
    <w:r>
      <w:rPr>
        <w:color w:val="FAFAFA"/>
        <w:sz w:val="32"/>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74295</wp:posOffset>
              </wp:positionV>
              <wp:extent cx="5616575" cy="1905"/>
              <wp:effectExtent l="0" t="10795" r="3175" b="15875"/>
              <wp:wrapNone/>
              <wp:docPr id="5" name="直接连接符 5"/>
              <wp:cNvGraphicFramePr/>
              <a:graphic xmlns:a="http://schemas.openxmlformats.org/drawingml/2006/main">
                <a:graphicData uri="http://schemas.microsoft.com/office/word/2010/wordprocessingShape">
                  <wps:wsp>
                    <wps:cNvCnPr/>
                    <wps:spPr>
                      <a:xfrm>
                        <a:off x="0" y="0"/>
                        <a:ext cx="5616575" cy="1905"/>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pt;margin-top:5.85pt;height:0.15pt;width:442.25pt;z-index:251660288;mso-width-relative:page;mso-height-relative:page;" filled="f" stroked="t" coordsize="21600,21600" o:gfxdata="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Dzp6XR1AAA&#10;AAYBAAAPAAAAAAAAAAEAIAAAACIAAABkcnMvZG93bnJldi54bWxQSwECFAAUAAAACACHTuJA8DYt&#10;KekBAAC1AwAADgAAAAAAAAABACAAAAAjAQAAZHJzL2Uyb0RvYy54bWxQSwUGAAAAAAYABgBZAQAA&#10;fgUAAAAA&#10;">
              <v:fill on="f" focussize="0,0"/>
              <v:stroke weight="1.75pt" color="#005192 [3204]" miterlimit="8" joinstyle="miter"/>
              <v:imagedata o:title=""/>
              <o:lock v:ext="edit" aspectratio="f"/>
            </v:line>
          </w:pict>
        </mc:Fallback>
      </mc:AlternateContent>
    </w:r>
    <w:r>
      <w:rPr>
        <w:rFonts w:hint="eastAsia" w:ascii="宋体" w:hAnsi="宋体" w:eastAsia="宋体" w:cs="宋体"/>
        <w:b/>
        <w:bCs/>
        <w:color w:val="005192"/>
        <w:sz w:val="28"/>
        <w:szCs w:val="44"/>
        <w:lang w:val="en-US" w:eastAsia="zh-CN"/>
      </w:rPr>
      <w:t>重重</w:t>
    </w:r>
    <w:r>
      <w:rPr>
        <w:rFonts w:hint="eastAsia" w:ascii="宋体" w:hAnsi="宋体" w:eastAsia="宋体" w:cs="宋体"/>
        <w:b/>
        <w:bCs/>
        <w:color w:val="005192"/>
        <w:sz w:val="28"/>
        <w:szCs w:val="44"/>
        <w:lang w:val="en-US" w:eastAsia="zh-Hans"/>
      </w:rPr>
      <w:t>庆市</w:t>
    </w:r>
    <w:r>
      <w:rPr>
        <w:rFonts w:hint="eastAsia" w:ascii="宋体" w:hAnsi="宋体" w:eastAsia="宋体" w:cs="宋体"/>
        <w:b/>
        <w:bCs/>
        <w:color w:val="005192"/>
        <w:sz w:val="28"/>
        <w:szCs w:val="44"/>
        <w:lang w:eastAsia="zh-CN"/>
      </w:rPr>
      <w:t>丰都县</w:t>
    </w:r>
    <w:r>
      <w:rPr>
        <w:rFonts w:hint="eastAsia" w:ascii="宋体" w:hAnsi="宋体" w:eastAsia="宋体" w:cs="宋体"/>
        <w:b/>
        <w:bCs/>
        <w:color w:val="005192"/>
        <w:sz w:val="28"/>
        <w:szCs w:val="44"/>
        <w:lang w:val="en-US" w:eastAsia="zh-CN"/>
      </w:rPr>
      <w:t>住房和城乡建设</w:t>
    </w:r>
    <w:r>
      <w:rPr>
        <w:rFonts w:hint="eastAsia" w:ascii="宋体" w:hAnsi="宋体" w:eastAsia="宋体" w:cs="宋体"/>
        <w:b/>
        <w:bCs/>
        <w:color w:val="005192"/>
        <w:sz w:val="28"/>
        <w:szCs w:val="44"/>
        <w:lang w:eastAsia="zh-CN"/>
      </w:rPr>
      <w:t>委员会</w:t>
    </w:r>
    <w:r>
      <w:rPr>
        <w:rFonts w:hint="eastAsia" w:ascii="宋体" w:hAnsi="宋体" w:eastAsia="宋体" w:cs="宋体"/>
        <w:b/>
        <w:bCs/>
        <w:color w:val="005192"/>
        <w:sz w:val="28"/>
        <w:szCs w:val="44"/>
        <w:lang w:val="en-US" w:eastAsia="zh-CN"/>
      </w:rPr>
      <w:t>发布</w:t>
    </w:r>
  </w:p>
  <w:p w14:paraId="6B52A0DD">
    <w:pPr>
      <w:pStyle w:val="8"/>
      <w:wordWrap w:val="0"/>
      <w:ind w:left="4788" w:leftChars="2280" w:firstLine="5622" w:firstLineChars="2000"/>
      <w:jc w:val="right"/>
      <w:rPr>
        <w:rFonts w:hint="eastAsia" w:ascii="宋体" w:hAnsi="宋体" w:eastAsia="宋体" w:cs="宋体"/>
        <w:b/>
        <w:bCs/>
        <w:color w:val="005192"/>
        <w:sz w:val="28"/>
        <w:szCs w:val="44"/>
        <w:lang w:val="en-US" w:eastAsia="zh-CN"/>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273FA1">
    <w:pPr>
      <w:pStyle w:val="8"/>
      <w:keepNext w:val="0"/>
      <w:keepLines w:val="0"/>
      <w:pageBreakBefore w:val="0"/>
      <w:widowControl w:val="0"/>
      <w:kinsoku/>
      <w:wordWrap/>
      <w:overflowPunct/>
      <w:topLinePunct w:val="0"/>
      <w:autoSpaceDE/>
      <w:autoSpaceDN/>
      <w:bidi w:val="0"/>
      <w:adjustRightInd/>
      <w:snapToGrid w:val="0"/>
      <w:textAlignment w:val="center"/>
      <w:rPr>
        <w:rFonts w:hint="eastAsia" w:ascii="方正仿宋_GBK" w:hAnsi="方正仿宋_GBK" w:eastAsia="方正仿宋_GBK" w:cs="方正仿宋_GBK"/>
        <w:b/>
        <w:bCs/>
        <w:color w:val="000000" w:themeColor="text1"/>
        <w:sz w:val="32"/>
        <w:lang w:val="en-US" w:eastAsia="zh-CN"/>
        <w14:textFill>
          <w14:solidFill>
            <w14:schemeClr w14:val="tx1"/>
          </w14:solidFill>
        </w14:textFill>
      </w:rPr>
    </w:pPr>
    <w:r>
      <w:rPr>
        <w:rFonts w:hint="eastAsia" w:ascii="方正仿宋_GBK" w:hAnsi="方正仿宋_GBK" w:eastAsia="方正仿宋_GBK" w:cs="方正仿宋_GBK"/>
        <w:b/>
        <w:bCs/>
        <w:color w:val="000000" w:themeColor="text1"/>
        <w:sz w:val="32"/>
        <w14:textFill>
          <w14:solidFill>
            <w14:schemeClr w14:val="tx1"/>
          </w14:solidFill>
        </w14:textFill>
      </w:rP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690245</wp:posOffset>
              </wp:positionV>
              <wp:extent cx="5620385" cy="0"/>
              <wp:effectExtent l="0" t="12700" r="18415" b="15875"/>
              <wp:wrapNone/>
              <wp:docPr id="4" name="直接连接符 4"/>
              <wp:cNvGraphicFramePr/>
              <a:graphic xmlns:a="http://schemas.openxmlformats.org/drawingml/2006/main">
                <a:graphicData uri="http://schemas.microsoft.com/office/word/2010/wordprocessingShape">
                  <wps:wsp>
                    <wps:cNvCnPr/>
                    <wps:spPr>
                      <a:xfrm>
                        <a:off x="4133850" y="864870"/>
                        <a:ext cx="5620385" cy="0"/>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pt;margin-top:54.35pt;height:0pt;width:442.55pt;z-index:251659264;mso-width-relative:page;mso-height-relative:page;" filled="f" stroked="t" coordsize="21600,21600" o:gfxdata="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A3EeSs1AAAAAgBAAAPAAAAAAAAAAEAIAAAACIAAABkcnMvZG93bnJldi54bWxQSwECFAAUAAAA&#10;CACHTuJABe67HvIBAAC9AwAADgAAAAAAAAABACAAAAAjAQAAZHJzL2Uyb0RvYy54bWxQSwUGAAAA&#10;AAYABgBZAQAAhwUAAAAA&#10;">
              <v:fill on="f" focussize="0,0"/>
              <v:stroke weight="1.75pt" color="#005192 [3204]" miterlimit="8" joinstyle="miter"/>
              <v:imagedata o:title=""/>
              <o:lock v:ext="edit" aspectratio="f"/>
            </v:line>
          </w:pict>
        </mc:Fallback>
      </mc:AlternateContent>
    </w:r>
  </w:p>
  <w:p w14:paraId="2FD479F4">
    <w:pPr>
      <w:pStyle w:val="8"/>
      <w:keepNext w:val="0"/>
      <w:keepLines w:val="0"/>
      <w:pageBreakBefore w:val="0"/>
      <w:widowControl w:val="0"/>
      <w:kinsoku/>
      <w:wordWrap/>
      <w:overflowPunct/>
      <w:topLinePunct w:val="0"/>
      <w:autoSpaceDE/>
      <w:autoSpaceDN/>
      <w:bidi w:val="0"/>
      <w:adjustRightInd/>
      <w:snapToGrid w:val="0"/>
      <w:textAlignment w:val="center"/>
      <w:rPr>
        <w:rFonts w:hint="eastAsia" w:ascii="宋体" w:hAnsi="宋体" w:eastAsia="宋体" w:cs="宋体"/>
        <w:b/>
        <w:bCs/>
        <w:color w:val="005192"/>
        <w:sz w:val="32"/>
        <w:szCs w:val="32"/>
        <w:lang w:val="en-US" w:eastAsia="zh-CN"/>
      </w:rPr>
    </w:pPr>
    <w:r>
      <w:rPr>
        <w:rFonts w:hint="eastAsia" w:ascii="宋体" w:hAnsi="宋体" w:eastAsia="宋体" w:cs="宋体"/>
        <w:b/>
        <w:bCs/>
        <w:color w:val="005192"/>
        <w:sz w:val="32"/>
      </w:rPr>
      <w:drawing>
        <wp:inline distT="0" distB="0" distL="114300" distR="114300">
          <wp:extent cx="308610" cy="308610"/>
          <wp:effectExtent l="0" t="0" r="11430" b="11430"/>
          <wp:docPr id="6" name="图片 6"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国徽1024"/>
                  <pic:cNvPicPr>
                    <a:picLocks noChangeAspect="1"/>
                  </pic:cNvPicPr>
                </pic:nvPicPr>
                <pic:blipFill>
                  <a:blip r:embed="rId1"/>
                  <a:stretch>
                    <a:fillRect/>
                  </a:stretch>
                </pic:blipFill>
                <pic:spPr>
                  <a:xfrm>
                    <a:off x="0" y="0"/>
                    <a:ext cx="308610" cy="308610"/>
                  </a:xfrm>
                  <a:prstGeom prst="rect">
                    <a:avLst/>
                  </a:prstGeom>
                </pic:spPr>
              </pic:pic>
            </a:graphicData>
          </a:graphic>
        </wp:inline>
      </w:drawing>
    </w:r>
    <w:r>
      <w:rPr>
        <w:rFonts w:hint="eastAsia" w:ascii="宋体" w:hAnsi="宋体" w:eastAsia="宋体" w:cs="宋体"/>
        <w:b/>
        <w:bCs/>
        <w:color w:val="005192"/>
        <w:sz w:val="32"/>
        <w:lang w:val="en-US" w:eastAsia="zh-Hans"/>
      </w:rPr>
      <w:t>重庆市丰都县住房和城乡建设委员会行政</w:t>
    </w:r>
    <w:r>
      <w:rPr>
        <w:rFonts w:hint="eastAsia" w:ascii="宋体" w:hAnsi="宋体" w:eastAsia="宋体" w:cs="宋体"/>
        <w:b/>
        <w:bCs/>
        <w:color w:val="005192"/>
        <w:sz w:val="32"/>
        <w:szCs w:val="32"/>
        <w:lang w:val="en-US" w:eastAsia="zh-Hans"/>
      </w:rPr>
      <w:t>规范性文件</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8"/>
  <w:displayHorizontalDrawingGridEvery w:val="0"/>
  <w:displayVerticalDrawingGridEvery w:val="2"/>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U0OGM2YjIzZGY4YjYxYjg3NGQzMjQ1MGYxZWU1ZTQifQ=="/>
  </w:docVars>
  <w:rsids>
    <w:rsidRoot w:val="00172A27"/>
    <w:rsid w:val="019E71BD"/>
    <w:rsid w:val="037D1AEC"/>
    <w:rsid w:val="041C42DA"/>
    <w:rsid w:val="04B679C3"/>
    <w:rsid w:val="05014C42"/>
    <w:rsid w:val="058D42D3"/>
    <w:rsid w:val="05F07036"/>
    <w:rsid w:val="06CE258E"/>
    <w:rsid w:val="06E00104"/>
    <w:rsid w:val="080F63D8"/>
    <w:rsid w:val="08BB245F"/>
    <w:rsid w:val="09341458"/>
    <w:rsid w:val="098254C2"/>
    <w:rsid w:val="0A766EDE"/>
    <w:rsid w:val="0AD64BE8"/>
    <w:rsid w:val="0B0912D7"/>
    <w:rsid w:val="0B105872"/>
    <w:rsid w:val="0E025194"/>
    <w:rsid w:val="152D2DCA"/>
    <w:rsid w:val="187168EA"/>
    <w:rsid w:val="196673CA"/>
    <w:rsid w:val="1B2F4AEE"/>
    <w:rsid w:val="1CEE7FA7"/>
    <w:rsid w:val="1CF734C9"/>
    <w:rsid w:val="1DEC284C"/>
    <w:rsid w:val="1E6523AC"/>
    <w:rsid w:val="20AB622D"/>
    <w:rsid w:val="22440422"/>
    <w:rsid w:val="22BB4BBB"/>
    <w:rsid w:val="2AEB3417"/>
    <w:rsid w:val="2C3F15A1"/>
    <w:rsid w:val="31A15F24"/>
    <w:rsid w:val="324A1681"/>
    <w:rsid w:val="34BC11B3"/>
    <w:rsid w:val="369707D6"/>
    <w:rsid w:val="36FB1DF0"/>
    <w:rsid w:val="38202C36"/>
    <w:rsid w:val="38F9620F"/>
    <w:rsid w:val="395347B5"/>
    <w:rsid w:val="39A232A0"/>
    <w:rsid w:val="39E745AA"/>
    <w:rsid w:val="3B5A6BBB"/>
    <w:rsid w:val="3C10207E"/>
    <w:rsid w:val="3EDA13A6"/>
    <w:rsid w:val="417B75E9"/>
    <w:rsid w:val="41F31AB5"/>
    <w:rsid w:val="42F058B7"/>
    <w:rsid w:val="43266FB8"/>
    <w:rsid w:val="436109F6"/>
    <w:rsid w:val="441A38D4"/>
    <w:rsid w:val="443D48A5"/>
    <w:rsid w:val="4504239D"/>
    <w:rsid w:val="4BC77339"/>
    <w:rsid w:val="4C05586E"/>
    <w:rsid w:val="4C9236C5"/>
    <w:rsid w:val="4E250A85"/>
    <w:rsid w:val="4FCA6ED8"/>
    <w:rsid w:val="4FFD4925"/>
    <w:rsid w:val="505C172E"/>
    <w:rsid w:val="506405EA"/>
    <w:rsid w:val="52F46F0B"/>
    <w:rsid w:val="532B6A10"/>
    <w:rsid w:val="53D8014D"/>
    <w:rsid w:val="55E064E0"/>
    <w:rsid w:val="55EC4FFD"/>
    <w:rsid w:val="56475B5B"/>
    <w:rsid w:val="56B31CC0"/>
    <w:rsid w:val="572C6D10"/>
    <w:rsid w:val="5DC34279"/>
    <w:rsid w:val="5FCD688E"/>
    <w:rsid w:val="5FF9BDAA"/>
    <w:rsid w:val="5FFE5333"/>
    <w:rsid w:val="608816D1"/>
    <w:rsid w:val="60EF4E7F"/>
    <w:rsid w:val="630701F3"/>
    <w:rsid w:val="648B0A32"/>
    <w:rsid w:val="64BE718C"/>
    <w:rsid w:val="665233C1"/>
    <w:rsid w:val="69255BCE"/>
    <w:rsid w:val="69AC0D42"/>
    <w:rsid w:val="6AD9688B"/>
    <w:rsid w:val="6B1C3BBC"/>
    <w:rsid w:val="6D0E3F22"/>
    <w:rsid w:val="744E4660"/>
    <w:rsid w:val="753355A2"/>
    <w:rsid w:val="759F1C61"/>
    <w:rsid w:val="769F2DE8"/>
    <w:rsid w:val="76FDEB7C"/>
    <w:rsid w:val="79C65162"/>
    <w:rsid w:val="7C9011D9"/>
    <w:rsid w:val="7DC651C5"/>
    <w:rsid w:val="7DF350ED"/>
    <w:rsid w:val="7F9DA0E8"/>
    <w:rsid w:val="7FCC2834"/>
    <w:rsid w:val="7FF6A4EF"/>
    <w:rsid w:val="92DD1CEF"/>
    <w:rsid w:val="F05B4F69"/>
    <w:rsid w:val="F97D9566"/>
    <w:rsid w:val="FDFF411C"/>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qFormat="1" w:uiPriority="99"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4"/>
    <w:basedOn w:val="1"/>
    <w:next w:val="1"/>
    <w:autoRedefine/>
    <w:unhideWhenUsed/>
    <w:qFormat/>
    <w:uiPriority w:val="0"/>
    <w:pPr>
      <w:keepNext/>
      <w:keepLines/>
      <w:spacing w:before="280" w:after="290" w:line="372" w:lineRule="auto"/>
      <w:outlineLvl w:val="3"/>
    </w:pPr>
    <w:rPr>
      <w:rFonts w:ascii="Arial" w:hAnsi="Arial" w:eastAsia="黑体"/>
      <w:b/>
      <w:sz w:val="28"/>
    </w:rPr>
  </w:style>
  <w:style w:type="character" w:default="1" w:styleId="12">
    <w:name w:val="Default Paragraph Font"/>
    <w:autoRedefine/>
    <w:semiHidden/>
    <w:qFormat/>
    <w:uiPriority w:val="0"/>
  </w:style>
  <w:style w:type="table" w:default="1" w:styleId="10">
    <w:name w:val="Normal Table"/>
    <w:autoRedefine/>
    <w:semiHidden/>
    <w:qFormat/>
    <w:uiPriority w:val="0"/>
    <w:tblPr>
      <w:tblCellMar>
        <w:top w:w="0" w:type="dxa"/>
        <w:left w:w="108" w:type="dxa"/>
        <w:bottom w:w="0" w:type="dxa"/>
        <w:right w:w="108" w:type="dxa"/>
      </w:tblCellMar>
    </w:tblPr>
  </w:style>
  <w:style w:type="paragraph" w:styleId="3">
    <w:name w:val="table of authorities"/>
    <w:basedOn w:val="1"/>
    <w:next w:val="1"/>
    <w:unhideWhenUsed/>
    <w:qFormat/>
    <w:uiPriority w:val="99"/>
    <w:pPr>
      <w:keepNext w:val="0"/>
      <w:keepLines w:val="0"/>
      <w:widowControl w:val="0"/>
      <w:suppressLineNumbers w:val="0"/>
      <w:ind w:left="420" w:leftChars="200"/>
      <w:jc w:val="both"/>
    </w:pPr>
    <w:rPr>
      <w:rFonts w:hint="default" w:ascii="Times New Roman" w:hAnsi="Times New Roman" w:eastAsia="方正仿宋_GBK" w:cs="Times New Roman"/>
      <w:kern w:val="2"/>
      <w:sz w:val="32"/>
      <w:szCs w:val="32"/>
      <w:lang w:val="en-US" w:eastAsia="zh-CN" w:bidi="ar"/>
    </w:rPr>
  </w:style>
  <w:style w:type="paragraph" w:styleId="4">
    <w:name w:val="annotation text"/>
    <w:basedOn w:val="1"/>
    <w:autoRedefine/>
    <w:qFormat/>
    <w:uiPriority w:val="0"/>
    <w:pPr>
      <w:jc w:val="left"/>
    </w:pPr>
  </w:style>
  <w:style w:type="paragraph" w:styleId="5">
    <w:name w:val="Body Text"/>
    <w:basedOn w:val="1"/>
    <w:autoRedefine/>
    <w:qFormat/>
    <w:uiPriority w:val="0"/>
    <w:pPr>
      <w:adjustRightInd w:val="0"/>
      <w:snapToGrid w:val="0"/>
      <w:spacing w:line="336" w:lineRule="auto"/>
    </w:pPr>
    <w:rPr>
      <w:rFonts w:ascii="Times New Roman" w:hAnsi="Times New Roman" w:eastAsia="仿宋_GB2312"/>
      <w:kern w:val="0"/>
      <w:sz w:val="32"/>
      <w:szCs w:val="20"/>
    </w:rPr>
  </w:style>
  <w:style w:type="paragraph" w:styleId="6">
    <w:name w:val="footer"/>
    <w:basedOn w:val="1"/>
    <w:next w:val="7"/>
    <w:autoRedefine/>
    <w:qFormat/>
    <w:uiPriority w:val="0"/>
    <w:pPr>
      <w:tabs>
        <w:tab w:val="center" w:pos="4153"/>
        <w:tab w:val="right" w:pos="8306"/>
      </w:tabs>
      <w:snapToGrid w:val="0"/>
      <w:jc w:val="left"/>
    </w:pPr>
    <w:rPr>
      <w:sz w:val="18"/>
    </w:rPr>
  </w:style>
  <w:style w:type="paragraph" w:customStyle="1" w:styleId="7">
    <w:name w:val="索引 51"/>
    <w:basedOn w:val="1"/>
    <w:next w:val="1"/>
    <w:autoRedefine/>
    <w:qFormat/>
    <w:uiPriority w:val="0"/>
    <w:pPr>
      <w:ind w:left="1680"/>
    </w:pPr>
  </w:style>
  <w:style w:type="paragraph" w:styleId="8">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9">
    <w:name w:val="Normal (Web)"/>
    <w:basedOn w:val="1"/>
    <w:autoRedefine/>
    <w:qFormat/>
    <w:uiPriority w:val="0"/>
    <w:pPr>
      <w:spacing w:before="0" w:beforeAutospacing="1" w:after="0" w:afterAutospacing="1"/>
      <w:ind w:left="0" w:right="0"/>
      <w:jc w:val="left"/>
    </w:pPr>
    <w:rPr>
      <w:kern w:val="0"/>
      <w:sz w:val="24"/>
      <w:lang w:val="en-US" w:eastAsia="zh-CN" w:bidi="ar"/>
    </w:rPr>
  </w:style>
  <w:style w:type="table" w:styleId="11">
    <w:name w:val="Table Grid"/>
    <w:basedOn w:val="1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3">
    <w:name w:val="Strong"/>
    <w:basedOn w:val="12"/>
    <w:autoRedefine/>
    <w:qFormat/>
    <w:uiPriority w:val="0"/>
    <w:rPr>
      <w:b/>
      <w:bCs/>
    </w:rPr>
  </w:style>
  <w:style w:type="paragraph" w:customStyle="1" w:styleId="14">
    <w:name w:val="p0"/>
    <w:basedOn w:val="1"/>
    <w:autoRedefine/>
    <w:qFormat/>
    <w:uiPriority w:val="0"/>
    <w:pPr>
      <w:widowControl/>
    </w:pPr>
    <w:rPr>
      <w:rFonts w:ascii="Calibri" w:hAnsi="Calibri" w:eastAsia="宋体" w:cs="宋体"/>
      <w:kern w:val="0"/>
      <w:szCs w:val="3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20</Pages>
  <Words>4210</Words>
  <Characters>4244</Characters>
  <Lines>1</Lines>
  <Paragraphs>1</Paragraphs>
  <TotalTime>156</TotalTime>
  <ScaleCrop>false</ScaleCrop>
  <LinksUpToDate>false</LinksUpToDate>
  <CharactersWithSpaces>4244</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2021-09-11T02:41:00Z</dcterms:created>
  <dc:creator>t</dc:creator>
  <cp:lastModifiedBy>丫丫</cp:lastModifiedBy>
  <cp:lastPrinted>2022-05-12T00:46:00Z</cp:lastPrinted>
  <dcterms:modified xsi:type="dcterms:W3CDTF">2025-09-17T01:35:06Z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E04CA4E2A228485DB60CE170F9642508_13</vt:lpwstr>
  </property>
  <property fmtid="{D5CDD505-2E9C-101B-9397-08002B2CF9AE}" pid="4" name="KSOTemplateDocerSaveRecord">
    <vt:lpwstr>eyJoZGlkIjoiZWExNjJkNmEyNDY2MGI3ZmYwMjg3YTQxMmU5NzgzYTYiLCJ1c2VySWQiOiI4NjkyMTQ3MTEifQ==</vt:lpwstr>
  </property>
</Properties>
</file>