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5F429E">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jc w:val="center"/>
        <w:rPr>
          <w:rFonts w:ascii="Times New Roman" w:hAnsi="Times New Roman" w:eastAsia="方正小标宋_GBK" w:cs="Times New Roman"/>
          <w:color w:val="000000" w:themeColor="text1"/>
          <w:kern w:val="2"/>
          <w:sz w:val="44"/>
          <w:szCs w:val="44"/>
          <w:lang w:eastAsia="zh-Hans"/>
          <w14:textFill>
            <w14:solidFill>
              <w14:schemeClr w14:val="tx1"/>
            </w14:solidFill>
          </w14:textFill>
        </w:rPr>
      </w:pPr>
      <w:r>
        <w:rPr>
          <w:rFonts w:hint="eastAsia" w:ascii="Times New Roman" w:hAnsi="Times New Roman" w:eastAsia="方正小标宋_GBK" w:cs="Times New Roman"/>
          <w:color w:val="000000" w:themeColor="text1"/>
          <w:kern w:val="2"/>
          <w:sz w:val="44"/>
          <w:szCs w:val="44"/>
          <w:lang w:eastAsia="zh-Hans"/>
          <w14:textFill>
            <w14:solidFill>
              <w14:schemeClr w14:val="tx1"/>
            </w14:solidFill>
          </w14:textFill>
        </w:rPr>
        <w:t>重庆市丰都县住房和城乡建设委员会（本级）</w:t>
      </w:r>
    </w:p>
    <w:p w14:paraId="0C5D0240">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jc w:val="center"/>
        <w:rPr>
          <w:rFonts w:hint="eastAsia" w:ascii="Times New Roman" w:hAnsi="Times New Roman" w:eastAsia="方正小标宋_GBK" w:cs="Times New Roman"/>
          <w:color w:val="000000" w:themeColor="text1"/>
          <w:kern w:val="2"/>
          <w:sz w:val="44"/>
          <w:szCs w:val="44"/>
          <w:lang w:eastAsia="zh-Hans"/>
          <w14:textFill>
            <w14:solidFill>
              <w14:schemeClr w14:val="tx1"/>
            </w14:solidFill>
          </w14:textFill>
        </w:rPr>
      </w:pPr>
      <w:r>
        <w:rPr>
          <w:rFonts w:hint="eastAsia" w:ascii="Times New Roman" w:hAnsi="Times New Roman" w:eastAsia="方正小标宋_GBK" w:cs="Times New Roman"/>
          <w:color w:val="000000" w:themeColor="text1"/>
          <w:kern w:val="2"/>
          <w:sz w:val="44"/>
          <w:szCs w:val="44"/>
          <w:lang w:eastAsia="zh-Hans"/>
          <w14:textFill>
            <w14:solidFill>
              <w14:schemeClr w14:val="tx1"/>
            </w14:solidFill>
          </w14:textFill>
        </w:rPr>
        <w:t>2022年度部门决算情况说明</w:t>
      </w:r>
    </w:p>
    <w:p w14:paraId="1003631A">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rPr>
          <w:rStyle w:val="5"/>
          <w:rFonts w:hint="eastAsia" w:ascii="方正黑体_GBK" w:hAnsi="方正黑体_GBK" w:eastAsia="方正黑体_GBK" w:cs="方正黑体_GBK"/>
          <w:b w:val="0"/>
          <w:bCs w:val="0"/>
          <w:color w:val="000000" w:themeColor="text1"/>
          <w:sz w:val="32"/>
          <w:szCs w:val="32"/>
          <w:lang w:eastAsia="zh-Hans"/>
          <w14:textFill>
            <w14:solidFill>
              <w14:schemeClr w14:val="tx1"/>
            </w14:solidFill>
          </w14:textFill>
        </w:rPr>
      </w:pPr>
    </w:p>
    <w:p w14:paraId="23EF6B32">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rPr>
          <w:rFonts w:hint="eastAsia" w:ascii="方正黑体_GBK" w:hAnsi="方正黑体_GBK" w:eastAsia="方正黑体_GBK" w:cs="方正黑体_GBK"/>
          <w:b w:val="0"/>
          <w:bCs w:val="0"/>
          <w:color w:val="000000" w:themeColor="text1"/>
          <w:sz w:val="32"/>
          <w:szCs w:val="32"/>
          <w:lang w:eastAsia="zh-Hans"/>
          <w14:textFill>
            <w14:solidFill>
              <w14:schemeClr w14:val="tx1"/>
            </w14:solidFill>
          </w14:textFill>
        </w:rPr>
      </w:pPr>
      <w:r>
        <w:rPr>
          <w:rStyle w:val="5"/>
          <w:rFonts w:hint="eastAsia" w:ascii="方正黑体_GBK" w:hAnsi="方正黑体_GBK" w:eastAsia="方正黑体_GBK" w:cs="方正黑体_GBK"/>
          <w:b w:val="0"/>
          <w:bCs w:val="0"/>
          <w:color w:val="000000" w:themeColor="text1"/>
          <w:sz w:val="32"/>
          <w:szCs w:val="32"/>
          <w:lang w:eastAsia="zh-Hans"/>
          <w14:textFill>
            <w14:solidFill>
              <w14:schemeClr w14:val="tx1"/>
            </w14:solidFill>
          </w14:textFill>
        </w:rPr>
        <w:t>一、部门基本情况</w:t>
      </w:r>
    </w:p>
    <w:p w14:paraId="52D8B940">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rPr>
          <w:rFonts w:hint="eastAsia" w:ascii="方正楷体_GBK" w:hAnsi="方正楷体_GBK" w:eastAsia="方正楷体_GBK" w:cs="方正楷体_GBK"/>
          <w:b w:val="0"/>
          <w:bCs w:val="0"/>
          <w:color w:val="000000" w:themeColor="text1"/>
          <w:sz w:val="32"/>
          <w:szCs w:val="32"/>
          <w:lang w:eastAsia="zh-Hans"/>
          <w14:textFill>
            <w14:solidFill>
              <w14:schemeClr w14:val="tx1"/>
            </w14:solidFill>
          </w14:textFill>
        </w:rPr>
      </w:pPr>
      <w:r>
        <w:rPr>
          <w:rStyle w:val="5"/>
          <w:rFonts w:hint="eastAsia" w:ascii="方正楷体_GBK" w:hAnsi="方正楷体_GBK" w:eastAsia="方正楷体_GBK" w:cs="方正楷体_GBK"/>
          <w:b w:val="0"/>
          <w:bCs w:val="0"/>
          <w:color w:val="000000" w:themeColor="text1"/>
          <w:sz w:val="32"/>
          <w:szCs w:val="32"/>
          <w:lang w:eastAsia="zh-Hans"/>
          <w14:textFill>
            <w14:solidFill>
              <w14:schemeClr w14:val="tx1"/>
            </w14:solidFill>
          </w14:textFill>
        </w:rPr>
        <w:t>（一）职能职责</w:t>
      </w:r>
    </w:p>
    <w:p w14:paraId="4B5FBAF4">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rPr>
          <w:rFonts w:hint="eastAsia" w:ascii="Times New Roman" w:hAnsi="Times New Roman" w:eastAsia="方正仿宋_GBK" w:cs="Times New Roman"/>
          <w:color w:val="000000" w:themeColor="text1"/>
          <w:kern w:val="2"/>
          <w:sz w:val="32"/>
          <w:szCs w:val="32"/>
          <w:lang w:val="en-US" w:eastAsia="zh-Hans" w:bidi="ar-SA"/>
          <w14:textFill>
            <w14:solidFill>
              <w14:schemeClr w14:val="tx1"/>
            </w14:solidFill>
          </w14:textFill>
        </w:rPr>
      </w:pPr>
      <w:r>
        <w:rPr>
          <w:rFonts w:hint="eastAsia" w:ascii="Times New Roman" w:hAnsi="Times New Roman" w:eastAsia="方正仿宋_GBK" w:cs="Times New Roman"/>
          <w:color w:val="000000" w:themeColor="text1"/>
          <w:kern w:val="2"/>
          <w:sz w:val="32"/>
          <w:szCs w:val="32"/>
          <w:lang w:val="en-US" w:eastAsia="zh-Hans" w:bidi="ar-SA"/>
          <w14:textFill>
            <w14:solidFill>
              <w14:schemeClr w14:val="tx1"/>
            </w14:solidFill>
          </w14:textFill>
        </w:rPr>
        <w:t>丰都县住房和城乡建设委员会是县政府工作部门，为正科级，挂丰都县人民防空办公室牌子。主要职能职责：1．负责推进住房和城乡建设事业改革发展。2．负责住房和城乡建设财政性资金的监督管理。负责城市建设配套费征收和管理。3．负责房地产行业的监督管理。4．负责建筑行业的监督管理。5．负责勘察设计行业的监督管理。6．负责住房保障工作。7．统筹推进城市基础设施建设工作。8．负责统筹推进城市提升工作。9．统筹城市人居环境改善工作。10．负责城镇排水与污水处理的监督管理。指导乡镇污水处理管理工作。11．负责推进城市修补和有机更新。12．指导村镇建设。13．负责建设科技推广应用。14．负责绿色建筑与建筑节能管理。15．负责建设工程消防设计审查验收相关工作。16．负责住房和城建档案管理，指导行业人才队伍建设，承担建筑工程专业技术资格管理工作。17．完成县委、县政府交办的其他任务。</w:t>
      </w:r>
    </w:p>
    <w:p w14:paraId="4402E7B4">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rPr>
          <w:rStyle w:val="5"/>
          <w:rFonts w:hint="eastAsia" w:ascii="方正楷体_GBK" w:hAnsi="方正楷体_GBK" w:eastAsia="方正楷体_GBK" w:cs="方正楷体_GBK"/>
          <w:b w:val="0"/>
          <w:bCs w:val="0"/>
          <w:color w:val="000000" w:themeColor="text1"/>
          <w:sz w:val="32"/>
          <w:szCs w:val="32"/>
          <w:lang w:eastAsia="zh-Hans"/>
          <w14:textFill>
            <w14:solidFill>
              <w14:schemeClr w14:val="tx1"/>
            </w14:solidFill>
          </w14:textFill>
        </w:rPr>
      </w:pPr>
      <w:r>
        <w:rPr>
          <w:rStyle w:val="5"/>
          <w:rFonts w:hint="eastAsia" w:ascii="方正楷体_GBK" w:hAnsi="方正楷体_GBK" w:eastAsia="方正楷体_GBK" w:cs="方正楷体_GBK"/>
          <w:b w:val="0"/>
          <w:bCs w:val="0"/>
          <w:color w:val="000000" w:themeColor="text1"/>
          <w:sz w:val="32"/>
          <w:szCs w:val="32"/>
          <w:lang w:eastAsia="zh-Hans"/>
          <w14:textFill>
            <w14:solidFill>
              <w14:schemeClr w14:val="tx1"/>
            </w14:solidFill>
          </w14:textFill>
        </w:rPr>
        <w:t>（二）机构设置</w:t>
      </w:r>
    </w:p>
    <w:p w14:paraId="4080EAAC">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rPr>
          <w:rFonts w:hint="eastAsia" w:ascii="Times New Roman" w:hAnsi="Times New Roman" w:eastAsia="方正仿宋_GBK" w:cs="Times New Roman"/>
          <w:color w:val="000000" w:themeColor="text1"/>
          <w:kern w:val="2"/>
          <w:sz w:val="32"/>
          <w:szCs w:val="32"/>
          <w:lang w:val="en-US" w:eastAsia="zh-Hans" w:bidi="ar-SA"/>
          <w14:textFill>
            <w14:solidFill>
              <w14:schemeClr w14:val="tx1"/>
            </w14:solidFill>
          </w14:textFill>
        </w:rPr>
      </w:pPr>
      <w:r>
        <w:rPr>
          <w:rFonts w:hint="eastAsia" w:ascii="Times New Roman" w:hAnsi="Times New Roman" w:eastAsia="方正仿宋_GBK" w:cs="Times New Roman"/>
          <w:color w:val="000000" w:themeColor="text1"/>
          <w:kern w:val="2"/>
          <w:sz w:val="32"/>
          <w:szCs w:val="32"/>
          <w:lang w:val="en-US" w:eastAsia="zh-Hans" w:bidi="ar-SA"/>
          <w14:textFill>
            <w14:solidFill>
              <w14:schemeClr w14:val="tx1"/>
            </w14:solidFill>
          </w14:textFill>
        </w:rPr>
        <w:t>丰都县住房和城乡建设委员会内设8个职能科室：即办公室、法规与安全科、设计与绿色发展科（消防科）、建筑业管理科（行政审批服务科）、市政工程科（人防科）、村镇建设科、房地产管理科、住房管理科。编制总人数2</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1</w:t>
      </w:r>
      <w:r>
        <w:rPr>
          <w:rFonts w:hint="eastAsia" w:ascii="Times New Roman" w:hAnsi="Times New Roman" w:eastAsia="方正仿宋_GBK" w:cs="Times New Roman"/>
          <w:color w:val="000000" w:themeColor="text1"/>
          <w:kern w:val="2"/>
          <w:sz w:val="32"/>
          <w:szCs w:val="32"/>
          <w:lang w:val="en-US" w:eastAsia="zh-Hans" w:bidi="ar-SA"/>
          <w14:textFill>
            <w14:solidFill>
              <w14:schemeClr w14:val="tx1"/>
            </w14:solidFill>
          </w14:textFill>
        </w:rPr>
        <w:t>人，其中行政编制18人，工勤编</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3</w:t>
      </w:r>
      <w:r>
        <w:rPr>
          <w:rFonts w:hint="eastAsia" w:ascii="Times New Roman" w:hAnsi="Times New Roman" w:eastAsia="方正仿宋_GBK" w:cs="Times New Roman"/>
          <w:color w:val="000000" w:themeColor="text1"/>
          <w:kern w:val="2"/>
          <w:sz w:val="32"/>
          <w:szCs w:val="32"/>
          <w:lang w:val="en-US" w:eastAsia="zh-Hans" w:bidi="ar-SA"/>
          <w14:textFill>
            <w14:solidFill>
              <w14:schemeClr w14:val="tx1"/>
            </w14:solidFill>
          </w14:textFill>
        </w:rPr>
        <w:t>人。实有人数2</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1</w:t>
      </w:r>
      <w:r>
        <w:rPr>
          <w:rFonts w:hint="eastAsia" w:ascii="Times New Roman" w:hAnsi="Times New Roman" w:eastAsia="方正仿宋_GBK" w:cs="Times New Roman"/>
          <w:color w:val="000000" w:themeColor="text1"/>
          <w:kern w:val="2"/>
          <w:sz w:val="32"/>
          <w:szCs w:val="32"/>
          <w:lang w:val="en-US" w:eastAsia="zh-Hans" w:bidi="ar-SA"/>
          <w14:textFill>
            <w14:solidFill>
              <w14:schemeClr w14:val="tx1"/>
            </w14:solidFill>
          </w14:textFill>
        </w:rPr>
        <w:t>人（其中行政人员1</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8</w:t>
      </w:r>
      <w:r>
        <w:rPr>
          <w:rFonts w:hint="eastAsia" w:ascii="Times New Roman" w:hAnsi="Times New Roman" w:eastAsia="方正仿宋_GBK" w:cs="Times New Roman"/>
          <w:color w:val="000000" w:themeColor="text1"/>
          <w:kern w:val="2"/>
          <w:sz w:val="32"/>
          <w:szCs w:val="32"/>
          <w:lang w:val="en-US" w:eastAsia="zh-Hans" w:bidi="ar-SA"/>
          <w14:textFill>
            <w14:solidFill>
              <w14:schemeClr w14:val="tx1"/>
            </w14:solidFill>
          </w14:textFill>
        </w:rPr>
        <w:t>人，工勤人员3人）</w:t>
      </w:r>
    </w:p>
    <w:p w14:paraId="413812BA">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rPr>
          <w:rStyle w:val="5"/>
          <w:rFonts w:hint="eastAsia" w:ascii="方正楷体_GBK" w:hAnsi="方正楷体_GBK" w:eastAsia="方正楷体_GBK" w:cs="方正楷体_GBK"/>
          <w:b w:val="0"/>
          <w:bCs w:val="0"/>
          <w:color w:val="000000" w:themeColor="text1"/>
          <w:sz w:val="32"/>
          <w:szCs w:val="32"/>
          <w:lang w:eastAsia="zh-Hans"/>
          <w14:textFill>
            <w14:solidFill>
              <w14:schemeClr w14:val="tx1"/>
            </w14:solidFill>
          </w14:textFill>
        </w:rPr>
      </w:pPr>
      <w:r>
        <w:rPr>
          <w:rStyle w:val="5"/>
          <w:rFonts w:hint="eastAsia" w:ascii="方正楷体_GBK" w:hAnsi="方正楷体_GBK" w:eastAsia="方正楷体_GBK" w:cs="方正楷体_GBK"/>
          <w:b w:val="0"/>
          <w:bCs w:val="0"/>
          <w:color w:val="000000" w:themeColor="text1"/>
          <w:sz w:val="32"/>
          <w:szCs w:val="32"/>
          <w:lang w:eastAsia="zh-Hans"/>
          <w14:textFill>
            <w14:solidFill>
              <w14:schemeClr w14:val="tx1"/>
            </w14:solidFill>
          </w14:textFill>
        </w:rPr>
        <w:t>（三）单位构成</w:t>
      </w:r>
    </w:p>
    <w:p w14:paraId="1299FBE2">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rPr>
          <w:rFonts w:hint="eastAsia" w:ascii="Times New Roman" w:hAnsi="Times New Roman" w:eastAsia="方正仿宋_GBK" w:cs="Times New Roman"/>
          <w:color w:val="000000" w:themeColor="text1"/>
          <w:kern w:val="2"/>
          <w:sz w:val="32"/>
          <w:szCs w:val="32"/>
          <w:lang w:val="en-US" w:eastAsia="zh-Hans" w:bidi="ar-SA"/>
          <w14:textFill>
            <w14:solidFill>
              <w14:schemeClr w14:val="tx1"/>
            </w14:solidFill>
          </w14:textFill>
        </w:rPr>
      </w:pPr>
      <w:r>
        <w:rPr>
          <w:rFonts w:hint="eastAsia" w:ascii="Times New Roman" w:hAnsi="Times New Roman" w:eastAsia="方正仿宋_GBK" w:cs="Times New Roman"/>
          <w:color w:val="000000" w:themeColor="text1"/>
          <w:kern w:val="2"/>
          <w:sz w:val="32"/>
          <w:szCs w:val="32"/>
          <w:lang w:val="en-US" w:eastAsia="zh-Hans" w:bidi="ar-SA"/>
          <w14:textFill>
            <w14:solidFill>
              <w14:schemeClr w14:val="tx1"/>
            </w14:solidFill>
          </w14:textFill>
        </w:rPr>
        <w:t>本单位无纳入202</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2</w:t>
      </w:r>
      <w:r>
        <w:rPr>
          <w:rFonts w:hint="eastAsia" w:ascii="Times New Roman" w:hAnsi="Times New Roman" w:eastAsia="方正仿宋_GBK" w:cs="Times New Roman"/>
          <w:color w:val="000000" w:themeColor="text1"/>
          <w:kern w:val="2"/>
          <w:sz w:val="32"/>
          <w:szCs w:val="32"/>
          <w:lang w:val="en-US" w:eastAsia="zh-Hans" w:bidi="ar-SA"/>
          <w14:textFill>
            <w14:solidFill>
              <w14:schemeClr w14:val="tx1"/>
            </w14:solidFill>
          </w14:textFill>
        </w:rPr>
        <w:t>年度决算编制的下级预算单位。</w:t>
      </w:r>
    </w:p>
    <w:p w14:paraId="72FFA19D">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rPr>
          <w:rStyle w:val="5"/>
          <w:rFonts w:hint="eastAsia" w:ascii="方正黑体_GBK" w:hAnsi="方正黑体_GBK" w:eastAsia="方正黑体_GBK" w:cs="方正黑体_GBK"/>
          <w:b w:val="0"/>
          <w:bCs w:val="0"/>
          <w:color w:val="000000" w:themeColor="text1"/>
          <w:sz w:val="32"/>
          <w:szCs w:val="32"/>
          <w:lang w:eastAsia="zh-Hans"/>
          <w14:textFill>
            <w14:solidFill>
              <w14:schemeClr w14:val="tx1"/>
            </w14:solidFill>
          </w14:textFill>
        </w:rPr>
      </w:pPr>
      <w:r>
        <w:rPr>
          <w:rStyle w:val="5"/>
          <w:rFonts w:hint="eastAsia" w:ascii="方正黑体_GBK" w:hAnsi="方正黑体_GBK" w:eastAsia="方正黑体_GBK" w:cs="方正黑体_GBK"/>
          <w:b w:val="0"/>
          <w:bCs w:val="0"/>
          <w:color w:val="000000" w:themeColor="text1"/>
          <w:sz w:val="32"/>
          <w:szCs w:val="32"/>
          <w:lang w:eastAsia="zh-Hans"/>
          <w14:textFill>
            <w14:solidFill>
              <w14:schemeClr w14:val="tx1"/>
            </w14:solidFill>
          </w14:textFill>
        </w:rPr>
        <w:t>二、部门决算情况说明</w:t>
      </w:r>
    </w:p>
    <w:p w14:paraId="21ECD17C">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rPr>
          <w:rFonts w:hint="eastAsia" w:ascii="Times New Roman" w:hAnsi="Times New Roman" w:eastAsia="方正楷体_GBK" w:cs="Times New Roman"/>
          <w:color w:val="000000" w:themeColor="text1"/>
          <w:kern w:val="2"/>
          <w:sz w:val="32"/>
          <w:szCs w:val="32"/>
          <w:lang w:val="en-US" w:eastAsia="zh-Hans" w:bidi="ar-SA"/>
          <w14:textFill>
            <w14:solidFill>
              <w14:schemeClr w14:val="tx1"/>
            </w14:solidFill>
          </w14:textFill>
        </w:rPr>
      </w:pPr>
      <w:r>
        <w:rPr>
          <w:rFonts w:hint="eastAsia" w:ascii="Times New Roman" w:hAnsi="Times New Roman" w:eastAsia="方正楷体_GBK" w:cs="Times New Roman"/>
          <w:color w:val="000000" w:themeColor="text1"/>
          <w:kern w:val="2"/>
          <w:sz w:val="32"/>
          <w:szCs w:val="32"/>
          <w:lang w:val="en-US" w:eastAsia="zh-Hans" w:bidi="ar-SA"/>
          <w14:textFill>
            <w14:solidFill>
              <w14:schemeClr w14:val="tx1"/>
            </w14:solidFill>
          </w14:textFill>
        </w:rPr>
        <w:t>（一）收入支出决算总体情况说明</w:t>
      </w:r>
    </w:p>
    <w:p w14:paraId="5803C52E">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rPr>
          <w:rFonts w:hint="eastAsia"/>
          <w:color w:val="000000" w:themeColor="text1"/>
          <w:sz w:val="18"/>
          <w:szCs w:val="18"/>
          <w:lang w:eastAsia="zh-Hans"/>
          <w14:textFill>
            <w14:solidFill>
              <w14:schemeClr w14:val="tx1"/>
            </w14:solidFill>
          </w14:textFill>
        </w:rPr>
      </w:pPr>
      <w:r>
        <w:rPr>
          <w:rFonts w:hint="eastAsia" w:ascii="Times New Roman" w:hAnsi="Times New Roman" w:eastAsia="方正仿宋_GBK" w:cs="Times New Roman"/>
          <w:color w:val="000000" w:themeColor="text1"/>
          <w:kern w:val="2"/>
          <w:sz w:val="32"/>
          <w:szCs w:val="32"/>
          <w:lang w:val="en-US" w:eastAsia="zh-Hans" w:bidi="ar-SA"/>
          <w14:textFill>
            <w14:solidFill>
              <w14:schemeClr w14:val="tx1"/>
            </w14:solidFill>
          </w14:textFill>
        </w:rPr>
        <w:t>1.总体情况。2022年度收入总计20,072.14万元，支出总计20,072.14万元。收支较上年决算数增加5,344.90万元,增长36.3%，</w:t>
      </w:r>
      <w:r>
        <w:rPr>
          <w:rFonts w:hint="eastAsia"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主要原因是项目增加，人员调入、人员职级晋升，养老保险、住房公积金等调基导致。</w:t>
      </w:r>
    </w:p>
    <w:p w14:paraId="4C340D74">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rPr>
          <w:rFonts w:hint="eastAsia"/>
          <w:color w:val="000000" w:themeColor="text1"/>
          <w:sz w:val="18"/>
          <w:szCs w:val="18"/>
          <w:lang w:eastAsia="zh-Hans"/>
          <w14:textFill>
            <w14:solidFill>
              <w14:schemeClr w14:val="tx1"/>
            </w14:solidFill>
          </w14:textFill>
        </w:rPr>
      </w:pPr>
      <w:r>
        <w:rPr>
          <w:rFonts w:hint="eastAsia" w:ascii="Times New Roman" w:hAnsi="Times New Roman" w:eastAsia="方正仿宋_GBK" w:cs="Times New Roman"/>
          <w:color w:val="000000" w:themeColor="text1"/>
          <w:kern w:val="2"/>
          <w:sz w:val="32"/>
          <w:szCs w:val="32"/>
          <w:lang w:val="en-US" w:eastAsia="zh-Hans" w:bidi="ar-SA"/>
          <w14:textFill>
            <w14:solidFill>
              <w14:schemeClr w14:val="tx1"/>
            </w14:solidFill>
          </w14:textFill>
        </w:rPr>
        <w:t>2.收入情况。2022年度收入合计12,464.14万元，较上年决算数增加4,349.52万元，增长53.6%，主要原因</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是</w:t>
      </w:r>
      <w:r>
        <w:rPr>
          <w:rFonts w:hint="eastAsia"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新修金科小学建设项目、保障性住房建设及基础设施建设本年投入增加、民防应急工作经费增加，以及人员调入、人员职级晋升、养老保险、住房公积金调基等导致。</w:t>
      </w:r>
      <w:r>
        <w:rPr>
          <w:rFonts w:hint="eastAsia" w:ascii="Times New Roman" w:hAnsi="Times New Roman" w:eastAsia="方正仿宋_GBK" w:cs="Times New Roman"/>
          <w:color w:val="000000" w:themeColor="text1"/>
          <w:kern w:val="2"/>
          <w:sz w:val="32"/>
          <w:szCs w:val="32"/>
          <w:lang w:val="en-US" w:eastAsia="zh-Hans" w:bidi="ar-SA"/>
          <w14:textFill>
            <w14:solidFill>
              <w14:schemeClr w14:val="tx1"/>
            </w14:solidFill>
          </w14:textFill>
        </w:rPr>
        <w:t>其中：财政拨款收入12,464.14万元，占100%</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w:t>
      </w:r>
      <w:r>
        <w:rPr>
          <w:rFonts w:hint="eastAsia" w:ascii="Times New Roman" w:hAnsi="Times New Roman" w:eastAsia="方正仿宋_GBK" w:cs="Times New Roman"/>
          <w:color w:val="000000" w:themeColor="text1"/>
          <w:kern w:val="2"/>
          <w:sz w:val="32"/>
          <w:szCs w:val="32"/>
          <w:lang w:val="en-US" w:eastAsia="zh-Hans" w:bidi="ar-SA"/>
          <w14:textFill>
            <w14:solidFill>
              <w14:schemeClr w14:val="tx1"/>
            </w14:solidFill>
          </w14:textFill>
        </w:rPr>
        <w:t>此外</w:t>
      </w:r>
      <w:r>
        <w:rPr>
          <w:rFonts w:hint="eastAsia" w:ascii="Times New Roman" w:hAnsi="Times New Roman" w:eastAsia="方正仿宋_GBK" w:cs="Times New Roman"/>
          <w:color w:val="000000" w:themeColor="text1"/>
          <w:kern w:val="2"/>
          <w:sz w:val="32"/>
          <w:szCs w:val="32"/>
          <w:highlight w:val="none"/>
          <w:lang w:val="en-US" w:eastAsia="zh-Hans" w:bidi="ar-SA"/>
          <w14:textFill>
            <w14:solidFill>
              <w14:schemeClr w14:val="tx1"/>
            </w14:solidFill>
          </w14:textFill>
        </w:rPr>
        <w:t>，</w:t>
      </w:r>
      <w:r>
        <w:rPr>
          <w:rFonts w:ascii="Times New Roman" w:hAnsi="Times New Roman" w:eastAsia="方正仿宋_GBK"/>
          <w:sz w:val="32"/>
          <w:szCs w:val="32"/>
          <w:highlight w:val="none"/>
        </w:rPr>
        <w:t>使用非财政拨款结余</w:t>
      </w:r>
      <w:r>
        <w:rPr>
          <w:rFonts w:hint="eastAsia" w:ascii="Times New Roman" w:hAnsi="Times New Roman" w:eastAsia="方正仿宋_GBK"/>
          <w:sz w:val="32"/>
          <w:szCs w:val="32"/>
          <w:highlight w:val="none"/>
          <w:lang w:val="en-US" w:eastAsia="zh-CN"/>
        </w:rPr>
        <w:t>0</w:t>
      </w:r>
      <w:r>
        <w:rPr>
          <w:rFonts w:ascii="Times New Roman" w:hAnsi="Times New Roman" w:eastAsia="方正仿宋_GBK"/>
          <w:sz w:val="32"/>
          <w:szCs w:val="32"/>
          <w:highlight w:val="none"/>
        </w:rPr>
        <w:t>万元，</w:t>
      </w:r>
      <w:r>
        <w:rPr>
          <w:rFonts w:hint="eastAsia" w:ascii="Times New Roman" w:hAnsi="Times New Roman" w:eastAsia="方正仿宋_GBK" w:cs="Times New Roman"/>
          <w:color w:val="000000" w:themeColor="text1"/>
          <w:kern w:val="2"/>
          <w:sz w:val="32"/>
          <w:szCs w:val="32"/>
          <w:highlight w:val="none"/>
          <w:lang w:val="en-US" w:eastAsia="zh-Hans" w:bidi="ar-SA"/>
          <w14:textFill>
            <w14:solidFill>
              <w14:schemeClr w14:val="tx1"/>
            </w14:solidFill>
          </w14:textFill>
        </w:rPr>
        <w:t>年初结转和结余7,608.00万元。</w:t>
      </w:r>
    </w:p>
    <w:p w14:paraId="2ED2E328">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rPr>
          <w:rFonts w:hint="eastAsia" w:ascii="Times New Roman" w:hAnsi="Times New Roman" w:eastAsia="方正仿宋_GBK" w:cs="Times New Roman"/>
          <w:color w:val="000000" w:themeColor="text1"/>
          <w:kern w:val="2"/>
          <w:sz w:val="32"/>
          <w:szCs w:val="32"/>
          <w:lang w:val="en-US" w:eastAsia="zh-Hans" w:bidi="ar-SA"/>
          <w14:textFill>
            <w14:solidFill>
              <w14:schemeClr w14:val="tx1"/>
            </w14:solidFill>
          </w14:textFill>
        </w:rPr>
      </w:pPr>
      <w:r>
        <w:rPr>
          <w:rFonts w:hint="eastAsia" w:ascii="Times New Roman" w:hAnsi="Times New Roman" w:eastAsia="方正仿宋_GBK" w:cs="Times New Roman"/>
          <w:color w:val="000000" w:themeColor="text1"/>
          <w:kern w:val="2"/>
          <w:sz w:val="32"/>
          <w:szCs w:val="32"/>
          <w:lang w:val="en-US" w:eastAsia="zh-Hans" w:bidi="ar-SA"/>
          <w14:textFill>
            <w14:solidFill>
              <w14:schemeClr w14:val="tx1"/>
            </w14:solidFill>
          </w14:textFill>
        </w:rPr>
        <w:t>3.支出情况。2022年度支出合计20,072.14万元，较上年决算增加5,344.90万元，增长36.3%，</w:t>
      </w:r>
      <w:r>
        <w:rPr>
          <w:rFonts w:hint="eastAsia" w:ascii="Times New Roman" w:hAnsi="Times New Roman" w:eastAsia="方正仿宋_GBK" w:cs="Times New Roman"/>
          <w:color w:val="000000" w:themeColor="text1"/>
          <w:kern w:val="2"/>
          <w:sz w:val="32"/>
          <w:szCs w:val="32"/>
          <w:highlight w:val="none"/>
          <w:lang w:val="en-US" w:eastAsia="zh-Hans" w:bidi="ar-SA"/>
          <w14:textFill>
            <w14:solidFill>
              <w14:schemeClr w14:val="tx1"/>
            </w14:solidFill>
          </w14:textFill>
        </w:rPr>
        <w:t>主要原因是</w:t>
      </w:r>
      <w:r>
        <w:rPr>
          <w:rFonts w:hint="eastAsia"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新修金科小学建设项目、保障性住房建设及基础设施建设投入增加</w:t>
      </w:r>
      <w:r>
        <w:rPr>
          <w:rFonts w:hint="eastAsia" w:ascii="Times New Roman" w:hAnsi="Times New Roman" w:eastAsia="方正仿宋_GBK" w:cs="Times New Roman"/>
          <w:color w:val="000000" w:themeColor="text1"/>
          <w:kern w:val="2"/>
          <w:sz w:val="32"/>
          <w:szCs w:val="32"/>
          <w:lang w:val="en-US" w:eastAsia="zh-Hans" w:bidi="ar-SA"/>
          <w14:textFill>
            <w14:solidFill>
              <w14:schemeClr w14:val="tx1"/>
            </w14:solidFill>
          </w14:textFill>
        </w:rPr>
        <w:t>。其中：基本支出612.01万元，占3%；项目支出19,460.13万元，占97%。</w:t>
      </w:r>
      <w:r>
        <w:rPr>
          <w:rFonts w:hint="eastAsia" w:ascii="Times New Roman" w:hAnsi="Times New Roman" w:eastAsia="方正仿宋_GBK" w:cs="Times New Roman"/>
          <w:color w:val="000000" w:themeColor="text1"/>
          <w:kern w:val="2"/>
          <w:sz w:val="32"/>
          <w:szCs w:val="32"/>
          <w:highlight w:val="none"/>
          <w:lang w:val="en-US" w:eastAsia="zh-Hans" w:bidi="ar-SA"/>
          <w14:textFill>
            <w14:solidFill>
              <w14:schemeClr w14:val="tx1"/>
            </w14:solidFill>
          </w14:textFill>
        </w:rPr>
        <w:t>此外，结余分配</w:t>
      </w:r>
      <w:r>
        <w:rPr>
          <w:rFonts w:hint="eastAsia"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0</w:t>
      </w:r>
      <w:r>
        <w:rPr>
          <w:rFonts w:hint="eastAsia" w:ascii="Times New Roman" w:hAnsi="Times New Roman" w:eastAsia="方正仿宋_GBK" w:cs="Times New Roman"/>
          <w:color w:val="000000" w:themeColor="text1"/>
          <w:kern w:val="2"/>
          <w:sz w:val="32"/>
          <w:szCs w:val="32"/>
          <w:highlight w:val="none"/>
          <w:lang w:val="en-US" w:eastAsia="zh-Hans" w:bidi="ar-SA"/>
          <w14:textFill>
            <w14:solidFill>
              <w14:schemeClr w14:val="tx1"/>
            </w14:solidFill>
          </w14:textFill>
        </w:rPr>
        <w:t>万元</w:t>
      </w:r>
    </w:p>
    <w:p w14:paraId="54C83F8D">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rPr>
          <w:rFonts w:hint="eastAsia"/>
          <w:color w:val="000000" w:themeColor="text1"/>
          <w:sz w:val="18"/>
          <w:szCs w:val="18"/>
          <w:lang w:eastAsia="zh-Hans"/>
          <w14:textFill>
            <w14:solidFill>
              <w14:schemeClr w14:val="tx1"/>
            </w14:solidFill>
          </w14:textFill>
        </w:rPr>
      </w:pPr>
      <w:r>
        <w:rPr>
          <w:rFonts w:hint="eastAsia" w:ascii="Times New Roman" w:hAnsi="Times New Roman" w:eastAsia="方正仿宋_GBK" w:cs="Times New Roman"/>
          <w:color w:val="000000" w:themeColor="text1"/>
          <w:kern w:val="2"/>
          <w:sz w:val="32"/>
          <w:szCs w:val="32"/>
          <w:lang w:val="en-US" w:eastAsia="zh-Hans" w:bidi="ar-SA"/>
          <w14:textFill>
            <w14:solidFill>
              <w14:schemeClr w14:val="tx1"/>
            </w14:solidFill>
          </w14:textFill>
        </w:rPr>
        <w:t>4.结转结余情况。2022年度年末结转和结余0.00万元，</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与</w:t>
      </w:r>
      <w:r>
        <w:rPr>
          <w:rFonts w:hint="eastAsia" w:ascii="Times New Roman" w:hAnsi="Times New Roman" w:eastAsia="方正仿宋_GBK" w:cs="Times New Roman"/>
          <w:color w:val="000000" w:themeColor="text1"/>
          <w:kern w:val="2"/>
          <w:sz w:val="32"/>
          <w:szCs w:val="32"/>
          <w:lang w:val="en-US" w:eastAsia="zh-Hans" w:bidi="ar-SA"/>
          <w14:textFill>
            <w14:solidFill>
              <w14:schemeClr w14:val="tx1"/>
            </w14:solidFill>
          </w14:textFill>
        </w:rPr>
        <w:t>上年决算数持平</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w:t>
      </w:r>
    </w:p>
    <w:p w14:paraId="3A532F7B">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rPr>
          <w:rFonts w:hint="eastAsia" w:ascii="Times New Roman" w:hAnsi="Times New Roman" w:eastAsia="方正楷体_GBK" w:cs="Times New Roman"/>
          <w:color w:val="000000" w:themeColor="text1"/>
          <w:kern w:val="2"/>
          <w:sz w:val="32"/>
          <w:szCs w:val="32"/>
          <w:lang w:val="en-US" w:eastAsia="zh-Hans" w:bidi="ar-SA"/>
          <w14:textFill>
            <w14:solidFill>
              <w14:schemeClr w14:val="tx1"/>
            </w14:solidFill>
          </w14:textFill>
        </w:rPr>
      </w:pPr>
      <w:r>
        <w:rPr>
          <w:rFonts w:hint="eastAsia" w:ascii="Times New Roman" w:hAnsi="Times New Roman" w:eastAsia="方正楷体_GBK" w:cs="Times New Roman"/>
          <w:color w:val="000000" w:themeColor="text1"/>
          <w:kern w:val="2"/>
          <w:sz w:val="32"/>
          <w:szCs w:val="32"/>
          <w:lang w:val="en-US" w:eastAsia="zh-Hans" w:bidi="ar-SA"/>
          <w14:textFill>
            <w14:solidFill>
              <w14:schemeClr w14:val="tx1"/>
            </w14:solidFill>
          </w14:textFill>
        </w:rPr>
        <w:t>（二）财政拨款收入支出决算总体情况说明</w:t>
      </w:r>
    </w:p>
    <w:p w14:paraId="64489700">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rPr>
          <w:rFonts w:hint="eastAsia" w:ascii="Times New Roman" w:hAnsi="Times New Roman" w:eastAsia="方正仿宋_GBK" w:cs="Times New Roman"/>
          <w:color w:val="000000" w:themeColor="text1"/>
          <w:kern w:val="2"/>
          <w:sz w:val="32"/>
          <w:szCs w:val="32"/>
          <w:lang w:val="en-US" w:eastAsia="zh-Hans" w:bidi="ar-SA"/>
          <w14:textFill>
            <w14:solidFill>
              <w14:schemeClr w14:val="tx1"/>
            </w14:solidFill>
          </w14:textFill>
        </w:rPr>
      </w:pPr>
      <w:r>
        <w:rPr>
          <w:rFonts w:hint="eastAsia" w:ascii="Times New Roman" w:hAnsi="Times New Roman" w:eastAsia="方正仿宋_GBK" w:cs="Times New Roman"/>
          <w:color w:val="000000" w:themeColor="text1"/>
          <w:kern w:val="2"/>
          <w:sz w:val="32"/>
          <w:szCs w:val="32"/>
          <w:lang w:val="en-US" w:eastAsia="zh-Hans" w:bidi="ar-SA"/>
          <w14:textFill>
            <w14:solidFill>
              <w14:schemeClr w14:val="tx1"/>
            </w14:solidFill>
          </w14:textFill>
        </w:rPr>
        <w:t>2022年度财政拨款收、支总计20,072.14万元。与2021年相比，财政拨款收、支总计各增加5,344.90万元，增长36.3%。</w:t>
      </w:r>
      <w:r>
        <w:rPr>
          <w:rFonts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主要原因是</w:t>
      </w:r>
      <w:r>
        <w:rPr>
          <w:rFonts w:hint="eastAsia"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项目增加，人员调入、人员职级晋升，养老保险、住房公积金调基等导致。</w:t>
      </w:r>
    </w:p>
    <w:p w14:paraId="2F928ABC">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rPr>
          <w:rFonts w:hint="eastAsia" w:ascii="Times New Roman" w:hAnsi="Times New Roman" w:eastAsia="方正楷体_GBK" w:cs="Times New Roman"/>
          <w:color w:val="000000" w:themeColor="text1"/>
          <w:kern w:val="2"/>
          <w:sz w:val="32"/>
          <w:szCs w:val="32"/>
          <w:lang w:val="en-US" w:eastAsia="zh-Hans" w:bidi="ar-SA"/>
          <w14:textFill>
            <w14:solidFill>
              <w14:schemeClr w14:val="tx1"/>
            </w14:solidFill>
          </w14:textFill>
        </w:rPr>
      </w:pPr>
      <w:r>
        <w:rPr>
          <w:rFonts w:hint="eastAsia" w:ascii="Times New Roman" w:hAnsi="Times New Roman" w:eastAsia="方正楷体_GBK" w:cs="Times New Roman"/>
          <w:color w:val="000000" w:themeColor="text1"/>
          <w:kern w:val="2"/>
          <w:sz w:val="32"/>
          <w:szCs w:val="32"/>
          <w:lang w:val="en-US" w:eastAsia="zh-Hans" w:bidi="ar-SA"/>
          <w14:textFill>
            <w14:solidFill>
              <w14:schemeClr w14:val="tx1"/>
            </w14:solidFill>
          </w14:textFill>
        </w:rPr>
        <w:t>（三）一般公共预算财政拨款收入支出决算情况说明</w:t>
      </w:r>
    </w:p>
    <w:p w14:paraId="1EFBB471">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rPr>
          <w:rFonts w:hint="eastAsia"/>
          <w:color w:val="000000" w:themeColor="text1"/>
          <w:sz w:val="18"/>
          <w:szCs w:val="18"/>
          <w:lang w:eastAsia="zh-Hans"/>
          <w14:textFill>
            <w14:solidFill>
              <w14:schemeClr w14:val="tx1"/>
            </w14:solidFill>
          </w14:textFill>
        </w:rPr>
      </w:pPr>
      <w:r>
        <w:rPr>
          <w:rFonts w:hint="eastAsia" w:ascii="Times New Roman" w:hAnsi="Times New Roman" w:eastAsia="方正仿宋_GBK" w:cs="Times New Roman"/>
          <w:color w:val="000000" w:themeColor="text1"/>
          <w:kern w:val="2"/>
          <w:sz w:val="32"/>
          <w:szCs w:val="32"/>
          <w:lang w:val="en-US" w:eastAsia="zh-Hans" w:bidi="ar-SA"/>
          <w14:textFill>
            <w14:solidFill>
              <w14:schemeClr w14:val="tx1"/>
            </w14:solidFill>
          </w14:textFill>
        </w:rPr>
        <w:t>1.收入情况。2022年度一般公共预算财政拨款收入7,582.01万元，较上年决算数减少199.41万元，下降2.6%。</w:t>
      </w:r>
      <w:r>
        <w:rPr>
          <w:rFonts w:hint="eastAsia" w:ascii="Times New Roman" w:hAnsi="Times New Roman" w:eastAsia="方正仿宋_GBK" w:cs="Times New Roman"/>
          <w:color w:val="000000" w:themeColor="text1"/>
          <w:kern w:val="2"/>
          <w:sz w:val="32"/>
          <w:szCs w:val="32"/>
          <w:highlight w:val="none"/>
          <w:lang w:val="en-US" w:eastAsia="zh-Hans" w:bidi="ar-SA"/>
          <w14:textFill>
            <w14:solidFill>
              <w14:schemeClr w14:val="tx1"/>
            </w14:solidFill>
          </w14:textFill>
        </w:rPr>
        <w:t>主要原因是</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保障性安居工程、</w:t>
      </w:r>
      <w:r>
        <w:rPr>
          <w:rFonts w:hint="eastAsia"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老旧小区改造等项目支出资金减少</w:t>
      </w:r>
      <w:r>
        <w:rPr>
          <w:rFonts w:hint="eastAsia" w:ascii="Times New Roman" w:hAnsi="Times New Roman" w:eastAsia="方正仿宋_GBK" w:cs="Times New Roman"/>
          <w:color w:val="000000" w:themeColor="text1"/>
          <w:kern w:val="2"/>
          <w:sz w:val="32"/>
          <w:szCs w:val="32"/>
          <w:highlight w:val="none"/>
          <w:lang w:val="en-US" w:eastAsia="zh-Hans" w:bidi="ar-SA"/>
          <w14:textFill>
            <w14:solidFill>
              <w14:schemeClr w14:val="tx1"/>
            </w14:solidFill>
          </w14:textFill>
        </w:rPr>
        <w:t>。</w:t>
      </w:r>
      <w:r>
        <w:rPr>
          <w:rFonts w:hint="eastAsia" w:ascii="Times New Roman" w:hAnsi="Times New Roman" w:eastAsia="方正仿宋_GBK" w:cs="Times New Roman"/>
          <w:color w:val="000000" w:themeColor="text1"/>
          <w:kern w:val="2"/>
          <w:sz w:val="32"/>
          <w:szCs w:val="32"/>
          <w:lang w:val="en-US" w:eastAsia="zh-Hans" w:bidi="ar-SA"/>
          <w14:textFill>
            <w14:solidFill>
              <w14:schemeClr w14:val="tx1"/>
            </w14:solidFill>
          </w14:textFill>
        </w:rPr>
        <w:t>较年初预算数减少1,881.55万元，下降19.9%。</w:t>
      </w:r>
      <w:r>
        <w:rPr>
          <w:rFonts w:hint="eastAsia" w:ascii="Times New Roman" w:hAnsi="Times New Roman" w:eastAsia="方正仿宋_GBK" w:cs="Times New Roman"/>
          <w:color w:val="000000" w:themeColor="text1"/>
          <w:kern w:val="2"/>
          <w:sz w:val="32"/>
          <w:szCs w:val="32"/>
          <w:highlight w:val="none"/>
          <w:lang w:val="en-US" w:eastAsia="zh-Hans" w:bidi="ar-SA"/>
          <w14:textFill>
            <w14:solidFill>
              <w14:schemeClr w14:val="tx1"/>
            </w14:solidFill>
          </w14:textFill>
        </w:rPr>
        <w:t>主要原因是</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保障性安居工程、</w:t>
      </w:r>
      <w:r>
        <w:rPr>
          <w:rFonts w:hint="eastAsia"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老旧小区改造等项目支出资金减少</w:t>
      </w:r>
      <w:r>
        <w:rPr>
          <w:rFonts w:hint="eastAsia" w:ascii="Times New Roman" w:hAnsi="Times New Roman" w:eastAsia="方正仿宋_GBK" w:cs="Times New Roman"/>
          <w:color w:val="000000" w:themeColor="text1"/>
          <w:kern w:val="2"/>
          <w:sz w:val="32"/>
          <w:szCs w:val="32"/>
          <w:highlight w:val="none"/>
          <w:lang w:val="en-US" w:eastAsia="zh-Hans" w:bidi="ar-SA"/>
          <w14:textFill>
            <w14:solidFill>
              <w14:schemeClr w14:val="tx1"/>
            </w14:solidFill>
          </w14:textFill>
        </w:rPr>
        <w:t>。此外，年初财政拨款结转和结余0.00万元。</w:t>
      </w:r>
    </w:p>
    <w:p w14:paraId="68AA6CA7">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rPr>
          <w:rFonts w:hint="eastAsia"/>
          <w:color w:val="000000" w:themeColor="text1"/>
          <w:sz w:val="18"/>
          <w:szCs w:val="18"/>
          <w:highlight w:val="none"/>
          <w:lang w:eastAsia="zh-Hans"/>
          <w14:textFill>
            <w14:solidFill>
              <w14:schemeClr w14:val="tx1"/>
            </w14:solidFill>
          </w14:textFill>
        </w:rPr>
      </w:pPr>
      <w:r>
        <w:rPr>
          <w:rFonts w:hint="eastAsia" w:ascii="Times New Roman" w:hAnsi="Times New Roman" w:eastAsia="方正仿宋_GBK" w:cs="Times New Roman"/>
          <w:color w:val="000000" w:themeColor="text1"/>
          <w:kern w:val="2"/>
          <w:sz w:val="32"/>
          <w:szCs w:val="32"/>
          <w:highlight w:val="none"/>
          <w:lang w:val="en-US" w:eastAsia="zh-Hans" w:bidi="ar-SA"/>
          <w14:textFill>
            <w14:solidFill>
              <w14:schemeClr w14:val="tx1"/>
            </w14:solidFill>
          </w14:textFill>
        </w:rPr>
        <w:t>2.支出情况。2022年度一般公共预算财政拨款支出7,582.01万元，较上年决算数减少6,812.03万元，下降47.3%。主要原因是</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保障性安居工程、</w:t>
      </w:r>
      <w:r>
        <w:rPr>
          <w:rFonts w:hint="eastAsia"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老旧小区改造等项目支出减少</w:t>
      </w:r>
      <w:r>
        <w:rPr>
          <w:rFonts w:hint="eastAsia" w:ascii="Times New Roman" w:hAnsi="Times New Roman" w:eastAsia="方正仿宋_GBK" w:cs="Times New Roman"/>
          <w:color w:val="000000" w:themeColor="text1"/>
          <w:kern w:val="2"/>
          <w:sz w:val="32"/>
          <w:szCs w:val="32"/>
          <w:highlight w:val="none"/>
          <w:lang w:val="en-US" w:eastAsia="zh-Hans" w:bidi="ar-SA"/>
          <w14:textFill>
            <w14:solidFill>
              <w14:schemeClr w14:val="tx1"/>
            </w14:solidFill>
          </w14:textFill>
        </w:rPr>
        <w:t>。较年初预算数减少1,881.55万元，下降19.9%。主要原因是</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保障性安居工程、</w:t>
      </w:r>
      <w:r>
        <w:rPr>
          <w:rFonts w:hint="eastAsia"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老旧小区改造等项目支出减少</w:t>
      </w:r>
      <w:r>
        <w:rPr>
          <w:rFonts w:hint="eastAsia" w:ascii="Times New Roman" w:hAnsi="Times New Roman" w:eastAsia="方正仿宋_GBK" w:cs="Times New Roman"/>
          <w:color w:val="000000" w:themeColor="text1"/>
          <w:kern w:val="2"/>
          <w:sz w:val="32"/>
          <w:szCs w:val="32"/>
          <w:highlight w:val="none"/>
          <w:lang w:val="en-US" w:eastAsia="zh-Hans" w:bidi="ar-SA"/>
          <w14:textFill>
            <w14:solidFill>
              <w14:schemeClr w14:val="tx1"/>
            </w14:solidFill>
          </w14:textFill>
        </w:rPr>
        <w:t>。</w:t>
      </w:r>
    </w:p>
    <w:p w14:paraId="35A6EA14">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rPr>
          <w:rFonts w:hint="eastAsia"/>
          <w:color w:val="000000" w:themeColor="text1"/>
          <w:sz w:val="18"/>
          <w:szCs w:val="18"/>
          <w:lang w:eastAsia="zh-Hans"/>
          <w14:textFill>
            <w14:solidFill>
              <w14:schemeClr w14:val="tx1"/>
            </w14:solidFill>
          </w14:textFill>
        </w:rPr>
      </w:pPr>
      <w:r>
        <w:rPr>
          <w:rFonts w:hint="eastAsia" w:ascii="Times New Roman" w:hAnsi="Times New Roman" w:eastAsia="方正仿宋_GBK" w:cs="Times New Roman"/>
          <w:color w:val="000000" w:themeColor="text1"/>
          <w:kern w:val="2"/>
          <w:sz w:val="32"/>
          <w:szCs w:val="32"/>
          <w:lang w:val="en-US" w:eastAsia="zh-Hans" w:bidi="ar-SA"/>
          <w14:textFill>
            <w14:solidFill>
              <w14:schemeClr w14:val="tx1"/>
            </w14:solidFill>
          </w14:textFill>
        </w:rPr>
        <w:t>3.结转结余情况。2022年度年末一般公共预算财政拨款结转和结余0.00万元，</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与</w:t>
      </w:r>
      <w:r>
        <w:rPr>
          <w:rFonts w:hint="eastAsia" w:ascii="Times New Roman" w:hAnsi="Times New Roman" w:eastAsia="方正仿宋_GBK" w:cs="Times New Roman"/>
          <w:color w:val="000000" w:themeColor="text1"/>
          <w:kern w:val="2"/>
          <w:sz w:val="32"/>
          <w:szCs w:val="32"/>
          <w:lang w:val="en-US" w:eastAsia="zh-Hans" w:bidi="ar-SA"/>
          <w14:textFill>
            <w14:solidFill>
              <w14:schemeClr w14:val="tx1"/>
            </w14:solidFill>
          </w14:textFill>
        </w:rPr>
        <w:t>上年决算数持平</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w:t>
      </w:r>
    </w:p>
    <w:p w14:paraId="492B6ED9">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rPr>
          <w:rFonts w:hint="eastAsia"/>
          <w:color w:val="000000" w:themeColor="text1"/>
          <w:sz w:val="18"/>
          <w:szCs w:val="18"/>
          <w:lang w:eastAsia="zh-Hans"/>
          <w14:textFill>
            <w14:solidFill>
              <w14:schemeClr w14:val="tx1"/>
            </w14:solidFill>
          </w14:textFill>
        </w:rPr>
      </w:pPr>
      <w:r>
        <w:rPr>
          <w:rFonts w:hint="eastAsia" w:ascii="Times New Roman" w:hAnsi="Times New Roman" w:eastAsia="方正仿宋_GBK" w:cs="Times New Roman"/>
          <w:color w:val="000000" w:themeColor="text1"/>
          <w:kern w:val="2"/>
          <w:sz w:val="32"/>
          <w:szCs w:val="32"/>
          <w:lang w:val="en-US" w:eastAsia="zh-Hans" w:bidi="ar-SA"/>
          <w14:textFill>
            <w14:solidFill>
              <w14:schemeClr w14:val="tx1"/>
            </w14:solidFill>
          </w14:textFill>
        </w:rPr>
        <w:t>4.比较情况。本部门2022年度一般公共预算财政拨款支出主要用于以下几个方面：</w:t>
      </w:r>
    </w:p>
    <w:p w14:paraId="7D94C860">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rPr>
          <w:rFonts w:hint="eastAsia"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方正仿宋_GBK" w:cs="Times New Roman"/>
          <w:color w:val="000000" w:themeColor="text1"/>
          <w:kern w:val="2"/>
          <w:sz w:val="32"/>
          <w:szCs w:val="32"/>
          <w:lang w:val="en-US" w:eastAsia="zh-Hans" w:bidi="ar-SA"/>
          <w14:textFill>
            <w14:solidFill>
              <w14:schemeClr w14:val="tx1"/>
            </w14:solidFill>
          </w14:textFill>
        </w:rPr>
        <w:t>（1）一般公共服务</w:t>
      </w:r>
      <w:r>
        <w:rPr>
          <w:rFonts w:hint="eastAsia" w:ascii="Times New Roman" w:hAnsi="Times New Roman" w:eastAsia="方正仿宋_GBK" w:cs="Times New Roman"/>
          <w:color w:val="000000" w:themeColor="text1"/>
          <w:kern w:val="2"/>
          <w:sz w:val="32"/>
          <w:szCs w:val="32"/>
          <w:highlight w:val="none"/>
          <w:lang w:val="en-US" w:eastAsia="zh-Hans" w:bidi="ar-SA"/>
          <w14:textFill>
            <w14:solidFill>
              <w14:schemeClr w14:val="tx1"/>
            </w14:solidFill>
          </w14:textFill>
        </w:rPr>
        <w:t>支出27.89万元，占0.4%，较年初预算数增加27.89万元，增长</w:t>
      </w:r>
      <w:r>
        <w:rPr>
          <w:rFonts w:hint="eastAsia"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100</w:t>
      </w:r>
      <w:r>
        <w:rPr>
          <w:rFonts w:hint="eastAsia" w:ascii="Times New Roman" w:hAnsi="Times New Roman" w:eastAsia="方正仿宋_GBK" w:cs="Times New Roman"/>
          <w:color w:val="000000" w:themeColor="text1"/>
          <w:kern w:val="2"/>
          <w:sz w:val="32"/>
          <w:szCs w:val="32"/>
          <w:highlight w:val="none"/>
          <w:lang w:val="en-US" w:eastAsia="zh-Hans" w:bidi="ar-SA"/>
          <w14:textFill>
            <w14:solidFill>
              <w14:schemeClr w14:val="tx1"/>
            </w14:solidFill>
          </w14:textFill>
        </w:rPr>
        <w:t>%，主要原因是</w:t>
      </w:r>
      <w:r>
        <w:rPr>
          <w:rFonts w:hint="eastAsia"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招商引资工作经费</w:t>
      </w:r>
      <w:r>
        <w:rPr>
          <w:rFonts w:hint="eastAsia" w:ascii="Times New Roman" w:hAnsi="Times New Roman" w:eastAsia="方正仿宋_GBK" w:cs="Times New Roman"/>
          <w:color w:val="000000" w:themeColor="text1"/>
          <w:kern w:val="2"/>
          <w:sz w:val="32"/>
          <w:szCs w:val="32"/>
          <w:highlight w:val="none"/>
          <w14:textFill>
            <w14:solidFill>
              <w14:schemeClr w14:val="tx1"/>
            </w14:solidFill>
          </w14:textFill>
        </w:rPr>
        <w:t>支出增加</w:t>
      </w:r>
      <w:r>
        <w:rPr>
          <w:rFonts w:hint="eastAsia" w:ascii="Times New Roman" w:hAnsi="Times New Roman" w:eastAsia="方正仿宋_GBK" w:cs="Times New Roman"/>
          <w:color w:val="000000" w:themeColor="text1"/>
          <w:kern w:val="2"/>
          <w:sz w:val="32"/>
          <w:szCs w:val="32"/>
          <w:highlight w:val="none"/>
          <w:lang w:eastAsia="zh-CN"/>
          <w14:textFill>
            <w14:solidFill>
              <w14:schemeClr w14:val="tx1"/>
            </w14:solidFill>
          </w14:textFill>
        </w:rPr>
        <w:t>。</w:t>
      </w:r>
    </w:p>
    <w:p w14:paraId="74A93EE0">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rPr>
          <w:rFonts w:hint="eastAsia" w:ascii="Times New Roman" w:hAnsi="Times New Roman" w:eastAsia="方正仿宋_GBK" w:cs="Times New Roman"/>
          <w:color w:val="000000" w:themeColor="text1"/>
          <w:kern w:val="2"/>
          <w:sz w:val="32"/>
          <w:szCs w:val="32"/>
          <w:highlight w:val="none"/>
          <w:lang w:val="en-US" w:eastAsia="zh-Hans" w:bidi="ar-SA"/>
          <w14:textFill>
            <w14:solidFill>
              <w14:schemeClr w14:val="tx1"/>
            </w14:solidFill>
          </w14:textFill>
        </w:rPr>
      </w:pPr>
      <w:r>
        <w:rPr>
          <w:rFonts w:hint="eastAsia" w:ascii="Times New Roman" w:hAnsi="Times New Roman" w:eastAsia="方正仿宋_GBK" w:cs="Times New Roman"/>
          <w:color w:val="000000" w:themeColor="text1"/>
          <w:kern w:val="2"/>
          <w:sz w:val="32"/>
          <w:szCs w:val="32"/>
          <w:highlight w:val="none"/>
          <w:lang w:val="en-US" w:eastAsia="zh-Hans" w:bidi="ar-SA"/>
          <w14:textFill>
            <w14:solidFill>
              <w14:schemeClr w14:val="tx1"/>
            </w14:solidFill>
          </w14:textFill>
        </w:rPr>
        <w:t>（</w:t>
      </w:r>
      <w:r>
        <w:rPr>
          <w:rFonts w:hint="eastAsia"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2</w:t>
      </w:r>
      <w:r>
        <w:rPr>
          <w:rFonts w:hint="eastAsia" w:ascii="Times New Roman" w:hAnsi="Times New Roman" w:eastAsia="方正仿宋_GBK" w:cs="Times New Roman"/>
          <w:color w:val="000000" w:themeColor="text1"/>
          <w:kern w:val="2"/>
          <w:sz w:val="32"/>
          <w:szCs w:val="32"/>
          <w:highlight w:val="none"/>
          <w:lang w:val="en-US" w:eastAsia="zh-Hans" w:bidi="ar-SA"/>
          <w14:textFill>
            <w14:solidFill>
              <w14:schemeClr w14:val="tx1"/>
            </w14:solidFill>
          </w14:textFill>
        </w:rPr>
        <w:t>）社会保障与就业支出150.61万元，占2%，较年初预算数增加20.35万元，增长15.6%，</w:t>
      </w:r>
      <w:r>
        <w:rPr>
          <w:rFonts w:ascii="Times New Roman" w:hAnsi="Times New Roman" w:eastAsia="方正仿宋_GBK" w:cs="Times New Roman"/>
          <w:color w:val="000000" w:themeColor="text1"/>
          <w:kern w:val="2"/>
          <w:sz w:val="32"/>
          <w:szCs w:val="32"/>
          <w:highlight w:val="none"/>
          <w14:textFill>
            <w14:solidFill>
              <w14:schemeClr w14:val="tx1"/>
            </w14:solidFill>
          </w14:textFill>
        </w:rPr>
        <w:t>主要原因是</w:t>
      </w:r>
      <w:r>
        <w:rPr>
          <w:rFonts w:hint="eastAsia" w:ascii="Times New Roman" w:hAnsi="Times New Roman" w:eastAsia="方正仿宋_GBK" w:cs="Times New Roman"/>
          <w:color w:val="000000" w:themeColor="text1"/>
          <w:kern w:val="2"/>
          <w:sz w:val="32"/>
          <w:szCs w:val="32"/>
          <w:highlight w:val="none"/>
          <w14:textFill>
            <w14:solidFill>
              <w14:schemeClr w14:val="tx1"/>
            </w14:solidFill>
          </w14:textFill>
        </w:rPr>
        <w:t>行政事业单位养老支出的增加及抚恤金的增加。</w:t>
      </w:r>
    </w:p>
    <w:p w14:paraId="5DB07790">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rPr>
          <w:rFonts w:hint="eastAsia" w:ascii="Times New Roman" w:hAnsi="Times New Roman" w:eastAsia="方正仿宋_GBK" w:cs="Times New Roman"/>
          <w:color w:val="000000" w:themeColor="text1"/>
          <w:kern w:val="2"/>
          <w:sz w:val="32"/>
          <w:szCs w:val="32"/>
          <w:highlight w:val="none"/>
          <w:lang w:val="en-US" w:eastAsia="zh-Hans" w:bidi="ar-SA"/>
          <w14:textFill>
            <w14:solidFill>
              <w14:schemeClr w14:val="tx1"/>
            </w14:solidFill>
          </w14:textFill>
        </w:rPr>
      </w:pPr>
      <w:r>
        <w:rPr>
          <w:rFonts w:hint="eastAsia" w:ascii="Times New Roman" w:hAnsi="Times New Roman" w:eastAsia="方正仿宋_GBK" w:cs="Times New Roman"/>
          <w:color w:val="000000" w:themeColor="text1"/>
          <w:kern w:val="2"/>
          <w:sz w:val="32"/>
          <w:szCs w:val="32"/>
          <w:highlight w:val="none"/>
          <w:lang w:val="en-US" w:eastAsia="zh-Hans" w:bidi="ar-SA"/>
          <w14:textFill>
            <w14:solidFill>
              <w14:schemeClr w14:val="tx1"/>
            </w14:solidFill>
          </w14:textFill>
        </w:rPr>
        <w:t>（</w:t>
      </w:r>
      <w:r>
        <w:rPr>
          <w:rFonts w:hint="eastAsia"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3</w:t>
      </w:r>
      <w:r>
        <w:rPr>
          <w:rFonts w:hint="eastAsia" w:ascii="Times New Roman" w:hAnsi="Times New Roman" w:eastAsia="方正仿宋_GBK" w:cs="Times New Roman"/>
          <w:color w:val="000000" w:themeColor="text1"/>
          <w:kern w:val="2"/>
          <w:sz w:val="32"/>
          <w:szCs w:val="32"/>
          <w:highlight w:val="none"/>
          <w:lang w:val="en-US" w:eastAsia="zh-Hans" w:bidi="ar-SA"/>
          <w14:textFill>
            <w14:solidFill>
              <w14:schemeClr w14:val="tx1"/>
            </w14:solidFill>
          </w14:textFill>
        </w:rPr>
        <w:t>）卫生健康支出29.85万元，占0.4%，较年初预算数减少0.24万元，下降0.8%，主要原因是</w:t>
      </w:r>
      <w:r>
        <w:rPr>
          <w:rFonts w:hint="eastAsia"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人员调动，行政事业单位</w:t>
      </w:r>
      <w:r>
        <w:rPr>
          <w:rFonts w:hint="eastAsia" w:ascii="Times New Roman" w:hAnsi="Times New Roman" w:eastAsia="方正仿宋_GBK" w:cs="Times New Roman"/>
          <w:color w:val="000000" w:themeColor="text1"/>
          <w:kern w:val="2"/>
          <w:sz w:val="32"/>
          <w:szCs w:val="32"/>
          <w:highlight w:val="none"/>
          <w14:textFill>
            <w14:solidFill>
              <w14:schemeClr w14:val="tx1"/>
            </w14:solidFill>
          </w14:textFill>
        </w:rPr>
        <w:t>医疗支出</w:t>
      </w:r>
      <w:r>
        <w:rPr>
          <w:rFonts w:hint="eastAsia" w:ascii="Times New Roman" w:hAnsi="Times New Roman" w:eastAsia="方正仿宋_GBK" w:cs="Times New Roman"/>
          <w:color w:val="000000" w:themeColor="text1"/>
          <w:kern w:val="2"/>
          <w:sz w:val="32"/>
          <w:szCs w:val="32"/>
          <w:highlight w:val="none"/>
          <w:lang w:val="en-US" w:eastAsia="zh-CN"/>
          <w14:textFill>
            <w14:solidFill>
              <w14:schemeClr w14:val="tx1"/>
            </w14:solidFill>
          </w14:textFill>
        </w:rPr>
        <w:t>减少</w:t>
      </w:r>
      <w:r>
        <w:rPr>
          <w:rFonts w:hint="eastAsia" w:ascii="Times New Roman" w:hAnsi="Times New Roman" w:eastAsia="方正仿宋_GBK" w:cs="Times New Roman"/>
          <w:color w:val="000000" w:themeColor="text1"/>
          <w:kern w:val="2"/>
          <w:sz w:val="32"/>
          <w:szCs w:val="32"/>
          <w:highlight w:val="none"/>
          <w:lang w:val="en-US" w:eastAsia="zh-Hans" w:bidi="ar-SA"/>
          <w14:textFill>
            <w14:solidFill>
              <w14:schemeClr w14:val="tx1"/>
            </w14:solidFill>
          </w14:textFill>
        </w:rPr>
        <w:t>。</w:t>
      </w:r>
    </w:p>
    <w:p w14:paraId="6F8DE2A6">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方正仿宋_GBK" w:cs="Times New Roman"/>
          <w:color w:val="000000" w:themeColor="text1"/>
          <w:kern w:val="2"/>
          <w:sz w:val="32"/>
          <w:szCs w:val="32"/>
          <w:highlight w:val="none"/>
          <w:lang w:val="en-US" w:eastAsia="zh-Hans" w:bidi="ar-SA"/>
          <w14:textFill>
            <w14:solidFill>
              <w14:schemeClr w14:val="tx1"/>
            </w14:solidFill>
          </w14:textFill>
        </w:rPr>
        <w:t>（</w:t>
      </w:r>
      <w:r>
        <w:rPr>
          <w:rFonts w:hint="eastAsia"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4</w:t>
      </w:r>
      <w:r>
        <w:rPr>
          <w:rFonts w:hint="eastAsia" w:ascii="Times New Roman" w:hAnsi="Times New Roman" w:eastAsia="方正仿宋_GBK" w:cs="Times New Roman"/>
          <w:color w:val="000000" w:themeColor="text1"/>
          <w:kern w:val="2"/>
          <w:sz w:val="32"/>
          <w:szCs w:val="32"/>
          <w:highlight w:val="none"/>
          <w:lang w:val="en-US" w:eastAsia="zh-Hans" w:bidi="ar-SA"/>
          <w14:textFill>
            <w14:solidFill>
              <w14:schemeClr w14:val="tx1"/>
            </w14:solidFill>
          </w14:textFill>
        </w:rPr>
        <w:t>）节能环保支出4,431.86万元，占58.5%，较年初预算数增加2,388.86万元，增长116.9%，主要原因是</w:t>
      </w:r>
      <w:r>
        <w:rPr>
          <w:rFonts w:hint="eastAsia"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年中新增第二批城区排水防涝整治工程、拨付桑德公司回购款等项目支出。</w:t>
      </w:r>
    </w:p>
    <w:p w14:paraId="389EAB5C">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rPr>
          <w:rFonts w:hint="eastAsia" w:ascii="Times New Roman" w:hAnsi="Times New Roman" w:eastAsia="方正仿宋_GBK" w:cs="Times New Roman"/>
          <w:color w:val="000000" w:themeColor="text1"/>
          <w:kern w:val="2"/>
          <w:sz w:val="32"/>
          <w:szCs w:val="32"/>
          <w:highlight w:val="none"/>
          <w:lang w:val="en-US" w:eastAsia="zh-Hans" w:bidi="ar-SA"/>
          <w14:textFill>
            <w14:solidFill>
              <w14:schemeClr w14:val="tx1"/>
            </w14:solidFill>
          </w14:textFill>
        </w:rPr>
      </w:pPr>
      <w:r>
        <w:rPr>
          <w:rFonts w:hint="eastAsia" w:ascii="Times New Roman" w:hAnsi="Times New Roman" w:eastAsia="方正仿宋_GBK" w:cs="Times New Roman"/>
          <w:color w:val="000000" w:themeColor="text1"/>
          <w:kern w:val="2"/>
          <w:sz w:val="32"/>
          <w:szCs w:val="32"/>
          <w:highlight w:val="none"/>
          <w:lang w:val="en-US" w:eastAsia="zh-Hans" w:bidi="ar-SA"/>
          <w14:textFill>
            <w14:solidFill>
              <w14:schemeClr w14:val="tx1"/>
            </w14:solidFill>
          </w14:textFill>
        </w:rPr>
        <w:t>（</w:t>
      </w:r>
      <w:r>
        <w:rPr>
          <w:rFonts w:hint="eastAsia"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5</w:t>
      </w:r>
      <w:r>
        <w:rPr>
          <w:rFonts w:hint="eastAsia" w:ascii="Times New Roman" w:hAnsi="Times New Roman" w:eastAsia="方正仿宋_GBK" w:cs="Times New Roman"/>
          <w:color w:val="000000" w:themeColor="text1"/>
          <w:kern w:val="2"/>
          <w:sz w:val="32"/>
          <w:szCs w:val="32"/>
          <w:highlight w:val="none"/>
          <w:lang w:val="en-US" w:eastAsia="zh-Hans" w:bidi="ar-SA"/>
          <w14:textFill>
            <w14:solidFill>
              <w14:schemeClr w14:val="tx1"/>
            </w14:solidFill>
          </w14:textFill>
        </w:rPr>
        <w:t>）城乡社区支出2,199.38万元，占29%，较年初预算数增加1,799.25万元，增长449.7%，主要原因是</w:t>
      </w:r>
      <w:r>
        <w:rPr>
          <w:rFonts w:hint="eastAsia"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年中新增川渝住博会、房屋建筑承灾体调查工作实施方案项目、解决丰城尚座消防应急工程整改资金等项目支出</w:t>
      </w:r>
      <w:r>
        <w:rPr>
          <w:rFonts w:hint="eastAsia" w:ascii="Times New Roman" w:hAnsi="Times New Roman" w:eastAsia="方正仿宋_GBK" w:cs="Times New Roman"/>
          <w:color w:val="000000" w:themeColor="text1"/>
          <w:kern w:val="2"/>
          <w:sz w:val="32"/>
          <w:szCs w:val="32"/>
          <w:highlight w:val="none"/>
          <w:lang w:val="en-US" w:eastAsia="zh-Hans" w:bidi="ar-SA"/>
          <w14:textFill>
            <w14:solidFill>
              <w14:schemeClr w14:val="tx1"/>
            </w14:solidFill>
          </w14:textFill>
        </w:rPr>
        <w:t>。</w:t>
      </w:r>
    </w:p>
    <w:p w14:paraId="12C9B08C">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rPr>
          <w:rFonts w:hint="eastAsia" w:ascii="Times New Roman" w:hAnsi="Times New Roman" w:eastAsia="方正仿宋_GBK" w:cs="Times New Roman"/>
          <w:color w:val="000000" w:themeColor="text1"/>
          <w:kern w:val="2"/>
          <w:sz w:val="32"/>
          <w:szCs w:val="32"/>
          <w:highlight w:val="none"/>
          <w:lang w:val="en-US" w:eastAsia="zh-Hans" w:bidi="ar-SA"/>
          <w14:textFill>
            <w14:solidFill>
              <w14:schemeClr w14:val="tx1"/>
            </w14:solidFill>
          </w14:textFill>
        </w:rPr>
      </w:pPr>
      <w:r>
        <w:rPr>
          <w:rFonts w:hint="eastAsia" w:ascii="Times New Roman" w:hAnsi="Times New Roman" w:eastAsia="方正仿宋_GBK" w:cs="Times New Roman"/>
          <w:color w:val="000000" w:themeColor="text1"/>
          <w:kern w:val="2"/>
          <w:sz w:val="32"/>
          <w:szCs w:val="32"/>
          <w:highlight w:val="none"/>
          <w:lang w:val="en-US" w:eastAsia="zh-Hans" w:bidi="ar-SA"/>
          <w14:textFill>
            <w14:solidFill>
              <w14:schemeClr w14:val="tx1"/>
            </w14:solidFill>
          </w14:textFill>
        </w:rPr>
        <w:t>（</w:t>
      </w:r>
      <w:r>
        <w:rPr>
          <w:rFonts w:hint="eastAsia"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6</w:t>
      </w:r>
      <w:r>
        <w:rPr>
          <w:rFonts w:hint="eastAsia" w:ascii="Times New Roman" w:hAnsi="Times New Roman" w:eastAsia="方正仿宋_GBK" w:cs="Times New Roman"/>
          <w:color w:val="000000" w:themeColor="text1"/>
          <w:kern w:val="2"/>
          <w:sz w:val="32"/>
          <w:szCs w:val="32"/>
          <w:highlight w:val="none"/>
          <w:lang w:val="en-US" w:eastAsia="zh-Hans" w:bidi="ar-SA"/>
          <w14:textFill>
            <w14:solidFill>
              <w14:schemeClr w14:val="tx1"/>
            </w14:solidFill>
          </w14:textFill>
        </w:rPr>
        <w:t>）农林水支出203.61万元，占2.7%，较年初预算数增加203.61万元，增长</w:t>
      </w:r>
      <w:r>
        <w:rPr>
          <w:rFonts w:hint="eastAsia"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100</w:t>
      </w:r>
      <w:r>
        <w:rPr>
          <w:rFonts w:hint="eastAsia" w:ascii="Times New Roman" w:hAnsi="Times New Roman" w:eastAsia="方正仿宋_GBK" w:cs="Times New Roman"/>
          <w:color w:val="000000" w:themeColor="text1"/>
          <w:kern w:val="2"/>
          <w:sz w:val="32"/>
          <w:szCs w:val="32"/>
          <w:highlight w:val="none"/>
          <w:lang w:val="en-US" w:eastAsia="zh-Hans" w:bidi="ar-SA"/>
          <w14:textFill>
            <w14:solidFill>
              <w14:schemeClr w14:val="tx1"/>
            </w14:solidFill>
          </w14:textFill>
        </w:rPr>
        <w:t>%，主要原因是</w:t>
      </w:r>
      <w:r>
        <w:rPr>
          <w:rFonts w:hint="eastAsia"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年中新增巩固脱贫衔接乡村振兴支出</w:t>
      </w:r>
      <w:r>
        <w:rPr>
          <w:rFonts w:hint="eastAsia" w:ascii="Times New Roman" w:hAnsi="Times New Roman" w:eastAsia="方正仿宋_GBK" w:cs="Times New Roman"/>
          <w:color w:val="000000" w:themeColor="text1"/>
          <w:kern w:val="2"/>
          <w:sz w:val="32"/>
          <w:szCs w:val="32"/>
          <w:highlight w:val="none"/>
          <w:lang w:val="en-US" w:eastAsia="zh-Hans" w:bidi="ar-SA"/>
          <w14:textFill>
            <w14:solidFill>
              <w14:schemeClr w14:val="tx1"/>
            </w14:solidFill>
          </w14:textFill>
        </w:rPr>
        <w:t>。</w:t>
      </w:r>
    </w:p>
    <w:p w14:paraId="21C94754">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rPr>
          <w:rFonts w:hint="eastAsia" w:ascii="Times New Roman" w:hAnsi="Times New Roman" w:eastAsia="方正仿宋_GBK" w:cs="Times New Roman"/>
          <w:color w:val="000000" w:themeColor="text1"/>
          <w:kern w:val="2"/>
          <w:sz w:val="32"/>
          <w:szCs w:val="32"/>
          <w:lang w:val="en-US" w:eastAsia="zh-Hans" w:bidi="ar-SA"/>
          <w14:textFill>
            <w14:solidFill>
              <w14:schemeClr w14:val="tx1"/>
            </w14:solidFill>
          </w14:textFill>
        </w:rPr>
      </w:pPr>
      <w:r>
        <w:rPr>
          <w:rFonts w:hint="eastAsia" w:ascii="Times New Roman" w:hAnsi="Times New Roman" w:eastAsia="方正仿宋_GBK" w:cs="Times New Roman"/>
          <w:color w:val="000000" w:themeColor="text1"/>
          <w:kern w:val="2"/>
          <w:sz w:val="32"/>
          <w:szCs w:val="32"/>
          <w:lang w:val="en-US" w:eastAsia="zh-Hans" w:bidi="ar-SA"/>
          <w14:textFill>
            <w14:solidFill>
              <w14:schemeClr w14:val="tx1"/>
            </w14:solidFill>
          </w14:textFill>
        </w:rPr>
        <w:t>（</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7</w:t>
      </w:r>
      <w:r>
        <w:rPr>
          <w:rFonts w:hint="eastAsia" w:ascii="Times New Roman" w:hAnsi="Times New Roman" w:eastAsia="方正仿宋_GBK" w:cs="Times New Roman"/>
          <w:color w:val="000000" w:themeColor="text1"/>
          <w:kern w:val="2"/>
          <w:sz w:val="32"/>
          <w:szCs w:val="32"/>
          <w:lang w:val="en-US" w:eastAsia="zh-Hans" w:bidi="ar-SA"/>
          <w14:textFill>
            <w14:solidFill>
              <w14:schemeClr w14:val="tx1"/>
            </w14:solidFill>
          </w14:textFill>
        </w:rPr>
        <w:t>）住房保障支出538.81万元，占7.1%，较年初预算数减少6,321.28万元，下降92.1%，主要原因是</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保障性安居工程、</w:t>
      </w:r>
      <w:r>
        <w:rPr>
          <w:rFonts w:hint="eastAsia"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老旧小区改造等项目支出减少</w:t>
      </w:r>
      <w:r>
        <w:rPr>
          <w:rFonts w:hint="eastAsia" w:ascii="Times New Roman" w:hAnsi="Times New Roman" w:eastAsia="方正仿宋_GBK" w:cs="Times New Roman"/>
          <w:color w:val="000000" w:themeColor="text1"/>
          <w:kern w:val="2"/>
          <w:sz w:val="32"/>
          <w:szCs w:val="32"/>
          <w:highlight w:val="none"/>
          <w:lang w:val="en-US" w:eastAsia="zh-Hans" w:bidi="ar-SA"/>
          <w14:textFill>
            <w14:solidFill>
              <w14:schemeClr w14:val="tx1"/>
            </w14:solidFill>
          </w14:textFill>
        </w:rPr>
        <w:t>。</w:t>
      </w:r>
    </w:p>
    <w:p w14:paraId="166DA46F">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firstLine="640" w:firstLineChars="200"/>
        <w:jc w:val="both"/>
        <w:rPr>
          <w:rFonts w:hint="eastAsia" w:ascii="Times New Roman" w:hAnsi="Times New Roman" w:eastAsia="方正楷体_GBK" w:cs="Times New Roman"/>
          <w:color w:val="000000" w:themeColor="text1"/>
          <w:kern w:val="2"/>
          <w:sz w:val="32"/>
          <w:szCs w:val="32"/>
          <w:lang w:eastAsia="zh-Hans"/>
          <w14:textFill>
            <w14:solidFill>
              <w14:schemeClr w14:val="tx1"/>
            </w14:solidFill>
          </w14:textFill>
        </w:rPr>
      </w:pPr>
      <w:r>
        <w:rPr>
          <w:rFonts w:hint="eastAsia" w:ascii="Times New Roman" w:hAnsi="Times New Roman" w:eastAsia="方正楷体_GBK" w:cs="Times New Roman"/>
          <w:color w:val="000000" w:themeColor="text1"/>
          <w:kern w:val="2"/>
          <w:sz w:val="32"/>
          <w:szCs w:val="32"/>
          <w:lang w:eastAsia="zh-Hans"/>
          <w14:textFill>
            <w14:solidFill>
              <w14:schemeClr w14:val="tx1"/>
            </w14:solidFill>
          </w14:textFill>
        </w:rPr>
        <w:t>（四）一般公共预算财政拨款基本支出决算情况说明</w:t>
      </w:r>
    </w:p>
    <w:p w14:paraId="68B78A87">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firstLine="640" w:firstLineChars="200"/>
        <w:jc w:val="both"/>
        <w:rPr>
          <w:rFonts w:hint="eastAsia" w:ascii="Times New Roman" w:hAnsi="Times New Roman" w:eastAsia="方正仿宋_GBK" w:cs="Times New Roman"/>
          <w:color w:val="000000" w:themeColor="text1"/>
          <w:kern w:val="2"/>
          <w:sz w:val="32"/>
          <w:szCs w:val="32"/>
          <w:lang w:eastAsia="zh-Hans"/>
          <w14:textFill>
            <w14:solidFill>
              <w14:schemeClr w14:val="tx1"/>
            </w14:solidFill>
          </w14:textFill>
        </w:rPr>
      </w:pPr>
      <w:r>
        <w:rPr>
          <w:rFonts w:hint="eastAsia" w:ascii="Times New Roman" w:hAnsi="Times New Roman" w:eastAsia="方正仿宋_GBK" w:cs="Times New Roman"/>
          <w:color w:val="000000" w:themeColor="text1"/>
          <w:kern w:val="2"/>
          <w:sz w:val="32"/>
          <w:szCs w:val="32"/>
          <w:lang w:eastAsia="zh-Hans"/>
          <w14:textFill>
            <w14:solidFill>
              <w14:schemeClr w14:val="tx1"/>
            </w14:solidFill>
          </w14:textFill>
        </w:rPr>
        <w:t>2022年度一般公共预算财政拨款基本支出612.01万元。其中：人员经费562.01万元，较上年决算数增加20.61万元，增长3.8%，主要原因是</w:t>
      </w:r>
      <w:r>
        <w:rPr>
          <w:rFonts w:hint="eastAsia" w:ascii="Times New Roman" w:hAnsi="Times New Roman" w:eastAsia="方正仿宋_GBK" w:cs="Times New Roman"/>
          <w:color w:val="000000" w:themeColor="text1"/>
          <w:kern w:val="2"/>
          <w:sz w:val="32"/>
          <w:szCs w:val="32"/>
          <w14:textFill>
            <w14:solidFill>
              <w14:schemeClr w14:val="tx1"/>
            </w14:solidFill>
          </w14:textFill>
        </w:rPr>
        <w:t>人员职级晋升和</w:t>
      </w:r>
      <w:r>
        <w:rPr>
          <w:rFonts w:hint="eastAsia" w:ascii="Times New Roman" w:hAnsi="Times New Roman" w:eastAsia="方正仿宋_GBK" w:cs="Times New Roman"/>
          <w:color w:val="000000" w:themeColor="text1"/>
          <w:kern w:val="2"/>
          <w:sz w:val="32"/>
          <w:szCs w:val="32"/>
          <w:lang w:val="en-US" w:eastAsia="zh-CN"/>
          <w14:textFill>
            <w14:solidFill>
              <w14:schemeClr w14:val="tx1"/>
            </w14:solidFill>
          </w14:textFill>
        </w:rPr>
        <w:t>养老保险、</w:t>
      </w:r>
      <w:r>
        <w:rPr>
          <w:rFonts w:hint="eastAsia" w:ascii="Times New Roman" w:hAnsi="Times New Roman" w:eastAsia="方正仿宋_GBK" w:cs="Times New Roman"/>
          <w:color w:val="000000" w:themeColor="text1"/>
          <w:kern w:val="2"/>
          <w:sz w:val="32"/>
          <w:szCs w:val="32"/>
          <w14:textFill>
            <w14:solidFill>
              <w14:schemeClr w14:val="tx1"/>
            </w14:solidFill>
          </w14:textFill>
        </w:rPr>
        <w:t>住房公积金调基</w:t>
      </w:r>
      <w:r>
        <w:rPr>
          <w:rFonts w:hint="eastAsia" w:ascii="Times New Roman" w:hAnsi="Times New Roman" w:eastAsia="方正仿宋_GBK" w:cs="Times New Roman"/>
          <w:color w:val="000000" w:themeColor="text1"/>
          <w:kern w:val="2"/>
          <w:sz w:val="32"/>
          <w:szCs w:val="32"/>
          <w:lang w:eastAsia="zh-Hans"/>
          <w14:textFill>
            <w14:solidFill>
              <w14:schemeClr w14:val="tx1"/>
            </w14:solidFill>
          </w14:textFill>
        </w:rPr>
        <w:t>。人员经费用途主要包括</w:t>
      </w:r>
      <w:r>
        <w:rPr>
          <w:rFonts w:hint="eastAsia" w:ascii="Times New Roman" w:hAnsi="Times New Roman" w:eastAsia="方正仿宋_GBK" w:cs="Times New Roman"/>
          <w:color w:val="000000" w:themeColor="text1"/>
          <w:kern w:val="2"/>
          <w:sz w:val="32"/>
          <w:szCs w:val="32"/>
          <w14:textFill>
            <w14:solidFill>
              <w14:schemeClr w14:val="tx1"/>
            </w14:solidFill>
          </w14:textFill>
        </w:rPr>
        <w:t>基本工资、津贴补贴</w:t>
      </w:r>
      <w:r>
        <w:rPr>
          <w:rFonts w:hint="eastAsia" w:ascii="Times New Roman" w:hAnsi="Times New Roman" w:eastAsia="方正仿宋_GBK" w:cs="Times New Roman"/>
          <w:color w:val="000000" w:themeColor="text1"/>
          <w:kern w:val="2"/>
          <w:sz w:val="32"/>
          <w:szCs w:val="32"/>
          <w:lang w:eastAsia="zh-CN"/>
          <w14:textFill>
            <w14:solidFill>
              <w14:schemeClr w14:val="tx1"/>
            </w14:solidFill>
          </w14:textFill>
        </w:rPr>
        <w:t>、</w:t>
      </w:r>
      <w:r>
        <w:rPr>
          <w:rFonts w:hint="eastAsia" w:ascii="Times New Roman" w:hAnsi="Times New Roman" w:eastAsia="方正仿宋_GBK" w:cs="Times New Roman"/>
          <w:color w:val="000000" w:themeColor="text1"/>
          <w:kern w:val="2"/>
          <w:sz w:val="32"/>
          <w:szCs w:val="32"/>
          <w:lang w:val="en-US" w:eastAsia="zh-CN"/>
          <w14:textFill>
            <w14:solidFill>
              <w14:schemeClr w14:val="tx1"/>
            </w14:solidFill>
          </w14:textFill>
        </w:rPr>
        <w:t>奖金</w:t>
      </w:r>
      <w:r>
        <w:rPr>
          <w:rFonts w:hint="eastAsia" w:ascii="Times New Roman" w:hAnsi="Times New Roman" w:eastAsia="方正仿宋_GBK" w:cs="Times New Roman"/>
          <w:color w:val="000000" w:themeColor="text1"/>
          <w:kern w:val="2"/>
          <w:sz w:val="32"/>
          <w:szCs w:val="32"/>
          <w14:textFill>
            <w14:solidFill>
              <w14:schemeClr w14:val="tx1"/>
            </w14:solidFill>
          </w14:textFill>
        </w:rPr>
        <w:t>、社会保障缴费等支出</w:t>
      </w:r>
      <w:r>
        <w:rPr>
          <w:rFonts w:hint="eastAsia" w:ascii="Times New Roman" w:hAnsi="Times New Roman" w:eastAsia="方正仿宋_GBK" w:cs="Times New Roman"/>
          <w:color w:val="000000" w:themeColor="text1"/>
          <w:kern w:val="2"/>
          <w:sz w:val="32"/>
          <w:szCs w:val="32"/>
          <w:lang w:eastAsia="zh-Hans"/>
          <w14:textFill>
            <w14:solidFill>
              <w14:schemeClr w14:val="tx1"/>
            </w14:solidFill>
          </w14:textFill>
        </w:rPr>
        <w:t>。公用经费50.01万元，较上年决算数增加11.03万元，增长28.</w:t>
      </w:r>
      <w:r>
        <w:rPr>
          <w:rFonts w:hint="eastAsia" w:ascii="Times New Roman" w:hAnsi="Times New Roman" w:eastAsia="方正仿宋_GBK" w:cs="Times New Roman"/>
          <w:color w:val="000000" w:themeColor="text1"/>
          <w:kern w:val="2"/>
          <w:sz w:val="32"/>
          <w:szCs w:val="32"/>
          <w:highlight w:val="none"/>
          <w:lang w:eastAsia="zh-Hans"/>
          <w14:textFill>
            <w14:solidFill>
              <w14:schemeClr w14:val="tx1"/>
            </w14:solidFill>
          </w14:textFill>
        </w:rPr>
        <w:t>3%，主要原因是</w:t>
      </w:r>
      <w:r>
        <w:rPr>
          <w:rFonts w:hint="eastAsia" w:ascii="Times New Roman" w:hAnsi="Times New Roman" w:eastAsia="方正仿宋_GBK" w:cs="Times New Roman"/>
          <w:color w:val="000000" w:themeColor="text1"/>
          <w:kern w:val="2"/>
          <w:sz w:val="32"/>
          <w:szCs w:val="32"/>
          <w:highlight w:val="none"/>
          <w:lang w:val="en-US" w:eastAsia="zh-CN"/>
          <w14:textFill>
            <w14:solidFill>
              <w14:schemeClr w14:val="tx1"/>
            </w14:solidFill>
          </w14:textFill>
        </w:rPr>
        <w:t>支付往年费用</w:t>
      </w:r>
      <w:r>
        <w:rPr>
          <w:rFonts w:hint="eastAsia" w:ascii="Times New Roman" w:hAnsi="Times New Roman" w:eastAsia="方正仿宋_GBK" w:cs="Times New Roman"/>
          <w:color w:val="000000" w:themeColor="text1"/>
          <w:kern w:val="2"/>
          <w:sz w:val="32"/>
          <w:szCs w:val="32"/>
          <w:highlight w:val="none"/>
          <w:lang w:eastAsia="zh-Hans"/>
          <w14:textFill>
            <w14:solidFill>
              <w14:schemeClr w14:val="tx1"/>
            </w14:solidFill>
          </w14:textFill>
        </w:rPr>
        <w:t>。</w:t>
      </w:r>
      <w:r>
        <w:rPr>
          <w:rFonts w:hint="eastAsia" w:ascii="Times New Roman" w:hAnsi="Times New Roman" w:eastAsia="方正仿宋_GBK" w:cs="Times New Roman"/>
          <w:color w:val="000000" w:themeColor="text1"/>
          <w:kern w:val="2"/>
          <w:sz w:val="32"/>
          <w:szCs w:val="32"/>
          <w:lang w:eastAsia="zh-Hans"/>
          <w14:textFill>
            <w14:solidFill>
              <w14:schemeClr w14:val="tx1"/>
            </w14:solidFill>
          </w14:textFill>
        </w:rPr>
        <w:t>公用经费用途主要包括</w:t>
      </w:r>
      <w:r>
        <w:rPr>
          <w:rFonts w:hint="eastAsia" w:ascii="Times New Roman" w:hAnsi="Times New Roman" w:eastAsia="方正仿宋_GBK" w:cs="Times New Roman"/>
          <w:color w:val="000000" w:themeColor="text1"/>
          <w:kern w:val="2"/>
          <w:sz w:val="32"/>
          <w:szCs w:val="32"/>
          <w14:textFill>
            <w14:solidFill>
              <w14:schemeClr w14:val="tx1"/>
            </w14:solidFill>
          </w14:textFill>
        </w:rPr>
        <w:t>办公费、邮电费、手续费</w:t>
      </w:r>
      <w:r>
        <w:rPr>
          <w:rFonts w:hint="eastAsia" w:ascii="Times New Roman" w:hAnsi="Times New Roman" w:eastAsia="方正仿宋_GBK" w:cs="Times New Roman"/>
          <w:color w:val="000000" w:themeColor="text1"/>
          <w:kern w:val="2"/>
          <w:sz w:val="32"/>
          <w:szCs w:val="32"/>
          <w:lang w:eastAsia="zh-CN"/>
          <w14:textFill>
            <w14:solidFill>
              <w14:schemeClr w14:val="tx1"/>
            </w14:solidFill>
          </w14:textFill>
        </w:rPr>
        <w:t>、</w:t>
      </w:r>
      <w:r>
        <w:rPr>
          <w:rFonts w:hint="eastAsia" w:ascii="Times New Roman" w:hAnsi="Times New Roman" w:eastAsia="方正仿宋_GBK" w:cs="Times New Roman"/>
          <w:color w:val="000000" w:themeColor="text1"/>
          <w:kern w:val="2"/>
          <w:sz w:val="32"/>
          <w:szCs w:val="32"/>
          <w:lang w:val="en-US" w:eastAsia="zh-CN"/>
          <w14:textFill>
            <w14:solidFill>
              <w14:schemeClr w14:val="tx1"/>
            </w14:solidFill>
          </w14:textFill>
        </w:rPr>
        <w:t>水费、电费</w:t>
      </w:r>
      <w:r>
        <w:rPr>
          <w:rFonts w:hint="eastAsia" w:ascii="Times New Roman" w:hAnsi="Times New Roman" w:eastAsia="方正仿宋_GBK" w:cs="Times New Roman"/>
          <w:color w:val="000000" w:themeColor="text1"/>
          <w:kern w:val="2"/>
          <w:sz w:val="32"/>
          <w:szCs w:val="32"/>
          <w14:textFill>
            <w14:solidFill>
              <w14:schemeClr w14:val="tx1"/>
            </w14:solidFill>
          </w14:textFill>
        </w:rPr>
        <w:t>等支出。</w:t>
      </w:r>
    </w:p>
    <w:p w14:paraId="0BB1F4AE">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firstLine="640" w:firstLineChars="200"/>
        <w:jc w:val="both"/>
        <w:rPr>
          <w:rFonts w:hint="eastAsia" w:ascii="Times New Roman" w:hAnsi="Times New Roman" w:eastAsia="方正楷体_GBK" w:cs="Times New Roman"/>
          <w:color w:val="000000" w:themeColor="text1"/>
          <w:kern w:val="2"/>
          <w:sz w:val="32"/>
          <w:szCs w:val="32"/>
          <w:lang w:eastAsia="zh-Hans"/>
          <w14:textFill>
            <w14:solidFill>
              <w14:schemeClr w14:val="tx1"/>
            </w14:solidFill>
          </w14:textFill>
        </w:rPr>
      </w:pPr>
      <w:r>
        <w:rPr>
          <w:rFonts w:hint="eastAsia" w:ascii="Times New Roman" w:hAnsi="Times New Roman" w:eastAsia="方正楷体_GBK" w:cs="Times New Roman"/>
          <w:color w:val="000000" w:themeColor="text1"/>
          <w:kern w:val="2"/>
          <w:sz w:val="32"/>
          <w:szCs w:val="32"/>
          <w:lang w:eastAsia="zh-Hans"/>
          <w14:textFill>
            <w14:solidFill>
              <w14:schemeClr w14:val="tx1"/>
            </w14:solidFill>
          </w14:textFill>
        </w:rPr>
        <w:t>（五）政府性基金预算收支决算情况说明。</w:t>
      </w:r>
    </w:p>
    <w:p w14:paraId="6E5CA752">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firstLine="640" w:firstLineChars="200"/>
        <w:jc w:val="both"/>
        <w:rPr>
          <w:rFonts w:hint="eastAsia" w:ascii="Times New Roman" w:hAnsi="Times New Roman" w:eastAsia="方正仿宋_GBK" w:cs="Times New Roman"/>
          <w:color w:val="000000" w:themeColor="text1"/>
          <w:kern w:val="2"/>
          <w:sz w:val="32"/>
          <w:szCs w:val="32"/>
          <w:lang w:eastAsia="zh-Hans"/>
          <w14:textFill>
            <w14:solidFill>
              <w14:schemeClr w14:val="tx1"/>
            </w14:solidFill>
          </w14:textFill>
        </w:rPr>
      </w:pPr>
      <w:r>
        <w:rPr>
          <w:rFonts w:hint="eastAsia" w:ascii="Times New Roman" w:hAnsi="Times New Roman" w:eastAsia="方正仿宋_GBK" w:cs="Times New Roman"/>
          <w:color w:val="000000" w:themeColor="text1"/>
          <w:kern w:val="2"/>
          <w:sz w:val="32"/>
          <w:szCs w:val="32"/>
          <w:lang w:eastAsia="zh-Hans"/>
          <w14:textFill>
            <w14:solidFill>
              <w14:schemeClr w14:val="tx1"/>
            </w14:solidFill>
          </w14:textFill>
        </w:rPr>
        <w:t>2022年度政府性基金预算财政拨款年初结转结余7,608.00万元，年末结转结余0.00万元。本年收入4,882.13万元，较上年决算数增加4,548.93万元，增长1365.2%，主要原因是</w:t>
      </w:r>
      <w:r>
        <w:rPr>
          <w:rFonts w:hint="eastAsia" w:ascii="Times New Roman" w:hAnsi="Times New Roman" w:eastAsia="方正仿宋_GBK" w:cs="Times New Roman"/>
          <w:color w:val="000000" w:themeColor="text1"/>
          <w:kern w:val="2"/>
          <w:sz w:val="32"/>
          <w:szCs w:val="32"/>
          <w:highlight w:val="none"/>
          <w:lang w:eastAsia="zh-Hans"/>
          <w14:textFill>
            <w14:solidFill>
              <w14:schemeClr w14:val="tx1"/>
            </w14:solidFill>
          </w14:textFill>
        </w:rPr>
        <w:t>国家重大水利工程建设基金安排的支出</w:t>
      </w:r>
      <w:r>
        <w:rPr>
          <w:rFonts w:hint="eastAsia" w:ascii="Times New Roman" w:hAnsi="Times New Roman" w:eastAsia="方正仿宋_GBK" w:cs="Times New Roman"/>
          <w:color w:val="000000" w:themeColor="text1"/>
          <w:kern w:val="2"/>
          <w:sz w:val="32"/>
          <w:szCs w:val="32"/>
          <w:highlight w:val="none"/>
          <w:lang w:eastAsia="zh-CN"/>
          <w14:textFill>
            <w14:solidFill>
              <w14:schemeClr w14:val="tx1"/>
            </w14:solidFill>
          </w14:textFill>
        </w:rPr>
        <w:t>、国有土地收益基金安排的支出、城市基础设施配套费安排的支出</w:t>
      </w:r>
      <w:r>
        <w:rPr>
          <w:rFonts w:hint="eastAsia" w:ascii="Times New Roman" w:hAnsi="Times New Roman" w:eastAsia="方正仿宋_GBK" w:cs="Times New Roman"/>
          <w:color w:val="000000" w:themeColor="text1"/>
          <w:kern w:val="2"/>
          <w:sz w:val="32"/>
          <w:szCs w:val="32"/>
          <w:highlight w:val="none"/>
          <w:lang w:val="en-US" w:eastAsia="zh-CN"/>
          <w14:textFill>
            <w14:solidFill>
              <w14:schemeClr w14:val="tx1"/>
            </w14:solidFill>
          </w14:textFill>
        </w:rPr>
        <w:t>增加。如“丰都县实验小学</w:t>
      </w:r>
      <w:r>
        <w:rPr>
          <w:rFonts w:hint="eastAsia" w:ascii="方正小标宋_GBK" w:hAnsi="方正小标宋_GBK" w:eastAsia="方正小标宋_GBK" w:cs="方正小标宋_GBK"/>
          <w:color w:val="000000" w:themeColor="text1"/>
          <w:kern w:val="2"/>
          <w:sz w:val="32"/>
          <w:szCs w:val="32"/>
          <w:highlight w:val="none"/>
          <w:lang w:val="en-US" w:eastAsia="zh-CN"/>
          <w14:textFill>
            <w14:solidFill>
              <w14:schemeClr w14:val="tx1"/>
            </w14:solidFill>
          </w14:textFill>
        </w:rPr>
        <w:t>·</w:t>
      </w:r>
      <w:r>
        <w:rPr>
          <w:rFonts w:hint="eastAsia" w:ascii="方正仿宋_GBK" w:hAnsi="方正仿宋_GBK" w:eastAsia="方正仿宋_GBK" w:cs="方正仿宋_GBK"/>
          <w:color w:val="000000" w:themeColor="text1"/>
          <w:kern w:val="2"/>
          <w:sz w:val="32"/>
          <w:szCs w:val="32"/>
          <w:highlight w:val="none"/>
          <w:lang w:val="en-US" w:eastAsia="zh-CN"/>
          <w14:textFill>
            <w14:solidFill>
              <w14:schemeClr w14:val="tx1"/>
            </w14:solidFill>
          </w14:textFill>
        </w:rPr>
        <w:t>金科分校项目</w:t>
      </w:r>
      <w:r>
        <w:rPr>
          <w:rFonts w:hint="eastAsia" w:ascii="Times New Roman" w:hAnsi="Times New Roman" w:eastAsia="方正仿宋_GBK" w:cs="Times New Roman"/>
          <w:color w:val="000000" w:themeColor="text1"/>
          <w:kern w:val="2"/>
          <w:sz w:val="32"/>
          <w:szCs w:val="32"/>
          <w:highlight w:val="none"/>
          <w:lang w:val="en-US" w:eastAsia="zh-CN"/>
          <w14:textFill>
            <w14:solidFill>
              <w14:schemeClr w14:val="tx1"/>
            </w14:solidFill>
          </w14:textFill>
        </w:rPr>
        <w:t>”、“预结算土地出让金”、“兑现城市建设配套费、人防费资金项目”</w:t>
      </w:r>
      <w:r>
        <w:rPr>
          <w:rFonts w:hint="eastAsia" w:ascii="Times New Roman" w:hAnsi="Times New Roman" w:eastAsia="方正仿宋_GBK" w:cs="Times New Roman"/>
          <w:color w:val="000000" w:themeColor="text1"/>
          <w:kern w:val="2"/>
          <w:sz w:val="32"/>
          <w:szCs w:val="32"/>
          <w:highlight w:val="none"/>
          <w:lang w:eastAsia="zh-Hans"/>
          <w14:textFill>
            <w14:solidFill>
              <w14:schemeClr w14:val="tx1"/>
            </w14:solidFill>
          </w14:textFill>
        </w:rPr>
        <w:t>。本年支出12,490.13万元，较上年决算数增加12,156.93万元，增长3648.5%，主要原因国家重大水利工程建设基金安排的支出</w:t>
      </w:r>
      <w:r>
        <w:rPr>
          <w:rFonts w:hint="eastAsia" w:ascii="Times New Roman" w:hAnsi="Times New Roman" w:eastAsia="方正仿宋_GBK" w:cs="Times New Roman"/>
          <w:color w:val="000000" w:themeColor="text1"/>
          <w:kern w:val="2"/>
          <w:sz w:val="32"/>
          <w:szCs w:val="32"/>
          <w:highlight w:val="none"/>
          <w:lang w:eastAsia="zh-CN"/>
          <w14:textFill>
            <w14:solidFill>
              <w14:schemeClr w14:val="tx1"/>
            </w14:solidFill>
          </w14:textFill>
        </w:rPr>
        <w:t>、国有土地收益基金安排的支出、城市基础设施配套费安排的支出</w:t>
      </w:r>
      <w:r>
        <w:rPr>
          <w:rFonts w:hint="eastAsia" w:ascii="Times New Roman" w:hAnsi="Times New Roman" w:eastAsia="方正仿宋_GBK" w:cs="Times New Roman"/>
          <w:color w:val="000000" w:themeColor="text1"/>
          <w:kern w:val="2"/>
          <w:sz w:val="32"/>
          <w:szCs w:val="32"/>
          <w:highlight w:val="none"/>
          <w:lang w:val="en-US" w:eastAsia="zh-CN"/>
          <w14:textFill>
            <w14:solidFill>
              <w14:schemeClr w14:val="tx1"/>
            </w14:solidFill>
          </w14:textFill>
        </w:rPr>
        <w:t>增加。如“丰都县实验小学</w:t>
      </w:r>
      <w:r>
        <w:rPr>
          <w:rFonts w:hint="eastAsia" w:ascii="方正小标宋_GBK" w:hAnsi="方正小标宋_GBK" w:eastAsia="方正小标宋_GBK" w:cs="方正小标宋_GBK"/>
          <w:color w:val="000000" w:themeColor="text1"/>
          <w:kern w:val="2"/>
          <w:sz w:val="32"/>
          <w:szCs w:val="32"/>
          <w:highlight w:val="none"/>
          <w:lang w:val="en-US" w:eastAsia="zh-CN"/>
          <w14:textFill>
            <w14:solidFill>
              <w14:schemeClr w14:val="tx1"/>
            </w14:solidFill>
          </w14:textFill>
        </w:rPr>
        <w:t>·</w:t>
      </w:r>
      <w:r>
        <w:rPr>
          <w:rFonts w:hint="eastAsia" w:ascii="方正仿宋_GBK" w:hAnsi="方正仿宋_GBK" w:eastAsia="方正仿宋_GBK" w:cs="方正仿宋_GBK"/>
          <w:color w:val="000000" w:themeColor="text1"/>
          <w:kern w:val="2"/>
          <w:sz w:val="32"/>
          <w:szCs w:val="32"/>
          <w:highlight w:val="none"/>
          <w:lang w:val="en-US" w:eastAsia="zh-CN"/>
          <w14:textFill>
            <w14:solidFill>
              <w14:schemeClr w14:val="tx1"/>
            </w14:solidFill>
          </w14:textFill>
        </w:rPr>
        <w:t>金科分校项目</w:t>
      </w:r>
      <w:r>
        <w:rPr>
          <w:rFonts w:hint="eastAsia" w:ascii="Times New Roman" w:hAnsi="Times New Roman" w:eastAsia="方正仿宋_GBK" w:cs="Times New Roman"/>
          <w:color w:val="000000" w:themeColor="text1"/>
          <w:kern w:val="2"/>
          <w:sz w:val="32"/>
          <w:szCs w:val="32"/>
          <w:highlight w:val="none"/>
          <w:lang w:val="en-US" w:eastAsia="zh-CN"/>
          <w14:textFill>
            <w14:solidFill>
              <w14:schemeClr w14:val="tx1"/>
            </w14:solidFill>
          </w14:textFill>
        </w:rPr>
        <w:t>”、“预结算土地出让金”、“兑现城市建设配套费、人防费资金项目”</w:t>
      </w:r>
      <w:r>
        <w:rPr>
          <w:rFonts w:hint="eastAsia" w:ascii="Times New Roman" w:hAnsi="Times New Roman" w:eastAsia="方正仿宋_GBK" w:cs="Times New Roman"/>
          <w:color w:val="000000" w:themeColor="text1"/>
          <w:kern w:val="2"/>
          <w:sz w:val="32"/>
          <w:szCs w:val="32"/>
          <w:lang w:eastAsia="zh-Hans"/>
          <w14:textFill>
            <w14:solidFill>
              <w14:schemeClr w14:val="tx1"/>
            </w14:solidFill>
          </w14:textFill>
        </w:rPr>
        <w:t>。</w:t>
      </w:r>
    </w:p>
    <w:p w14:paraId="15B8DE5F">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600" w:lineRule="exact"/>
        <w:ind w:right="0" w:firstLine="640" w:firstLineChars="200"/>
        <w:jc w:val="both"/>
        <w:rPr>
          <w:rFonts w:hint="eastAsia" w:ascii="Times New Roman" w:hAnsi="Times New Roman" w:eastAsia="方正楷体_GBK" w:cs="Times New Roman"/>
          <w:color w:val="000000" w:themeColor="text1"/>
          <w:kern w:val="2"/>
          <w:sz w:val="32"/>
          <w:szCs w:val="32"/>
          <w:lang w:eastAsia="zh-Hans"/>
          <w14:textFill>
            <w14:solidFill>
              <w14:schemeClr w14:val="tx1"/>
            </w14:solidFill>
          </w14:textFill>
        </w:rPr>
      </w:pPr>
      <w:r>
        <w:rPr>
          <w:rFonts w:hint="eastAsia" w:ascii="Times New Roman" w:hAnsi="Times New Roman" w:eastAsia="方正楷体_GBK" w:cs="Times New Roman"/>
          <w:color w:val="000000" w:themeColor="text1"/>
          <w:kern w:val="2"/>
          <w:sz w:val="32"/>
          <w:szCs w:val="32"/>
          <w:lang w:eastAsia="zh-Hans"/>
          <w14:textFill>
            <w14:solidFill>
              <w14:schemeClr w14:val="tx1"/>
            </w14:solidFill>
          </w14:textFill>
        </w:rPr>
        <w:t>国有资本经营预算财政拨款支出决算情况说明。</w:t>
      </w:r>
    </w:p>
    <w:p w14:paraId="4BA776F3">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right="0" w:firstLine="640" w:firstLineChars="200"/>
        <w:jc w:val="both"/>
        <w:rPr>
          <w:rFonts w:hint="eastAsia" w:ascii="Times New Roman" w:hAnsi="Times New Roman" w:eastAsia="方正仿宋_GBK" w:cs="Times New Roman"/>
          <w:color w:val="000000" w:themeColor="text1"/>
          <w:kern w:val="2"/>
          <w:sz w:val="32"/>
          <w:szCs w:val="32"/>
          <w:lang w:eastAsia="zh-Hans"/>
          <w14:textFill>
            <w14:solidFill>
              <w14:schemeClr w14:val="tx1"/>
            </w14:solidFill>
          </w14:textFill>
        </w:rPr>
      </w:pPr>
      <w:r>
        <w:rPr>
          <w:rFonts w:hint="eastAsia" w:ascii="Times New Roman" w:hAnsi="Times New Roman" w:eastAsia="方正仿宋_GBK" w:cs="Times New Roman"/>
          <w:color w:val="000000" w:themeColor="text1"/>
          <w:kern w:val="2"/>
          <w:sz w:val="32"/>
          <w:szCs w:val="32"/>
          <w:lang w:eastAsia="zh-Hans"/>
          <w14:textFill>
            <w14:solidFill>
              <w14:schemeClr w14:val="tx1"/>
            </w14:solidFill>
          </w14:textFill>
        </w:rPr>
        <w:t>本部门2022年度无国有资本经营预算财政拨款支出。</w:t>
      </w:r>
    </w:p>
    <w:p w14:paraId="0D9CE015">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firstLine="640" w:firstLineChars="200"/>
        <w:jc w:val="both"/>
        <w:rPr>
          <w:rFonts w:hint="eastAsia" w:ascii="Times New Roman" w:hAnsi="Times New Roman" w:eastAsia="方正黑体_GBK" w:cs="Times New Roman"/>
          <w:color w:val="000000" w:themeColor="text1"/>
          <w:kern w:val="2"/>
          <w:sz w:val="32"/>
          <w:szCs w:val="32"/>
          <w:lang w:eastAsia="zh-Hans"/>
          <w14:textFill>
            <w14:solidFill>
              <w14:schemeClr w14:val="tx1"/>
            </w14:solidFill>
          </w14:textFill>
        </w:rPr>
      </w:pPr>
      <w:r>
        <w:rPr>
          <w:rFonts w:hint="eastAsia" w:ascii="Times New Roman" w:hAnsi="Times New Roman" w:eastAsia="方正黑体_GBK" w:cs="Times New Roman"/>
          <w:color w:val="000000" w:themeColor="text1"/>
          <w:kern w:val="2"/>
          <w:sz w:val="32"/>
          <w:szCs w:val="32"/>
          <w:lang w:eastAsia="zh-Hans"/>
          <w14:textFill>
            <w14:solidFill>
              <w14:schemeClr w14:val="tx1"/>
            </w14:solidFill>
          </w14:textFill>
        </w:rPr>
        <w:t>三、“三公”经费情况说明</w:t>
      </w:r>
    </w:p>
    <w:p w14:paraId="3DBF03F3">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firstLine="640" w:firstLineChars="200"/>
        <w:jc w:val="both"/>
        <w:rPr>
          <w:rFonts w:hint="eastAsia" w:ascii="Times New Roman" w:hAnsi="Times New Roman" w:eastAsia="方正楷体_GBK" w:cs="Times New Roman"/>
          <w:color w:val="000000" w:themeColor="text1"/>
          <w:kern w:val="2"/>
          <w:sz w:val="32"/>
          <w:szCs w:val="32"/>
          <w:lang w:eastAsia="zh-Hans"/>
          <w14:textFill>
            <w14:solidFill>
              <w14:schemeClr w14:val="tx1"/>
            </w14:solidFill>
          </w14:textFill>
        </w:rPr>
      </w:pPr>
      <w:r>
        <w:rPr>
          <w:rFonts w:hint="eastAsia" w:ascii="Times New Roman" w:hAnsi="Times New Roman" w:eastAsia="方正楷体_GBK" w:cs="Times New Roman"/>
          <w:color w:val="000000" w:themeColor="text1"/>
          <w:kern w:val="2"/>
          <w:sz w:val="32"/>
          <w:szCs w:val="32"/>
          <w:lang w:eastAsia="zh-Hans"/>
          <w14:textFill>
            <w14:solidFill>
              <w14:schemeClr w14:val="tx1"/>
            </w14:solidFill>
          </w14:textFill>
        </w:rPr>
        <w:t>（一）“三公”经费支出总体情况说明</w:t>
      </w:r>
    </w:p>
    <w:p w14:paraId="56E1FD1F">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firstLine="640" w:firstLineChars="200"/>
        <w:jc w:val="both"/>
        <w:rPr>
          <w:rFonts w:hint="eastAsia" w:ascii="Times New Roman" w:hAnsi="Times New Roman" w:eastAsia="方正仿宋_GBK" w:cs="Times New Roman"/>
          <w:color w:val="000000" w:themeColor="text1"/>
          <w:kern w:val="2"/>
          <w:sz w:val="32"/>
          <w:szCs w:val="32"/>
          <w:highlight w:val="none"/>
          <w:lang w:val="en-US" w:eastAsia="zh-Hans"/>
          <w14:textFill>
            <w14:solidFill>
              <w14:schemeClr w14:val="tx1"/>
            </w14:solidFill>
          </w14:textFill>
        </w:rPr>
      </w:pPr>
      <w:r>
        <w:rPr>
          <w:rFonts w:hint="eastAsia" w:ascii="Times New Roman" w:hAnsi="Times New Roman" w:eastAsia="方正仿宋_GBK" w:cs="Times New Roman"/>
          <w:color w:val="000000" w:themeColor="text1"/>
          <w:kern w:val="2"/>
          <w:sz w:val="32"/>
          <w:szCs w:val="32"/>
          <w:highlight w:val="none"/>
          <w:lang w:val="en-US" w:eastAsia="zh-Hans"/>
          <w14:textFill>
            <w14:solidFill>
              <w14:schemeClr w14:val="tx1"/>
            </w14:solidFill>
          </w14:textFill>
        </w:rPr>
        <w:t>2022年度“三公”经费支出共计1.49万元，较年初预算数减少6.01万元，下降80.1%，主要原因是</w:t>
      </w:r>
      <w:r>
        <w:rPr>
          <w:rFonts w:hint="eastAsia" w:ascii="Times New Roman" w:hAnsi="Times New Roman" w:eastAsia="方正仿宋_GBK" w:cs="Times New Roman"/>
          <w:color w:val="000000" w:themeColor="text1"/>
          <w:kern w:val="2"/>
          <w:sz w:val="32"/>
          <w:szCs w:val="32"/>
          <w14:textFill>
            <w14:solidFill>
              <w14:schemeClr w14:val="tx1"/>
            </w14:solidFill>
          </w14:textFill>
        </w:rPr>
        <w:t>严格控制</w:t>
      </w:r>
      <w:bookmarkStart w:id="0" w:name="_GoBack"/>
      <w:bookmarkEnd w:id="0"/>
      <w:r>
        <w:rPr>
          <w:rFonts w:hint="eastAsia" w:ascii="Times New Roman" w:hAnsi="Times New Roman" w:eastAsia="方正仿宋_GBK" w:cs="Times New Roman"/>
          <w:color w:val="000000" w:themeColor="text1"/>
          <w:kern w:val="2"/>
          <w:sz w:val="32"/>
          <w:szCs w:val="32"/>
          <w:lang w:eastAsia="zh-CN"/>
          <w14:textFill>
            <w14:solidFill>
              <w14:schemeClr w14:val="tx1"/>
            </w14:solidFill>
          </w14:textFill>
        </w:rPr>
        <w:t>“三公”经费</w:t>
      </w:r>
      <w:r>
        <w:rPr>
          <w:rFonts w:hint="eastAsia" w:ascii="Times New Roman" w:hAnsi="Times New Roman" w:eastAsia="方正仿宋_GBK" w:cs="Times New Roman"/>
          <w:color w:val="000000" w:themeColor="text1"/>
          <w:kern w:val="2"/>
          <w:sz w:val="32"/>
          <w:szCs w:val="32"/>
          <w14:textFill>
            <w14:solidFill>
              <w14:schemeClr w14:val="tx1"/>
            </w14:solidFill>
          </w14:textFill>
        </w:rPr>
        <w:t>支出不超预算</w:t>
      </w:r>
      <w:r>
        <w:rPr>
          <w:rFonts w:hint="eastAsia" w:ascii="Times New Roman" w:hAnsi="Times New Roman" w:eastAsia="方正仿宋_GBK" w:cs="Times New Roman"/>
          <w:color w:val="000000" w:themeColor="text1"/>
          <w:kern w:val="2"/>
          <w:sz w:val="32"/>
          <w:szCs w:val="32"/>
          <w:highlight w:val="none"/>
          <w:lang w:val="en-US" w:eastAsia="zh-Hans"/>
          <w14:textFill>
            <w14:solidFill>
              <w14:schemeClr w14:val="tx1"/>
            </w14:solidFill>
          </w14:textFill>
        </w:rPr>
        <w:t>。较上年支出数增加0.51万元，增长52%，主要原因是</w:t>
      </w:r>
      <w:r>
        <w:rPr>
          <w:rFonts w:hint="eastAsia" w:ascii="Times New Roman" w:hAnsi="Times New Roman" w:eastAsia="方正仿宋_GBK" w:cs="Times New Roman"/>
          <w:color w:val="000000" w:themeColor="text1"/>
          <w:kern w:val="2"/>
          <w:sz w:val="32"/>
          <w:szCs w:val="32"/>
          <w:highlight w:val="none"/>
          <w:lang w:val="en-US" w:eastAsia="zh-CN"/>
          <w14:textFill>
            <w14:solidFill>
              <w14:schemeClr w14:val="tx1"/>
            </w14:solidFill>
          </w14:textFill>
        </w:rPr>
        <w:t>支付往年接待费</w:t>
      </w:r>
      <w:r>
        <w:rPr>
          <w:rFonts w:hint="eastAsia" w:ascii="Times New Roman" w:hAnsi="Times New Roman" w:eastAsia="方正仿宋_GBK" w:cs="Times New Roman"/>
          <w:color w:val="000000" w:themeColor="text1"/>
          <w:kern w:val="2"/>
          <w:sz w:val="32"/>
          <w:szCs w:val="32"/>
          <w:highlight w:val="none"/>
          <w:lang w:val="en-US" w:eastAsia="zh-Hans"/>
          <w14:textFill>
            <w14:solidFill>
              <w14:schemeClr w14:val="tx1"/>
            </w14:solidFill>
          </w14:textFill>
        </w:rPr>
        <w:t>。</w:t>
      </w:r>
    </w:p>
    <w:p w14:paraId="73B673A3">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firstLine="640" w:firstLineChars="200"/>
        <w:jc w:val="both"/>
        <w:rPr>
          <w:rFonts w:hint="eastAsia" w:ascii="Times New Roman" w:hAnsi="Times New Roman" w:eastAsia="方正楷体_GBK" w:cs="Times New Roman"/>
          <w:color w:val="000000" w:themeColor="text1"/>
          <w:kern w:val="2"/>
          <w:sz w:val="32"/>
          <w:szCs w:val="32"/>
          <w:lang w:eastAsia="zh-Hans"/>
          <w14:textFill>
            <w14:solidFill>
              <w14:schemeClr w14:val="tx1"/>
            </w14:solidFill>
          </w14:textFill>
        </w:rPr>
      </w:pPr>
      <w:r>
        <w:rPr>
          <w:rFonts w:hint="eastAsia" w:ascii="Times New Roman" w:hAnsi="Times New Roman" w:eastAsia="方正楷体_GBK" w:cs="Times New Roman"/>
          <w:color w:val="000000" w:themeColor="text1"/>
          <w:kern w:val="2"/>
          <w:sz w:val="32"/>
          <w:szCs w:val="32"/>
          <w:lang w:eastAsia="zh-Hans"/>
          <w14:textFill>
            <w14:solidFill>
              <w14:schemeClr w14:val="tx1"/>
            </w14:solidFill>
          </w14:textFill>
        </w:rPr>
        <w:t>（二）“三公”经费分项支出情况</w:t>
      </w:r>
    </w:p>
    <w:p w14:paraId="0323E533">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firstLine="640" w:firstLineChars="200"/>
        <w:jc w:val="both"/>
        <w:rPr>
          <w:rFonts w:hint="eastAsia" w:ascii="Times New Roman" w:hAnsi="Times New Roman" w:eastAsia="方正仿宋_GBK" w:cs="Times New Roman"/>
          <w:color w:val="000000" w:themeColor="text1"/>
          <w:kern w:val="2"/>
          <w:sz w:val="32"/>
          <w:szCs w:val="32"/>
          <w:highlight w:val="none"/>
          <w:lang w:val="en-US" w:eastAsia="zh-CN"/>
          <w14:textFill>
            <w14:solidFill>
              <w14:schemeClr w14:val="tx1"/>
            </w14:solidFill>
          </w14:textFill>
        </w:rPr>
      </w:pPr>
      <w:r>
        <w:rPr>
          <w:rFonts w:hint="eastAsia" w:ascii="Times New Roman" w:hAnsi="Times New Roman" w:eastAsia="方正仿宋_GBK" w:cs="Times New Roman"/>
          <w:color w:val="000000" w:themeColor="text1"/>
          <w:kern w:val="2"/>
          <w:sz w:val="32"/>
          <w:szCs w:val="32"/>
          <w:highlight w:val="none"/>
          <w:lang w:val="en-US" w:eastAsia="zh-Hans"/>
          <w14:textFill>
            <w14:solidFill>
              <w14:schemeClr w14:val="tx1"/>
            </w14:solidFill>
          </w14:textFill>
        </w:rPr>
        <w:t>2022年度本部门因公出国（境）费用0.00万元，主要是</w:t>
      </w:r>
      <w:r>
        <w:rPr>
          <w:rFonts w:hint="eastAsia" w:ascii="Times New Roman" w:hAnsi="Times New Roman" w:eastAsia="方正仿宋_GBK" w:cs="Times New Roman"/>
          <w:color w:val="000000" w:themeColor="text1"/>
          <w:kern w:val="2"/>
          <w:sz w:val="32"/>
          <w:szCs w:val="32"/>
          <w14:textFill>
            <w14:solidFill>
              <w14:schemeClr w14:val="tx1"/>
            </w14:solidFill>
          </w14:textFill>
        </w:rPr>
        <w:t>202</w:t>
      </w:r>
      <w:r>
        <w:rPr>
          <w:rFonts w:hint="eastAsia" w:ascii="Times New Roman" w:hAnsi="Times New Roman" w:eastAsia="方正仿宋_GBK" w:cs="Times New Roman"/>
          <w:color w:val="000000" w:themeColor="text1"/>
          <w:kern w:val="2"/>
          <w:sz w:val="32"/>
          <w:szCs w:val="32"/>
          <w:lang w:val="en-US" w:eastAsia="zh-CN"/>
          <w14:textFill>
            <w14:solidFill>
              <w14:schemeClr w14:val="tx1"/>
            </w14:solidFill>
          </w14:textFill>
        </w:rPr>
        <w:t>2</w:t>
      </w:r>
      <w:r>
        <w:rPr>
          <w:rFonts w:hint="eastAsia" w:ascii="Times New Roman" w:hAnsi="Times New Roman" w:eastAsia="方正仿宋_GBK" w:cs="Times New Roman"/>
          <w:color w:val="000000" w:themeColor="text1"/>
          <w:kern w:val="2"/>
          <w:sz w:val="32"/>
          <w:szCs w:val="32"/>
          <w14:textFill>
            <w14:solidFill>
              <w14:schemeClr w14:val="tx1"/>
            </w14:solidFill>
          </w14:textFill>
        </w:rPr>
        <w:t>年没有安排人员出国访问</w:t>
      </w:r>
      <w:r>
        <w:rPr>
          <w:rFonts w:hint="eastAsia" w:ascii="Times New Roman" w:hAnsi="Times New Roman" w:eastAsia="方正仿宋_GBK" w:cs="Times New Roman"/>
          <w:color w:val="000000" w:themeColor="text1"/>
          <w:kern w:val="2"/>
          <w:sz w:val="32"/>
          <w:szCs w:val="32"/>
          <w:highlight w:val="none"/>
          <w:lang w:val="en-US" w:eastAsia="zh-Hans"/>
          <w14:textFill>
            <w14:solidFill>
              <w14:schemeClr w14:val="tx1"/>
            </w14:solidFill>
          </w14:textFill>
        </w:rPr>
        <w:t>。</w:t>
      </w:r>
      <w:r>
        <w:rPr>
          <w:rFonts w:hint="eastAsia" w:ascii="Times New Roman" w:hAnsi="Times New Roman" w:eastAsia="方正仿宋_GBK" w:cs="Times New Roman"/>
          <w:color w:val="000000" w:themeColor="text1"/>
          <w:kern w:val="2"/>
          <w:sz w:val="32"/>
          <w:szCs w:val="32"/>
          <w14:textFill>
            <w14:solidFill>
              <w14:schemeClr w14:val="tx1"/>
            </w14:solidFill>
          </w14:textFill>
        </w:rPr>
        <w:t>费用支出较年初预算数持平</w:t>
      </w:r>
      <w:r>
        <w:rPr>
          <w:rFonts w:hint="eastAsia" w:ascii="Times New Roman" w:hAnsi="Times New Roman" w:eastAsia="方正仿宋_GBK" w:cs="Times New Roman"/>
          <w:color w:val="000000" w:themeColor="text1"/>
          <w:kern w:val="2"/>
          <w:sz w:val="32"/>
          <w:szCs w:val="32"/>
          <w:highlight w:val="none"/>
          <w:lang w:val="en-US" w:eastAsia="zh-Hans"/>
          <w14:textFill>
            <w14:solidFill>
              <w14:schemeClr w14:val="tx1"/>
            </w14:solidFill>
          </w14:textFill>
        </w:rPr>
        <w:t>，主要原因是</w:t>
      </w:r>
      <w:r>
        <w:rPr>
          <w:rFonts w:hint="eastAsia" w:ascii="Times New Roman" w:hAnsi="Times New Roman" w:eastAsia="方正仿宋_GBK" w:cs="Times New Roman"/>
          <w:color w:val="000000" w:themeColor="text1"/>
          <w:kern w:val="2"/>
          <w:sz w:val="32"/>
          <w:szCs w:val="32"/>
          <w14:textFill>
            <w14:solidFill>
              <w14:schemeClr w14:val="tx1"/>
            </w14:solidFill>
          </w14:textFill>
        </w:rPr>
        <w:t>202</w:t>
      </w:r>
      <w:r>
        <w:rPr>
          <w:rFonts w:hint="eastAsia" w:ascii="Times New Roman" w:hAnsi="Times New Roman" w:eastAsia="方正仿宋_GBK" w:cs="Times New Roman"/>
          <w:color w:val="000000" w:themeColor="text1"/>
          <w:kern w:val="2"/>
          <w:sz w:val="32"/>
          <w:szCs w:val="32"/>
          <w:lang w:val="en-US" w:eastAsia="zh-CN"/>
          <w14:textFill>
            <w14:solidFill>
              <w14:schemeClr w14:val="tx1"/>
            </w14:solidFill>
          </w14:textFill>
        </w:rPr>
        <w:t>2</w:t>
      </w:r>
      <w:r>
        <w:rPr>
          <w:rFonts w:hint="eastAsia" w:ascii="Times New Roman" w:hAnsi="Times New Roman" w:eastAsia="方正仿宋_GBK" w:cs="Times New Roman"/>
          <w:color w:val="000000" w:themeColor="text1"/>
          <w:kern w:val="2"/>
          <w:sz w:val="32"/>
          <w:szCs w:val="32"/>
          <w14:textFill>
            <w14:solidFill>
              <w14:schemeClr w14:val="tx1"/>
            </w14:solidFill>
          </w14:textFill>
        </w:rPr>
        <w:t>年没有安排人员出国访问</w:t>
      </w:r>
      <w:r>
        <w:rPr>
          <w:rFonts w:hint="eastAsia" w:ascii="Times New Roman" w:hAnsi="Times New Roman" w:eastAsia="方正仿宋_GBK" w:cs="Times New Roman"/>
          <w:color w:val="000000" w:themeColor="text1"/>
          <w:kern w:val="2"/>
          <w:sz w:val="32"/>
          <w:szCs w:val="32"/>
          <w:highlight w:val="none"/>
          <w:lang w:val="en-US" w:eastAsia="zh-Hans"/>
          <w14:textFill>
            <w14:solidFill>
              <w14:schemeClr w14:val="tx1"/>
            </w14:solidFill>
          </w14:textFill>
        </w:rPr>
        <w:t>。</w:t>
      </w:r>
      <w:r>
        <w:rPr>
          <w:rFonts w:hint="eastAsia" w:ascii="Times New Roman" w:hAnsi="Times New Roman" w:eastAsia="方正仿宋_GBK" w:cs="Times New Roman"/>
          <w:color w:val="000000" w:themeColor="text1"/>
          <w:kern w:val="2"/>
          <w:sz w:val="32"/>
          <w:szCs w:val="32"/>
          <w14:textFill>
            <w14:solidFill>
              <w14:schemeClr w14:val="tx1"/>
            </w14:solidFill>
          </w14:textFill>
        </w:rPr>
        <w:t>较上年支出数持平，主要原因是202</w:t>
      </w:r>
      <w:r>
        <w:rPr>
          <w:rFonts w:hint="eastAsia" w:ascii="Times New Roman" w:hAnsi="Times New Roman" w:eastAsia="方正仿宋_GBK" w:cs="Times New Roman"/>
          <w:color w:val="000000" w:themeColor="text1"/>
          <w:kern w:val="2"/>
          <w:sz w:val="32"/>
          <w:szCs w:val="32"/>
          <w:lang w:val="en-US" w:eastAsia="zh-CN"/>
          <w14:textFill>
            <w14:solidFill>
              <w14:schemeClr w14:val="tx1"/>
            </w14:solidFill>
          </w14:textFill>
        </w:rPr>
        <w:t>2</w:t>
      </w:r>
      <w:r>
        <w:rPr>
          <w:rFonts w:hint="eastAsia" w:ascii="Times New Roman" w:hAnsi="Times New Roman" w:eastAsia="方正仿宋_GBK" w:cs="Times New Roman"/>
          <w:color w:val="000000" w:themeColor="text1"/>
          <w:kern w:val="2"/>
          <w:sz w:val="32"/>
          <w:szCs w:val="32"/>
          <w14:textFill>
            <w14:solidFill>
              <w14:schemeClr w14:val="tx1"/>
            </w14:solidFill>
          </w14:textFill>
        </w:rPr>
        <w:t>年没有安排人员出国访问</w:t>
      </w:r>
      <w:r>
        <w:rPr>
          <w:rFonts w:hint="eastAsia" w:ascii="Times New Roman" w:hAnsi="Times New Roman" w:eastAsia="方正仿宋_GBK" w:cs="Times New Roman"/>
          <w:color w:val="000000" w:themeColor="text1"/>
          <w:kern w:val="2"/>
          <w:sz w:val="32"/>
          <w:szCs w:val="32"/>
          <w:lang w:eastAsia="zh-CN"/>
          <w14:textFill>
            <w14:solidFill>
              <w14:schemeClr w14:val="tx1"/>
            </w14:solidFill>
          </w14:textFill>
        </w:rPr>
        <w:t>。</w:t>
      </w:r>
    </w:p>
    <w:p w14:paraId="10A2A9A8">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firstLine="640" w:firstLineChars="200"/>
        <w:jc w:val="both"/>
        <w:rPr>
          <w:rFonts w:hint="eastAsia" w:ascii="Times New Roman" w:hAnsi="Times New Roman" w:eastAsia="方正仿宋_GBK" w:cs="Times New Roman"/>
          <w:color w:val="000000" w:themeColor="text1"/>
          <w:kern w:val="2"/>
          <w:sz w:val="32"/>
          <w:szCs w:val="32"/>
          <w14:textFill>
            <w14:solidFill>
              <w14:schemeClr w14:val="tx1"/>
            </w14:solidFill>
          </w14:textFill>
        </w:rPr>
      </w:pPr>
      <w:r>
        <w:rPr>
          <w:rFonts w:hint="eastAsia" w:ascii="Times New Roman" w:hAnsi="Times New Roman" w:eastAsia="方正仿宋_GBK" w:cs="Times New Roman"/>
          <w:color w:val="000000" w:themeColor="text1"/>
          <w:kern w:val="2"/>
          <w:sz w:val="32"/>
          <w:szCs w:val="32"/>
          <w14:textFill>
            <w14:solidFill>
              <w14:schemeClr w14:val="tx1"/>
            </w14:solidFill>
          </w14:textFill>
        </w:rPr>
        <w:t>公务车购置费0.00万元，主要原因是未有购置公务车计划。费用支出较年初预算数持平，主要原因是未购置公务车。较上年支出数持平，主要原因是未购置公务车。</w:t>
      </w:r>
    </w:p>
    <w:p w14:paraId="626F86D5">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firstLine="640" w:firstLineChars="200"/>
        <w:jc w:val="both"/>
        <w:rPr>
          <w:rFonts w:hint="eastAsia" w:ascii="Times New Roman" w:hAnsi="Times New Roman" w:eastAsia="方正仿宋_GBK" w:cs="Times New Roman"/>
          <w:color w:val="000000" w:themeColor="text1"/>
          <w:kern w:val="2"/>
          <w:sz w:val="32"/>
          <w:szCs w:val="32"/>
          <w:highlight w:val="none"/>
          <w:lang w:val="en-US" w:eastAsia="zh-Hans"/>
          <w14:textFill>
            <w14:solidFill>
              <w14:schemeClr w14:val="tx1"/>
            </w14:solidFill>
          </w14:textFill>
        </w:rPr>
      </w:pPr>
      <w:r>
        <w:rPr>
          <w:rFonts w:hint="eastAsia" w:ascii="Times New Roman" w:hAnsi="Times New Roman" w:eastAsia="方正仿宋_GBK" w:cs="Times New Roman"/>
          <w:color w:val="000000" w:themeColor="text1"/>
          <w:kern w:val="2"/>
          <w:sz w:val="32"/>
          <w:szCs w:val="32"/>
          <w:highlight w:val="none"/>
          <w:lang w:val="en-US" w:eastAsia="zh-Hans"/>
          <w14:textFill>
            <w14:solidFill>
              <w14:schemeClr w14:val="tx1"/>
            </w14:solidFill>
          </w14:textFill>
        </w:rPr>
        <w:t>公务车运行维护费0.00万元，</w:t>
      </w:r>
      <w:r>
        <w:rPr>
          <w:rFonts w:hint="eastAsia" w:ascii="Times New Roman" w:hAnsi="Times New Roman" w:eastAsia="方正仿宋_GBK" w:cs="Times New Roman"/>
          <w:color w:val="000000" w:themeColor="text1"/>
          <w:kern w:val="2"/>
          <w:sz w:val="32"/>
          <w:szCs w:val="32"/>
          <w14:textFill>
            <w14:solidFill>
              <w14:schemeClr w14:val="tx1"/>
            </w14:solidFill>
          </w14:textFill>
        </w:rPr>
        <w:t>主要原因是</w:t>
      </w:r>
      <w:r>
        <w:rPr>
          <w:rFonts w:hint="eastAsia" w:ascii="Times New Roman" w:hAnsi="Times New Roman" w:eastAsia="方正仿宋_GBK" w:cs="Times New Roman"/>
          <w:color w:val="000000" w:themeColor="text1"/>
          <w:kern w:val="2"/>
          <w:sz w:val="32"/>
          <w:szCs w:val="32"/>
          <w:lang w:val="en-US" w:eastAsia="zh-CN"/>
          <w14:textFill>
            <w14:solidFill>
              <w14:schemeClr w14:val="tx1"/>
            </w14:solidFill>
          </w14:textFill>
        </w:rPr>
        <w:t>无公务运行车辆</w:t>
      </w:r>
      <w:r>
        <w:rPr>
          <w:rFonts w:hint="eastAsia" w:ascii="Times New Roman" w:hAnsi="Times New Roman" w:eastAsia="方正仿宋_GBK" w:cs="Times New Roman"/>
          <w:color w:val="000000" w:themeColor="text1"/>
          <w:kern w:val="2"/>
          <w:sz w:val="32"/>
          <w:szCs w:val="32"/>
          <w:highlight w:val="none"/>
          <w:lang w:val="en-US" w:eastAsia="zh-Hans"/>
          <w14:textFill>
            <w14:solidFill>
              <w14:schemeClr w14:val="tx1"/>
            </w14:solidFill>
          </w14:textFill>
        </w:rPr>
        <w:t>。费用支出较年初预算数</w:t>
      </w:r>
      <w:r>
        <w:rPr>
          <w:rFonts w:hint="eastAsia" w:ascii="Times New Roman" w:hAnsi="Times New Roman" w:eastAsia="方正仿宋_GBK" w:cs="Times New Roman"/>
          <w:color w:val="000000" w:themeColor="text1"/>
          <w:kern w:val="2"/>
          <w:sz w:val="32"/>
          <w:szCs w:val="32"/>
          <w:highlight w:val="none"/>
          <w:lang w:val="en-US" w:eastAsia="zh-CN"/>
          <w14:textFill>
            <w14:solidFill>
              <w14:schemeClr w14:val="tx1"/>
            </w14:solidFill>
          </w14:textFill>
        </w:rPr>
        <w:t>持平</w:t>
      </w:r>
      <w:r>
        <w:rPr>
          <w:rFonts w:hint="eastAsia" w:ascii="Times New Roman" w:hAnsi="Times New Roman" w:eastAsia="方正仿宋_GBK" w:cs="Times New Roman"/>
          <w:color w:val="000000" w:themeColor="text1"/>
          <w:kern w:val="2"/>
          <w:sz w:val="32"/>
          <w:szCs w:val="32"/>
          <w:highlight w:val="none"/>
          <w:lang w:val="en-US" w:eastAsia="zh-Hans"/>
          <w14:textFill>
            <w14:solidFill>
              <w14:schemeClr w14:val="tx1"/>
            </w14:solidFill>
          </w14:textFill>
        </w:rPr>
        <w:t>，主要原因是</w:t>
      </w:r>
      <w:r>
        <w:rPr>
          <w:rFonts w:hint="eastAsia" w:ascii="Times New Roman" w:hAnsi="Times New Roman" w:eastAsia="方正仿宋_GBK" w:cs="Times New Roman"/>
          <w:color w:val="000000" w:themeColor="text1"/>
          <w:kern w:val="2"/>
          <w:sz w:val="32"/>
          <w:szCs w:val="32"/>
          <w:lang w:val="en-US" w:eastAsia="zh-CN"/>
          <w14:textFill>
            <w14:solidFill>
              <w14:schemeClr w14:val="tx1"/>
            </w14:solidFill>
          </w14:textFill>
        </w:rPr>
        <w:t>无公务运行车辆</w:t>
      </w:r>
      <w:r>
        <w:rPr>
          <w:rFonts w:hint="eastAsia" w:ascii="Times New Roman" w:hAnsi="Times New Roman" w:eastAsia="方正仿宋_GBK" w:cs="Times New Roman"/>
          <w:color w:val="000000" w:themeColor="text1"/>
          <w:kern w:val="2"/>
          <w:sz w:val="32"/>
          <w:szCs w:val="32"/>
          <w:highlight w:val="none"/>
          <w:lang w:val="en-US" w:eastAsia="zh-Hans"/>
          <w14:textFill>
            <w14:solidFill>
              <w14:schemeClr w14:val="tx1"/>
            </w14:solidFill>
          </w14:textFill>
        </w:rPr>
        <w:t>。较上年支出数</w:t>
      </w:r>
      <w:r>
        <w:rPr>
          <w:rFonts w:hint="eastAsia" w:ascii="Times New Roman" w:hAnsi="Times New Roman" w:eastAsia="方正仿宋_GBK" w:cs="Times New Roman"/>
          <w:color w:val="000000" w:themeColor="text1"/>
          <w:kern w:val="2"/>
          <w:sz w:val="32"/>
          <w:szCs w:val="32"/>
          <w:highlight w:val="none"/>
          <w:lang w:val="en-US" w:eastAsia="zh-CN"/>
          <w14:textFill>
            <w14:solidFill>
              <w14:schemeClr w14:val="tx1"/>
            </w14:solidFill>
          </w14:textFill>
        </w:rPr>
        <w:t>持平</w:t>
      </w:r>
      <w:r>
        <w:rPr>
          <w:rFonts w:hint="eastAsia" w:ascii="Times New Roman" w:hAnsi="Times New Roman" w:eastAsia="方正仿宋_GBK" w:cs="Times New Roman"/>
          <w:color w:val="000000" w:themeColor="text1"/>
          <w:kern w:val="2"/>
          <w:sz w:val="32"/>
          <w:szCs w:val="32"/>
          <w:highlight w:val="none"/>
          <w:lang w:val="en-US" w:eastAsia="zh-Hans"/>
          <w14:textFill>
            <w14:solidFill>
              <w14:schemeClr w14:val="tx1"/>
            </w14:solidFill>
          </w14:textFill>
        </w:rPr>
        <w:t>，主要原因是</w:t>
      </w:r>
      <w:r>
        <w:rPr>
          <w:rFonts w:hint="eastAsia" w:ascii="Times New Roman" w:hAnsi="Times New Roman" w:eastAsia="方正仿宋_GBK" w:cs="Times New Roman"/>
          <w:color w:val="000000" w:themeColor="text1"/>
          <w:kern w:val="2"/>
          <w:sz w:val="32"/>
          <w:szCs w:val="32"/>
          <w:lang w:val="en-US" w:eastAsia="zh-CN"/>
          <w14:textFill>
            <w14:solidFill>
              <w14:schemeClr w14:val="tx1"/>
            </w14:solidFill>
          </w14:textFill>
        </w:rPr>
        <w:t>无公务运行车辆。</w:t>
      </w:r>
    </w:p>
    <w:p w14:paraId="4E9457A5">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firstLine="640" w:firstLineChars="200"/>
        <w:jc w:val="both"/>
        <w:rPr>
          <w:rFonts w:hint="eastAsia" w:ascii="Times New Roman" w:hAnsi="Times New Roman" w:eastAsia="方正仿宋_GBK" w:cs="Times New Roman"/>
          <w:color w:val="000000" w:themeColor="text1"/>
          <w:kern w:val="2"/>
          <w:sz w:val="32"/>
          <w:szCs w:val="32"/>
          <w:highlight w:val="none"/>
          <w:lang w:val="en-US" w:eastAsia="zh-Hans"/>
          <w14:textFill>
            <w14:solidFill>
              <w14:schemeClr w14:val="tx1"/>
            </w14:solidFill>
          </w14:textFill>
        </w:rPr>
      </w:pPr>
      <w:r>
        <w:rPr>
          <w:rFonts w:hint="eastAsia" w:ascii="Times New Roman" w:hAnsi="Times New Roman" w:eastAsia="方正仿宋_GBK" w:cs="Times New Roman"/>
          <w:color w:val="000000" w:themeColor="text1"/>
          <w:kern w:val="2"/>
          <w:sz w:val="32"/>
          <w:szCs w:val="32"/>
          <w:highlight w:val="none"/>
          <w:lang w:val="en-US" w:eastAsia="zh-Hans"/>
          <w14:textFill>
            <w14:solidFill>
              <w14:schemeClr w14:val="tx1"/>
            </w14:solidFill>
          </w14:textFill>
        </w:rPr>
        <w:t>公务接待费1.49万元，主要用于</w:t>
      </w:r>
      <w:r>
        <w:rPr>
          <w:rFonts w:hint="eastAsia" w:ascii="Times New Roman" w:hAnsi="Times New Roman" w:eastAsia="方正仿宋_GBK" w:cs="Times New Roman"/>
          <w:color w:val="000000" w:themeColor="text1"/>
          <w:kern w:val="2"/>
          <w:sz w:val="32"/>
          <w:szCs w:val="32"/>
          <w14:textFill>
            <w14:solidFill>
              <w14:schemeClr w14:val="tx1"/>
            </w14:solidFill>
          </w14:textFill>
        </w:rPr>
        <w:t>接待上级相关部门检查指导工作发生的接待支出及其他区县学习交流等接待支出</w:t>
      </w:r>
      <w:r>
        <w:rPr>
          <w:rFonts w:hint="eastAsia" w:ascii="Times New Roman" w:hAnsi="Times New Roman" w:eastAsia="方正仿宋_GBK" w:cs="Times New Roman"/>
          <w:color w:val="000000" w:themeColor="text1"/>
          <w:kern w:val="2"/>
          <w:sz w:val="32"/>
          <w:szCs w:val="32"/>
          <w:highlight w:val="none"/>
          <w:lang w:val="en-US" w:eastAsia="zh-Hans"/>
          <w14:textFill>
            <w14:solidFill>
              <w14:schemeClr w14:val="tx1"/>
            </w14:solidFill>
          </w14:textFill>
        </w:rPr>
        <w:t>。费用支出较年初预算数减少6.01万元，下降80.1%，主要原因是</w:t>
      </w:r>
      <w:r>
        <w:rPr>
          <w:rFonts w:hint="eastAsia" w:ascii="Times New Roman" w:hAnsi="Times New Roman" w:eastAsia="方正仿宋_GBK" w:cs="Times New Roman"/>
          <w:color w:val="000000" w:themeColor="text1"/>
          <w:kern w:val="2"/>
          <w:sz w:val="32"/>
          <w:szCs w:val="32"/>
          <w14:textFill>
            <w14:solidFill>
              <w14:schemeClr w14:val="tx1"/>
            </w14:solidFill>
          </w14:textFill>
        </w:rPr>
        <w:t>强化公务接待支出管理，严格遵守公务接待开支范围和开支标准，严格控制陪餐人数等规定</w:t>
      </w:r>
      <w:r>
        <w:rPr>
          <w:rFonts w:hint="eastAsia" w:ascii="Times New Roman" w:hAnsi="Times New Roman" w:eastAsia="方正仿宋_GBK" w:cs="Times New Roman"/>
          <w:color w:val="000000" w:themeColor="text1"/>
          <w:kern w:val="2"/>
          <w:sz w:val="32"/>
          <w:szCs w:val="32"/>
          <w:highlight w:val="none"/>
          <w:lang w:val="en-US" w:eastAsia="zh-Hans"/>
          <w14:textFill>
            <w14:solidFill>
              <w14:schemeClr w14:val="tx1"/>
            </w14:solidFill>
          </w14:textFill>
        </w:rPr>
        <w:t>。较上年支出数增加0.51万元，增长52%，主要原因是</w:t>
      </w:r>
      <w:r>
        <w:rPr>
          <w:rFonts w:hint="eastAsia" w:ascii="Times New Roman" w:hAnsi="Times New Roman" w:eastAsia="方正仿宋_GBK" w:cs="Times New Roman"/>
          <w:color w:val="000000" w:themeColor="text1"/>
          <w:kern w:val="2"/>
          <w:sz w:val="32"/>
          <w:szCs w:val="32"/>
          <w14:textFill>
            <w14:solidFill>
              <w14:schemeClr w14:val="tx1"/>
            </w14:solidFill>
          </w14:textFill>
        </w:rPr>
        <w:t>上级相关部门检查指导工作</w:t>
      </w:r>
      <w:r>
        <w:rPr>
          <w:rFonts w:hint="eastAsia" w:ascii="Times New Roman" w:hAnsi="Times New Roman" w:eastAsia="方正仿宋_GBK" w:cs="Times New Roman"/>
          <w:color w:val="000000" w:themeColor="text1"/>
          <w:kern w:val="2"/>
          <w:sz w:val="32"/>
          <w:szCs w:val="32"/>
          <w:lang w:val="en-US" w:eastAsia="zh-CN"/>
          <w14:textFill>
            <w14:solidFill>
              <w14:schemeClr w14:val="tx1"/>
            </w14:solidFill>
          </w14:textFill>
        </w:rPr>
        <w:t>增加</w:t>
      </w:r>
      <w:r>
        <w:rPr>
          <w:rFonts w:hint="eastAsia" w:ascii="Times New Roman" w:hAnsi="Times New Roman" w:eastAsia="方正仿宋_GBK" w:cs="Times New Roman"/>
          <w:color w:val="000000" w:themeColor="text1"/>
          <w:kern w:val="2"/>
          <w:sz w:val="32"/>
          <w:szCs w:val="32"/>
          <w:highlight w:val="none"/>
          <w:lang w:val="en-US" w:eastAsia="zh-Hans"/>
          <w14:textFill>
            <w14:solidFill>
              <w14:schemeClr w14:val="tx1"/>
            </w14:solidFill>
          </w14:textFill>
        </w:rPr>
        <w:t>。</w:t>
      </w:r>
    </w:p>
    <w:p w14:paraId="6E5E1F5C">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firstLine="640" w:firstLineChars="200"/>
        <w:jc w:val="both"/>
        <w:rPr>
          <w:rFonts w:hint="eastAsia" w:ascii="Times New Roman" w:hAnsi="Times New Roman" w:eastAsia="方正楷体_GBK" w:cs="Times New Roman"/>
          <w:color w:val="000000" w:themeColor="text1"/>
          <w:kern w:val="2"/>
          <w:sz w:val="32"/>
          <w:szCs w:val="32"/>
          <w:lang w:eastAsia="zh-Hans"/>
          <w14:textFill>
            <w14:solidFill>
              <w14:schemeClr w14:val="tx1"/>
            </w14:solidFill>
          </w14:textFill>
        </w:rPr>
      </w:pPr>
      <w:r>
        <w:rPr>
          <w:rFonts w:hint="eastAsia" w:ascii="Times New Roman" w:hAnsi="Times New Roman" w:eastAsia="方正楷体_GBK" w:cs="Times New Roman"/>
          <w:color w:val="000000" w:themeColor="text1"/>
          <w:kern w:val="2"/>
          <w:sz w:val="32"/>
          <w:szCs w:val="32"/>
          <w:lang w:eastAsia="zh-Hans"/>
          <w14:textFill>
            <w14:solidFill>
              <w14:schemeClr w14:val="tx1"/>
            </w14:solidFill>
          </w14:textFill>
        </w:rPr>
        <w:t>（三）“三公”经费实物量情况</w:t>
      </w:r>
    </w:p>
    <w:p w14:paraId="0698A369">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firstLine="640" w:firstLineChars="200"/>
        <w:jc w:val="both"/>
        <w:rPr>
          <w:rFonts w:hint="eastAsia" w:ascii="Times New Roman" w:hAnsi="Times New Roman" w:eastAsia="方正仿宋_GBK" w:cs="Times New Roman"/>
          <w:color w:val="000000" w:themeColor="text1"/>
          <w:kern w:val="2"/>
          <w:sz w:val="32"/>
          <w:szCs w:val="32"/>
          <w:lang w:eastAsia="zh-Hans"/>
          <w14:textFill>
            <w14:solidFill>
              <w14:schemeClr w14:val="tx1"/>
            </w14:solidFill>
          </w14:textFill>
        </w:rPr>
      </w:pPr>
      <w:r>
        <w:rPr>
          <w:rFonts w:hint="eastAsia" w:ascii="Times New Roman" w:hAnsi="Times New Roman" w:eastAsia="方正仿宋_GBK" w:cs="Times New Roman"/>
          <w:color w:val="000000" w:themeColor="text1"/>
          <w:kern w:val="2"/>
          <w:sz w:val="32"/>
          <w:szCs w:val="32"/>
          <w:lang w:eastAsia="zh-Hans"/>
          <w14:textFill>
            <w14:solidFill>
              <w14:schemeClr w14:val="tx1"/>
            </w14:solidFill>
          </w14:textFill>
        </w:rPr>
        <w:t>2022年度本部门因公出国（境）共计0个团组，0人；公务用车购置0辆，公务车保有量为0辆；国内公务接待18批次184人，其中：国内外事接待0批次，0人；国（境）外公务接待0批次，0人。2022年本部门人均接待费81.09元，车均购置费0.00万元，车均维护费0.00万元。</w:t>
      </w:r>
    </w:p>
    <w:p w14:paraId="656FD19E">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firstLine="640" w:firstLineChars="200"/>
        <w:jc w:val="both"/>
        <w:rPr>
          <w:rFonts w:hint="eastAsia" w:ascii="Times New Roman" w:hAnsi="Times New Roman" w:eastAsia="方正黑体_GBK" w:cs="Times New Roman"/>
          <w:color w:val="000000" w:themeColor="text1"/>
          <w:kern w:val="2"/>
          <w:sz w:val="32"/>
          <w:szCs w:val="32"/>
          <w:lang w:eastAsia="zh-Hans"/>
          <w14:textFill>
            <w14:solidFill>
              <w14:schemeClr w14:val="tx1"/>
            </w14:solidFill>
          </w14:textFill>
        </w:rPr>
      </w:pPr>
      <w:r>
        <w:rPr>
          <w:rFonts w:hint="eastAsia" w:ascii="Times New Roman" w:hAnsi="Times New Roman" w:eastAsia="方正黑体_GBK" w:cs="Times New Roman"/>
          <w:color w:val="000000" w:themeColor="text1"/>
          <w:kern w:val="2"/>
          <w:sz w:val="32"/>
          <w:szCs w:val="32"/>
          <w:lang w:eastAsia="zh-Hans"/>
          <w14:textFill>
            <w14:solidFill>
              <w14:schemeClr w14:val="tx1"/>
            </w14:solidFill>
          </w14:textFill>
        </w:rPr>
        <w:t>四、其他需要说明的事项</w:t>
      </w:r>
    </w:p>
    <w:p w14:paraId="6076D408">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firstLine="640" w:firstLineChars="200"/>
        <w:jc w:val="both"/>
        <w:rPr>
          <w:rFonts w:hint="eastAsia" w:ascii="Times New Roman" w:hAnsi="Times New Roman" w:eastAsia="方正楷体_GBK" w:cs="Times New Roman"/>
          <w:color w:val="000000" w:themeColor="text1"/>
          <w:kern w:val="2"/>
          <w:sz w:val="32"/>
          <w:szCs w:val="32"/>
          <w:lang w:eastAsia="zh-Hans"/>
          <w14:textFill>
            <w14:solidFill>
              <w14:schemeClr w14:val="tx1"/>
            </w14:solidFill>
          </w14:textFill>
        </w:rPr>
      </w:pPr>
      <w:r>
        <w:rPr>
          <w:rFonts w:hint="eastAsia" w:ascii="Times New Roman" w:hAnsi="Times New Roman" w:eastAsia="方正楷体_GBK" w:cs="Times New Roman"/>
          <w:color w:val="000000" w:themeColor="text1"/>
          <w:kern w:val="2"/>
          <w:sz w:val="32"/>
          <w:szCs w:val="32"/>
          <w:lang w:eastAsia="zh-Hans"/>
          <w14:textFill>
            <w14:solidFill>
              <w14:schemeClr w14:val="tx1"/>
            </w14:solidFill>
          </w14:textFill>
        </w:rPr>
        <w:t>（一）财政拨款会议费和培训费情况说明</w:t>
      </w:r>
    </w:p>
    <w:p w14:paraId="03AEC6B2">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firstLine="640" w:firstLineChars="200"/>
        <w:jc w:val="both"/>
        <w:rPr>
          <w:rFonts w:hint="eastAsia" w:ascii="Times New Roman" w:hAnsi="Times New Roman" w:eastAsia="方正仿宋_GBK" w:cs="Times New Roman"/>
          <w:color w:val="000000" w:themeColor="text1"/>
          <w:kern w:val="2"/>
          <w:sz w:val="32"/>
          <w:szCs w:val="32"/>
          <w:lang w:eastAsia="zh-Hans"/>
          <w14:textFill>
            <w14:solidFill>
              <w14:schemeClr w14:val="tx1"/>
            </w14:solidFill>
          </w14:textFill>
        </w:rPr>
      </w:pPr>
      <w:r>
        <w:rPr>
          <w:rFonts w:hint="eastAsia" w:ascii="Times New Roman" w:hAnsi="Times New Roman" w:eastAsia="方正仿宋_GBK" w:cs="Times New Roman"/>
          <w:color w:val="000000" w:themeColor="text1"/>
          <w:kern w:val="2"/>
          <w:sz w:val="32"/>
          <w:szCs w:val="32"/>
          <w:lang w:eastAsia="zh-Hans"/>
          <w14:textFill>
            <w14:solidFill>
              <w14:schemeClr w14:val="tx1"/>
            </w14:solidFill>
          </w14:textFill>
        </w:rPr>
        <w:t>本年度会议费支出0.06万元，较上年决算数减少0.16万元，下降72.7%，主要原因是</w:t>
      </w:r>
      <w:r>
        <w:rPr>
          <w:rFonts w:hint="eastAsia" w:ascii="Times New Roman" w:hAnsi="Times New Roman" w:eastAsia="方正仿宋_GBK" w:cs="Times New Roman"/>
          <w:color w:val="000000" w:themeColor="text1"/>
          <w:kern w:val="2"/>
          <w:sz w:val="32"/>
          <w:szCs w:val="32"/>
          <w:lang w:val="en-US" w:eastAsia="zh-CN"/>
          <w14:textFill>
            <w14:solidFill>
              <w14:schemeClr w14:val="tx1"/>
            </w14:solidFill>
          </w14:textFill>
        </w:rPr>
        <w:t>响应节能号召，严控会议费成本</w:t>
      </w:r>
      <w:r>
        <w:rPr>
          <w:rFonts w:hint="eastAsia" w:ascii="Times New Roman" w:hAnsi="Times New Roman" w:eastAsia="方正仿宋_GBK" w:cs="Times New Roman"/>
          <w:color w:val="000000" w:themeColor="text1"/>
          <w:kern w:val="2"/>
          <w:sz w:val="32"/>
          <w:szCs w:val="32"/>
          <w:lang w:eastAsia="zh-Hans"/>
          <w14:textFill>
            <w14:solidFill>
              <w14:schemeClr w14:val="tx1"/>
            </w14:solidFill>
          </w14:textFill>
        </w:rPr>
        <w:t>。本年度培训费支出0.00万元，较上年决算数减少3.42万元，下降100%，主要原因是</w:t>
      </w:r>
      <w:r>
        <w:rPr>
          <w:rFonts w:hint="eastAsia" w:ascii="Times New Roman" w:hAnsi="Times New Roman" w:eastAsia="方正仿宋_GBK" w:cs="Times New Roman"/>
          <w:color w:val="000000" w:themeColor="text1"/>
          <w:kern w:val="2"/>
          <w:sz w:val="32"/>
          <w:szCs w:val="32"/>
          <w:lang w:val="en-US" w:eastAsia="zh-CN"/>
          <w14:textFill>
            <w14:solidFill>
              <w14:schemeClr w14:val="tx1"/>
            </w14:solidFill>
          </w14:textFill>
        </w:rPr>
        <w:t>当年未预算培训费支出</w:t>
      </w:r>
      <w:r>
        <w:rPr>
          <w:rFonts w:hint="eastAsia" w:ascii="Times New Roman" w:hAnsi="Times New Roman" w:eastAsia="方正仿宋_GBK" w:cs="Times New Roman"/>
          <w:color w:val="000000" w:themeColor="text1"/>
          <w:kern w:val="2"/>
          <w:sz w:val="32"/>
          <w:szCs w:val="32"/>
          <w:lang w:eastAsia="zh-Hans"/>
          <w14:textFill>
            <w14:solidFill>
              <w14:schemeClr w14:val="tx1"/>
            </w14:solidFill>
          </w14:textFill>
        </w:rPr>
        <w:t>。</w:t>
      </w:r>
    </w:p>
    <w:p w14:paraId="45E221C5">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firstLine="640" w:firstLineChars="200"/>
        <w:jc w:val="both"/>
        <w:rPr>
          <w:rFonts w:hint="eastAsia" w:ascii="Times New Roman" w:hAnsi="Times New Roman" w:eastAsia="方正楷体_GBK" w:cs="Times New Roman"/>
          <w:color w:val="000000" w:themeColor="text1"/>
          <w:kern w:val="2"/>
          <w:sz w:val="32"/>
          <w:szCs w:val="32"/>
          <w:lang w:eastAsia="zh-Hans"/>
          <w14:textFill>
            <w14:solidFill>
              <w14:schemeClr w14:val="tx1"/>
            </w14:solidFill>
          </w14:textFill>
        </w:rPr>
      </w:pPr>
      <w:r>
        <w:rPr>
          <w:rFonts w:hint="eastAsia" w:ascii="Times New Roman" w:hAnsi="Times New Roman" w:eastAsia="方正楷体_GBK" w:cs="Times New Roman"/>
          <w:color w:val="000000" w:themeColor="text1"/>
          <w:kern w:val="2"/>
          <w:sz w:val="32"/>
          <w:szCs w:val="32"/>
          <w:lang w:eastAsia="zh-Hans"/>
          <w14:textFill>
            <w14:solidFill>
              <w14:schemeClr w14:val="tx1"/>
            </w14:solidFill>
          </w14:textFill>
        </w:rPr>
        <w:t>（二）机关运行经费支出情况说明</w:t>
      </w:r>
    </w:p>
    <w:p w14:paraId="362439BA">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firstLine="640" w:firstLineChars="200"/>
        <w:jc w:val="both"/>
        <w:rPr>
          <w:rFonts w:hint="eastAsia" w:ascii="Times New Roman" w:hAnsi="Times New Roman" w:eastAsia="方正仿宋_GBK" w:cs="Times New Roman"/>
          <w:color w:val="000000" w:themeColor="text1"/>
          <w:kern w:val="2"/>
          <w:sz w:val="32"/>
          <w:szCs w:val="32"/>
          <w:lang w:eastAsia="zh-Hans"/>
          <w14:textFill>
            <w14:solidFill>
              <w14:schemeClr w14:val="tx1"/>
            </w14:solidFill>
          </w14:textFill>
        </w:rPr>
      </w:pPr>
      <w:r>
        <w:rPr>
          <w:rFonts w:hint="eastAsia" w:ascii="Times New Roman" w:hAnsi="Times New Roman" w:eastAsia="方正仿宋_GBK" w:cs="Times New Roman"/>
          <w:color w:val="000000" w:themeColor="text1"/>
          <w:kern w:val="2"/>
          <w:sz w:val="32"/>
          <w:szCs w:val="32"/>
          <w:lang w:eastAsia="zh-Hans"/>
          <w14:textFill>
            <w14:solidFill>
              <w14:schemeClr w14:val="tx1"/>
            </w14:solidFill>
          </w14:textFill>
        </w:rPr>
        <w:t>2022年度本部门机关运行经费支出50.01万元，主要用于</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开支办公费、水费、电费、差旅费等</w:t>
      </w:r>
      <w:r>
        <w:rPr>
          <w:rFonts w:hint="eastAsia" w:ascii="Times New Roman" w:hAnsi="Times New Roman" w:eastAsia="方正仿宋_GBK" w:cs="Times New Roman"/>
          <w:color w:val="000000" w:themeColor="text1"/>
          <w:kern w:val="2"/>
          <w:sz w:val="32"/>
          <w:szCs w:val="32"/>
          <w:lang w:eastAsia="zh-Hans"/>
          <w14:textFill>
            <w14:solidFill>
              <w14:schemeClr w14:val="tx1"/>
            </w14:solidFill>
          </w14:textFill>
        </w:rPr>
        <w:t>。机关运行经费较上年决算数增加11.03万元，增长28.3%，主要原因是</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支付往年运行经费</w:t>
      </w:r>
      <w:r>
        <w:rPr>
          <w:rFonts w:hint="eastAsia" w:ascii="Times New Roman" w:hAnsi="Times New Roman" w:eastAsia="方正仿宋_GBK" w:cs="Times New Roman"/>
          <w:color w:val="000000" w:themeColor="text1"/>
          <w:kern w:val="2"/>
          <w:sz w:val="32"/>
          <w:szCs w:val="32"/>
          <w:highlight w:val="none"/>
          <w:lang w:eastAsia="zh-Hans"/>
          <w14:textFill>
            <w14:solidFill>
              <w14:schemeClr w14:val="tx1"/>
            </w14:solidFill>
          </w14:textFill>
        </w:rPr>
        <w:t>。</w:t>
      </w:r>
    </w:p>
    <w:p w14:paraId="4D4D1633">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firstLine="640" w:firstLineChars="200"/>
        <w:jc w:val="both"/>
        <w:rPr>
          <w:rFonts w:hint="eastAsia" w:ascii="Times New Roman" w:hAnsi="Times New Roman" w:eastAsia="方正楷体_GBK" w:cs="Times New Roman"/>
          <w:color w:val="000000" w:themeColor="text1"/>
          <w:kern w:val="2"/>
          <w:sz w:val="32"/>
          <w:szCs w:val="32"/>
          <w:lang w:eastAsia="zh-Hans"/>
          <w14:textFill>
            <w14:solidFill>
              <w14:schemeClr w14:val="tx1"/>
            </w14:solidFill>
          </w14:textFill>
        </w:rPr>
      </w:pPr>
      <w:r>
        <w:rPr>
          <w:rFonts w:hint="eastAsia" w:ascii="Times New Roman" w:hAnsi="Times New Roman" w:eastAsia="方正楷体_GBK" w:cs="Times New Roman"/>
          <w:color w:val="000000" w:themeColor="text1"/>
          <w:kern w:val="2"/>
          <w:sz w:val="32"/>
          <w:szCs w:val="32"/>
          <w:lang w:eastAsia="zh-Hans"/>
          <w14:textFill>
            <w14:solidFill>
              <w14:schemeClr w14:val="tx1"/>
            </w14:solidFill>
          </w14:textFill>
        </w:rPr>
        <w:t>（三）国有资产占用情况说明</w:t>
      </w:r>
    </w:p>
    <w:p w14:paraId="1C924720">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firstLine="640" w:firstLineChars="200"/>
        <w:jc w:val="both"/>
        <w:rPr>
          <w:rFonts w:hint="eastAsia" w:ascii="Times New Roman" w:hAnsi="Times New Roman" w:eastAsia="方正仿宋_GBK" w:cs="Times New Roman"/>
          <w:color w:val="000000" w:themeColor="text1"/>
          <w:kern w:val="2"/>
          <w:sz w:val="32"/>
          <w:szCs w:val="32"/>
          <w:lang w:eastAsia="zh-Hans"/>
          <w14:textFill>
            <w14:solidFill>
              <w14:schemeClr w14:val="tx1"/>
            </w14:solidFill>
          </w14:textFill>
        </w:rPr>
      </w:pPr>
      <w:r>
        <w:rPr>
          <w:rFonts w:hint="eastAsia" w:ascii="Times New Roman" w:hAnsi="Times New Roman" w:eastAsia="方正仿宋_GBK" w:cs="Times New Roman"/>
          <w:color w:val="000000" w:themeColor="text1"/>
          <w:kern w:val="2"/>
          <w:sz w:val="32"/>
          <w:szCs w:val="32"/>
          <w:lang w:eastAsia="zh-Hans"/>
          <w14:textFill>
            <w14:solidFill>
              <w14:schemeClr w14:val="tx1"/>
            </w14:solidFill>
          </w14:textFill>
        </w:rPr>
        <w:t>截至2022年12月31日，本部门共有车辆1辆，其中，副部（省）级及以上领导用车0辆、主要领导干部用车0辆、机要通信用车0辆、应急保障用车1辆、执法执勤用车0辆，特种专业技术用车0辆，离退休干部用车0辆，其他用车0辆。单价100万元（含）以上设备（不含车辆）0台（套）。</w:t>
      </w:r>
    </w:p>
    <w:p w14:paraId="25A2CA94">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firstLine="640" w:firstLineChars="200"/>
        <w:jc w:val="both"/>
        <w:rPr>
          <w:rFonts w:hint="eastAsia" w:ascii="Times New Roman" w:hAnsi="Times New Roman" w:eastAsia="方正楷体_GBK" w:cs="Times New Roman"/>
          <w:color w:val="000000" w:themeColor="text1"/>
          <w:kern w:val="2"/>
          <w:sz w:val="32"/>
          <w:szCs w:val="32"/>
          <w:lang w:eastAsia="zh-Hans"/>
          <w14:textFill>
            <w14:solidFill>
              <w14:schemeClr w14:val="tx1"/>
            </w14:solidFill>
          </w14:textFill>
        </w:rPr>
      </w:pPr>
      <w:r>
        <w:rPr>
          <w:rFonts w:hint="eastAsia" w:ascii="Times New Roman" w:hAnsi="Times New Roman" w:eastAsia="方正楷体_GBK" w:cs="Times New Roman"/>
          <w:color w:val="000000" w:themeColor="text1"/>
          <w:kern w:val="2"/>
          <w:sz w:val="32"/>
          <w:szCs w:val="32"/>
          <w:lang w:eastAsia="zh-Hans"/>
          <w14:textFill>
            <w14:solidFill>
              <w14:schemeClr w14:val="tx1"/>
            </w14:solidFill>
          </w14:textFill>
        </w:rPr>
        <w:t>（四）政府采购支出说明</w:t>
      </w:r>
    </w:p>
    <w:p w14:paraId="2CDFF769">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firstLine="640" w:firstLineChars="200"/>
        <w:jc w:val="both"/>
        <w:rPr>
          <w:rFonts w:hint="eastAsia" w:ascii="Times New Roman" w:hAnsi="Times New Roman" w:eastAsia="方正仿宋_GBK" w:cs="Times New Roman"/>
          <w:color w:val="000000" w:themeColor="text1"/>
          <w:kern w:val="2"/>
          <w:sz w:val="32"/>
          <w:szCs w:val="32"/>
          <w:lang w:eastAsia="zh-Hans"/>
          <w14:textFill>
            <w14:solidFill>
              <w14:schemeClr w14:val="tx1"/>
            </w14:solidFill>
          </w14:textFill>
        </w:rPr>
      </w:pPr>
      <w:r>
        <w:rPr>
          <w:rFonts w:hint="eastAsia" w:ascii="Times New Roman" w:hAnsi="Times New Roman" w:eastAsia="方正仿宋_GBK" w:cs="Times New Roman"/>
          <w:color w:val="000000" w:themeColor="text1"/>
          <w:kern w:val="2"/>
          <w:sz w:val="32"/>
          <w:szCs w:val="32"/>
          <w:lang w:eastAsia="zh-Hans"/>
          <w14:textFill>
            <w14:solidFill>
              <w14:schemeClr w14:val="tx1"/>
            </w14:solidFill>
          </w14:textFill>
        </w:rPr>
        <w:t>2022年度本部门政府采购支出总额665.36万元，其中：政府采购货物支出257.11万元、政府采购工程支出0.00万元、政府采购服务支出408.25万元。授予中小企业合同金额665.36万元，占政府采购支出总额的100%，其中：授予小微企业合同金额257.11万元，占政府采购支出总额的38.6%。主要用于采购</w:t>
      </w:r>
      <w:r>
        <w:rPr>
          <w:rFonts w:hint="eastAsia" w:ascii="Times New Roman" w:hAnsi="Times New Roman" w:eastAsia="方正仿宋_GBK" w:cs="Times New Roman"/>
          <w:color w:val="000000" w:themeColor="text1"/>
          <w:kern w:val="2"/>
          <w:sz w:val="32"/>
          <w:szCs w:val="32"/>
          <w:lang w:val="en-US" w:eastAsia="zh-CN"/>
          <w14:textFill>
            <w14:solidFill>
              <w14:schemeClr w14:val="tx1"/>
            </w14:solidFill>
          </w14:textFill>
        </w:rPr>
        <w:t>高家镇路灯</w:t>
      </w:r>
      <w:r>
        <w:rPr>
          <w:rFonts w:hint="eastAsia" w:ascii="Times New Roman" w:hAnsi="Times New Roman" w:eastAsia="方正仿宋_GBK" w:cs="Times New Roman"/>
          <w:color w:val="000000" w:themeColor="text1"/>
          <w:kern w:val="2"/>
          <w:sz w:val="32"/>
          <w:szCs w:val="32"/>
          <w:lang w:eastAsia="zh-Hans"/>
          <w14:textFill>
            <w14:solidFill>
              <w14:schemeClr w14:val="tx1"/>
            </w14:solidFill>
          </w14:textFill>
        </w:rPr>
        <w:t>。</w:t>
      </w:r>
    </w:p>
    <w:p w14:paraId="0F84C21A">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firstLine="640" w:firstLineChars="200"/>
        <w:jc w:val="both"/>
        <w:rPr>
          <w:rFonts w:hint="eastAsia" w:ascii="Times New Roman" w:hAnsi="Times New Roman" w:eastAsia="方正黑体_GBK" w:cs="Times New Roman"/>
          <w:color w:val="000000" w:themeColor="text1"/>
          <w:kern w:val="2"/>
          <w:sz w:val="32"/>
          <w:szCs w:val="32"/>
          <w:lang w:eastAsia="zh-Hans"/>
          <w14:textFill>
            <w14:solidFill>
              <w14:schemeClr w14:val="tx1"/>
            </w14:solidFill>
          </w14:textFill>
        </w:rPr>
      </w:pPr>
      <w:r>
        <w:rPr>
          <w:rFonts w:hint="eastAsia" w:ascii="Times New Roman" w:hAnsi="Times New Roman" w:eastAsia="方正黑体_GBK" w:cs="Times New Roman"/>
          <w:color w:val="000000" w:themeColor="text1"/>
          <w:kern w:val="2"/>
          <w:sz w:val="32"/>
          <w:szCs w:val="32"/>
          <w:lang w:eastAsia="zh-Hans"/>
          <w14:textFill>
            <w14:solidFill>
              <w14:schemeClr w14:val="tx1"/>
            </w14:solidFill>
          </w14:textFill>
        </w:rPr>
        <w:t>五、预算绩效管理情况说明</w:t>
      </w:r>
    </w:p>
    <w:p w14:paraId="0832D725">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firstLine="640" w:firstLineChars="200"/>
        <w:jc w:val="both"/>
        <w:rPr>
          <w:rFonts w:hint="eastAsia" w:ascii="Times New Roman" w:hAnsi="Times New Roman" w:eastAsia="方正楷体_GBK" w:cs="Times New Roman"/>
          <w:color w:val="000000" w:themeColor="text1"/>
          <w:kern w:val="2"/>
          <w:sz w:val="32"/>
          <w:szCs w:val="32"/>
          <w:lang w:eastAsia="zh-Hans"/>
          <w14:textFill>
            <w14:solidFill>
              <w14:schemeClr w14:val="tx1"/>
            </w14:solidFill>
          </w14:textFill>
        </w:rPr>
      </w:pPr>
      <w:r>
        <w:rPr>
          <w:rFonts w:hint="eastAsia" w:ascii="Times New Roman" w:hAnsi="Times New Roman" w:eastAsia="方正楷体_GBK" w:cs="Times New Roman"/>
          <w:color w:val="000000" w:themeColor="text1"/>
          <w:kern w:val="2"/>
          <w:sz w:val="32"/>
          <w:szCs w:val="32"/>
          <w:lang w:eastAsia="zh-Hans"/>
          <w14:textFill>
            <w14:solidFill>
              <w14:schemeClr w14:val="tx1"/>
            </w14:solidFill>
          </w14:textFill>
        </w:rPr>
        <w:t>（一）预算绩效管理工作开展情况</w:t>
      </w:r>
    </w:p>
    <w:p w14:paraId="5971CED7">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firstLine="640" w:firstLineChars="200"/>
        <w:jc w:val="both"/>
        <w:rPr>
          <w:rFonts w:hint="eastAsia" w:ascii="Times New Roman" w:hAnsi="Times New Roman" w:eastAsia="方正仿宋_GBK" w:cs="Times New Roman"/>
          <w:color w:val="000000" w:themeColor="text1"/>
          <w:kern w:val="2"/>
          <w:sz w:val="32"/>
          <w:szCs w:val="32"/>
          <w:lang w:eastAsia="zh-CN"/>
          <w14:textFill>
            <w14:solidFill>
              <w14:schemeClr w14:val="tx1"/>
            </w14:solidFill>
          </w14:textFill>
        </w:rPr>
      </w:pPr>
      <w:r>
        <w:rPr>
          <w:rFonts w:hint="eastAsia" w:ascii="Times New Roman" w:hAnsi="Times New Roman" w:eastAsia="方正仿宋_GBK" w:cs="Times New Roman"/>
          <w:color w:val="000000" w:themeColor="text1"/>
          <w:kern w:val="2"/>
          <w:sz w:val="32"/>
          <w:szCs w:val="32"/>
          <w:lang w:eastAsia="zh-Hans"/>
          <w14:textFill>
            <w14:solidFill>
              <w14:schemeClr w14:val="tx1"/>
            </w14:solidFill>
          </w14:textFill>
        </w:rPr>
        <w:t>根据预算绩效管理要求，我委对部门整体</w:t>
      </w:r>
      <w:r>
        <w:rPr>
          <w:rFonts w:hint="eastAsia" w:ascii="Times New Roman" w:hAnsi="Times New Roman" w:eastAsia="方正仿宋_GBK" w:cs="Times New Roman"/>
          <w:color w:val="000000" w:themeColor="text1"/>
          <w:kern w:val="2"/>
          <w:sz w:val="32"/>
          <w:szCs w:val="32"/>
          <w:lang w:val="en-US" w:eastAsia="zh-CN"/>
          <w14:textFill>
            <w14:solidFill>
              <w14:schemeClr w14:val="tx1"/>
            </w14:solidFill>
          </w14:textFill>
        </w:rPr>
        <w:t>47</w:t>
      </w:r>
      <w:r>
        <w:rPr>
          <w:rFonts w:hint="eastAsia" w:ascii="Times New Roman" w:hAnsi="Times New Roman" w:eastAsia="方正仿宋_GBK" w:cs="Times New Roman"/>
          <w:color w:val="000000" w:themeColor="text1"/>
          <w:kern w:val="2"/>
          <w:sz w:val="32"/>
          <w:szCs w:val="32"/>
          <w:lang w:eastAsia="zh-Hans"/>
          <w14:textFill>
            <w14:solidFill>
              <w14:schemeClr w14:val="tx1"/>
            </w14:solidFill>
          </w14:textFill>
        </w:rPr>
        <w:t>个项目开展了绩效自评，其中，以填报自评表形式开展自评</w:t>
      </w:r>
      <w:r>
        <w:rPr>
          <w:rFonts w:hint="eastAsia" w:ascii="Times New Roman" w:hAnsi="Times New Roman" w:eastAsia="方正仿宋_GBK" w:cs="Times New Roman"/>
          <w:color w:val="000000" w:themeColor="text1"/>
          <w:kern w:val="2"/>
          <w:sz w:val="32"/>
          <w:szCs w:val="32"/>
          <w:lang w:val="en-US" w:eastAsia="zh-CN"/>
          <w14:textFill>
            <w14:solidFill>
              <w14:schemeClr w14:val="tx1"/>
            </w14:solidFill>
          </w14:textFill>
        </w:rPr>
        <w:t>47</w:t>
      </w:r>
      <w:r>
        <w:rPr>
          <w:rFonts w:hint="eastAsia" w:ascii="Times New Roman" w:hAnsi="Times New Roman" w:eastAsia="方正仿宋_GBK" w:cs="Times New Roman"/>
          <w:color w:val="000000" w:themeColor="text1"/>
          <w:kern w:val="2"/>
          <w:sz w:val="32"/>
          <w:szCs w:val="32"/>
          <w:lang w:eastAsia="zh-Hans"/>
          <w14:textFill>
            <w14:solidFill>
              <w14:schemeClr w14:val="tx1"/>
            </w14:solidFill>
          </w14:textFill>
        </w:rPr>
        <w:t>项，涉及资金</w:t>
      </w:r>
      <w:r>
        <w:rPr>
          <w:rFonts w:hint="eastAsia" w:ascii="Times New Roman" w:hAnsi="Times New Roman" w:eastAsia="方正仿宋_GBK" w:cs="Times New Roman"/>
          <w:color w:val="000000" w:themeColor="text1"/>
          <w:kern w:val="2"/>
          <w:sz w:val="32"/>
          <w:szCs w:val="32"/>
          <w:highlight w:val="none"/>
          <w:lang w:val="en-US" w:eastAsia="zh-CN"/>
          <w14:textFill>
            <w14:solidFill>
              <w14:schemeClr w14:val="tx1"/>
            </w14:solidFill>
          </w14:textFill>
        </w:rPr>
        <w:t>20784.73</w:t>
      </w:r>
      <w:r>
        <w:rPr>
          <w:rFonts w:hint="eastAsia" w:ascii="Times New Roman" w:hAnsi="Times New Roman" w:eastAsia="方正仿宋_GBK" w:cs="Times New Roman"/>
          <w:color w:val="000000" w:themeColor="text1"/>
          <w:kern w:val="2"/>
          <w:sz w:val="32"/>
          <w:szCs w:val="32"/>
          <w:lang w:eastAsia="zh-Hans"/>
          <w14:textFill>
            <w14:solidFill>
              <w14:schemeClr w14:val="tx1"/>
            </w14:solidFill>
          </w14:textFill>
        </w:rPr>
        <w:t>万元；</w:t>
      </w:r>
      <w:r>
        <w:rPr>
          <w:rFonts w:ascii="Times New Roman" w:hAnsi="Times New Roman" w:eastAsia="方正仿宋_GBK" w:cs="Times New Roman"/>
          <w:color w:val="000000" w:themeColor="text1"/>
          <w:kern w:val="2"/>
          <w:sz w:val="32"/>
          <w:szCs w:val="32"/>
          <w14:textFill>
            <w14:solidFill>
              <w14:schemeClr w14:val="tx1"/>
            </w14:solidFill>
          </w14:textFill>
        </w:rPr>
        <w:t>从评价情况来看，</w:t>
      </w:r>
      <w:r>
        <w:rPr>
          <w:rFonts w:hint="eastAsia" w:ascii="Times New Roman" w:hAnsi="Times New Roman" w:eastAsia="方正仿宋_GBK" w:cs="Times New Roman"/>
          <w:color w:val="000000" w:themeColor="text1"/>
          <w:kern w:val="2"/>
          <w:sz w:val="32"/>
          <w:szCs w:val="32"/>
          <w14:textFill>
            <w14:solidFill>
              <w14:schemeClr w14:val="tx1"/>
            </w14:solidFill>
          </w14:textFill>
        </w:rPr>
        <w:t>项目立项较为规范，绩效目标明确，预算编制合理，管理科学规范，资金到位及时，总体完成情况较好，有力保障了</w:t>
      </w:r>
      <w:r>
        <w:rPr>
          <w:rFonts w:hint="eastAsia" w:ascii="Times New Roman" w:hAnsi="Times New Roman" w:eastAsia="方正仿宋_GBK" w:cs="Times New Roman"/>
          <w:color w:val="000000" w:themeColor="text1"/>
          <w:kern w:val="2"/>
          <w:sz w:val="32"/>
          <w:szCs w:val="32"/>
          <w:lang w:val="en-US" w:eastAsia="zh-CN"/>
          <w14:textFill>
            <w14:solidFill>
              <w14:schemeClr w14:val="tx1"/>
            </w14:solidFill>
          </w14:textFill>
        </w:rPr>
        <w:t>项目建设运行</w:t>
      </w:r>
      <w:r>
        <w:rPr>
          <w:rFonts w:hint="eastAsia" w:ascii="Times New Roman" w:hAnsi="Times New Roman" w:eastAsia="方正仿宋_GBK" w:cs="Times New Roman"/>
          <w:color w:val="000000" w:themeColor="text1"/>
          <w:kern w:val="2"/>
          <w:sz w:val="32"/>
          <w:szCs w:val="32"/>
          <w14:textFill>
            <w14:solidFill>
              <w14:schemeClr w14:val="tx1"/>
            </w14:solidFill>
          </w14:textFill>
        </w:rPr>
        <w:t>，项目基本达到了预期绩效目标</w:t>
      </w:r>
      <w:r>
        <w:rPr>
          <w:rFonts w:hint="eastAsia" w:ascii="Times New Roman" w:hAnsi="Times New Roman" w:eastAsia="方正仿宋_GBK" w:cs="Times New Roman"/>
          <w:color w:val="000000" w:themeColor="text1"/>
          <w:kern w:val="2"/>
          <w:sz w:val="32"/>
          <w:szCs w:val="32"/>
          <w:lang w:eastAsia="zh-CN"/>
          <w14:textFill>
            <w14:solidFill>
              <w14:schemeClr w14:val="tx1"/>
            </w14:solidFill>
          </w14:textFill>
        </w:rPr>
        <w:t>。</w:t>
      </w:r>
    </w:p>
    <w:p w14:paraId="24921B51">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firstLine="640" w:firstLineChars="200"/>
        <w:jc w:val="both"/>
        <w:rPr>
          <w:rFonts w:hint="eastAsia" w:ascii="Times New Roman" w:hAnsi="Times New Roman" w:eastAsia="方正楷体_GBK" w:cs="Times New Roman"/>
          <w:color w:val="000000" w:themeColor="text1"/>
          <w:kern w:val="2"/>
          <w:sz w:val="32"/>
          <w:szCs w:val="32"/>
          <w:lang w:eastAsia="zh-Hans"/>
          <w14:textFill>
            <w14:solidFill>
              <w14:schemeClr w14:val="tx1"/>
            </w14:solidFill>
          </w14:textFill>
        </w:rPr>
      </w:pPr>
      <w:r>
        <w:rPr>
          <w:rFonts w:hint="eastAsia" w:ascii="Times New Roman" w:hAnsi="Times New Roman" w:eastAsia="方正楷体_GBK" w:cs="Times New Roman"/>
          <w:color w:val="000000" w:themeColor="text1"/>
          <w:kern w:val="2"/>
          <w:sz w:val="32"/>
          <w:szCs w:val="32"/>
          <w:lang w:eastAsia="zh-Hans"/>
          <w14:textFill>
            <w14:solidFill>
              <w14:schemeClr w14:val="tx1"/>
            </w14:solidFill>
          </w14:textFill>
        </w:rPr>
        <w:t>（二）绩效自评结果。</w:t>
      </w:r>
    </w:p>
    <w:p w14:paraId="54080685">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firstLine="640" w:firstLineChars="200"/>
        <w:jc w:val="both"/>
        <w:rPr>
          <w:rFonts w:hint="eastAsia" w:ascii="Times New Roman" w:hAnsi="Times New Roman" w:eastAsia="方正楷体_GBK" w:cs="Times New Roman"/>
          <w:color w:val="000000" w:themeColor="text1"/>
          <w:kern w:val="2"/>
          <w:sz w:val="32"/>
          <w:szCs w:val="32"/>
          <w:lang w:eastAsia="zh-Hans"/>
          <w14:textFill>
            <w14:solidFill>
              <w14:schemeClr w14:val="tx1"/>
            </w14:solidFill>
          </w14:textFill>
        </w:rPr>
      </w:pPr>
      <w:r>
        <w:rPr>
          <w:rFonts w:hint="eastAsia" w:ascii="Times New Roman" w:hAnsi="Times New Roman" w:eastAsia="方正楷体_GBK" w:cs="Times New Roman"/>
          <w:color w:val="000000" w:themeColor="text1"/>
          <w:kern w:val="2"/>
          <w:sz w:val="32"/>
          <w:szCs w:val="32"/>
          <w:lang w:eastAsia="zh-Hans"/>
          <w14:textFill>
            <w14:solidFill>
              <w14:schemeClr w14:val="tx1"/>
            </w14:solidFill>
          </w14:textFill>
        </w:rPr>
        <w:t>1.绩效目标自评表。</w:t>
      </w:r>
    </w:p>
    <w:tbl>
      <w:tblPr>
        <w:tblStyle w:val="3"/>
        <w:tblW w:w="11248" w:type="dxa"/>
        <w:jc w:val="center"/>
        <w:tblLayout w:type="fixed"/>
        <w:tblCellMar>
          <w:top w:w="0" w:type="dxa"/>
          <w:left w:w="108" w:type="dxa"/>
          <w:bottom w:w="0" w:type="dxa"/>
          <w:right w:w="108" w:type="dxa"/>
        </w:tblCellMar>
      </w:tblPr>
      <w:tblGrid>
        <w:gridCol w:w="1427"/>
        <w:gridCol w:w="616"/>
        <w:gridCol w:w="670"/>
        <w:gridCol w:w="992"/>
        <w:gridCol w:w="1149"/>
        <w:gridCol w:w="957"/>
        <w:gridCol w:w="1043"/>
        <w:gridCol w:w="709"/>
        <w:gridCol w:w="799"/>
        <w:gridCol w:w="1298"/>
        <w:gridCol w:w="596"/>
        <w:gridCol w:w="992"/>
      </w:tblGrid>
      <w:tr w14:paraId="25A3A6F3">
        <w:tblPrEx>
          <w:tblCellMar>
            <w:top w:w="0" w:type="dxa"/>
            <w:left w:w="108" w:type="dxa"/>
            <w:bottom w:w="0" w:type="dxa"/>
            <w:right w:w="108" w:type="dxa"/>
          </w:tblCellMar>
        </w:tblPrEx>
        <w:trPr>
          <w:trHeight w:val="584" w:hRule="atLeast"/>
          <w:jc w:val="center"/>
        </w:trPr>
        <w:tc>
          <w:tcPr>
            <w:tcW w:w="11248" w:type="dxa"/>
            <w:gridSpan w:val="12"/>
            <w:tcBorders>
              <w:top w:val="single" w:color="auto" w:sz="4" w:space="0"/>
              <w:left w:val="single" w:color="auto" w:sz="4" w:space="0"/>
              <w:bottom w:val="single" w:color="auto" w:sz="4" w:space="0"/>
              <w:right w:val="single" w:color="auto" w:sz="4" w:space="0"/>
            </w:tcBorders>
            <w:shd w:val="clear" w:color="auto" w:fill="auto"/>
            <w:noWrap/>
            <w:vAlign w:val="center"/>
          </w:tcPr>
          <w:p w14:paraId="01600A7B">
            <w:pPr>
              <w:keepNext w:val="0"/>
              <w:keepLines w:val="0"/>
              <w:pageBreakBefore w:val="0"/>
              <w:widowControl/>
              <w:kinsoku/>
              <w:wordWrap/>
              <w:overflowPunct/>
              <w:topLinePunct w:val="0"/>
              <w:autoSpaceDE/>
              <w:autoSpaceDN/>
              <w:bidi w:val="0"/>
              <w:adjustRightInd/>
              <w:snapToGrid/>
              <w:spacing w:beforeAutospacing="0" w:afterAutospacing="0" w:line="200" w:lineRule="atLeast"/>
              <w:ind w:right="0" w:firstLine="0" w:firstLineChars="0"/>
              <w:jc w:val="center"/>
              <w:rPr>
                <w:rFonts w:ascii="微软雅黑" w:hAnsi="微软雅黑" w:eastAsia="微软雅黑" w:cs="宋体"/>
                <w:b/>
                <w:bCs/>
                <w:color w:val="000000" w:themeColor="text1"/>
                <w:kern w:val="0"/>
                <w:sz w:val="36"/>
                <w:szCs w:val="40"/>
                <w14:textFill>
                  <w14:solidFill>
                    <w14:schemeClr w14:val="tx1"/>
                  </w14:solidFill>
                </w14:textFill>
              </w:rPr>
            </w:pPr>
            <w:r>
              <w:rPr>
                <w:rFonts w:hint="eastAsia" w:ascii="微软雅黑" w:hAnsi="微软雅黑" w:eastAsia="微软雅黑" w:cs="宋体"/>
                <w:b/>
                <w:bCs/>
                <w:color w:val="000000" w:themeColor="text1"/>
                <w:kern w:val="0"/>
                <w:sz w:val="32"/>
                <w:szCs w:val="40"/>
                <w14:textFill>
                  <w14:solidFill>
                    <w14:schemeClr w14:val="tx1"/>
                  </w14:solidFill>
                </w14:textFill>
              </w:rPr>
              <w:t>2022年度项目绩效自评表</w:t>
            </w:r>
          </w:p>
        </w:tc>
      </w:tr>
      <w:tr w14:paraId="69783F1C">
        <w:tblPrEx>
          <w:tblCellMar>
            <w:top w:w="0" w:type="dxa"/>
            <w:left w:w="108" w:type="dxa"/>
            <w:bottom w:w="0" w:type="dxa"/>
            <w:right w:w="108" w:type="dxa"/>
          </w:tblCellMar>
        </w:tblPrEx>
        <w:trPr>
          <w:trHeight w:val="499" w:hRule="atLeast"/>
          <w:jc w:val="center"/>
        </w:trPr>
        <w:tc>
          <w:tcPr>
            <w:tcW w:w="1427" w:type="dxa"/>
            <w:tcBorders>
              <w:top w:val="nil"/>
              <w:left w:val="single" w:color="auto" w:sz="4" w:space="0"/>
              <w:bottom w:val="single" w:color="auto" w:sz="4" w:space="0"/>
              <w:right w:val="single" w:color="auto" w:sz="4" w:space="0"/>
            </w:tcBorders>
            <w:shd w:val="clear" w:color="auto" w:fill="auto"/>
            <w:noWrap/>
            <w:vAlign w:val="center"/>
          </w:tcPr>
          <w:p w14:paraId="0A7E0DF6">
            <w:pPr>
              <w:keepNext w:val="0"/>
              <w:keepLines w:val="0"/>
              <w:pageBreakBefore w:val="0"/>
              <w:widowControl/>
              <w:kinsoku/>
              <w:wordWrap/>
              <w:overflowPunct/>
              <w:topLinePunct w:val="0"/>
              <w:autoSpaceDE/>
              <w:autoSpaceDN/>
              <w:bidi w:val="0"/>
              <w:adjustRightInd/>
              <w:snapToGrid/>
              <w:spacing w:beforeAutospacing="0" w:afterAutospacing="0" w:line="200" w:lineRule="atLeast"/>
              <w:ind w:right="0" w:firstLine="0" w:firstLineChars="0"/>
              <w:jc w:val="center"/>
              <w:rPr>
                <w:rFonts w:hint="eastAsia" w:ascii="宋体" w:hAnsi="宋体" w:cs="宋体"/>
                <w:b/>
                <w:bCs/>
                <w:color w:val="000000" w:themeColor="text1"/>
                <w:kern w:val="0"/>
                <w:sz w:val="16"/>
                <w:szCs w:val="16"/>
                <w14:textFill>
                  <w14:solidFill>
                    <w14:schemeClr w14:val="tx1"/>
                  </w14:solidFill>
                </w14:textFill>
              </w:rPr>
            </w:pPr>
            <w:r>
              <w:rPr>
                <w:rFonts w:hint="eastAsia" w:ascii="宋体" w:hAnsi="宋体" w:cs="宋体"/>
                <w:b/>
                <w:bCs/>
                <w:color w:val="000000" w:themeColor="text1"/>
                <w:kern w:val="0"/>
                <w:sz w:val="16"/>
                <w:szCs w:val="16"/>
                <w14:textFill>
                  <w14:solidFill>
                    <w14:schemeClr w14:val="tx1"/>
                  </w14:solidFill>
                </w14:textFill>
              </w:rPr>
              <w:t>项目名称：</w:t>
            </w:r>
          </w:p>
        </w:tc>
        <w:tc>
          <w:tcPr>
            <w:tcW w:w="1286" w:type="dxa"/>
            <w:gridSpan w:val="2"/>
            <w:tcBorders>
              <w:top w:val="nil"/>
              <w:left w:val="nil"/>
              <w:bottom w:val="single" w:color="auto" w:sz="4" w:space="0"/>
              <w:right w:val="single" w:color="auto" w:sz="4" w:space="0"/>
            </w:tcBorders>
            <w:shd w:val="clear" w:color="auto" w:fill="auto"/>
            <w:noWrap/>
            <w:vAlign w:val="center"/>
          </w:tcPr>
          <w:p w14:paraId="38D811FA">
            <w:pPr>
              <w:keepNext w:val="0"/>
              <w:keepLines w:val="0"/>
              <w:pageBreakBefore w:val="0"/>
              <w:widowControl/>
              <w:kinsoku/>
              <w:wordWrap/>
              <w:overflowPunct/>
              <w:topLinePunct w:val="0"/>
              <w:autoSpaceDE/>
              <w:autoSpaceDN/>
              <w:bidi w:val="0"/>
              <w:adjustRightInd/>
              <w:snapToGrid/>
              <w:spacing w:beforeAutospacing="0" w:afterAutospacing="0" w:line="200" w:lineRule="atLeast"/>
              <w:ind w:right="0" w:firstLine="0" w:firstLineChars="0"/>
              <w:jc w:val="center"/>
              <w:rPr>
                <w:rFonts w:hint="eastAsia" w:ascii="宋体" w:hAnsi="宋体" w:cs="宋体"/>
                <w:color w:val="000000" w:themeColor="text1"/>
                <w:kern w:val="0"/>
                <w:sz w:val="16"/>
                <w:szCs w:val="16"/>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2020年设计</w:t>
            </w:r>
            <w:r>
              <w:rPr>
                <w:rFonts w:hint="eastAsia" w:ascii="宋体" w:hAnsi="宋体" w:cs="宋体"/>
                <w:color w:val="000000" w:themeColor="text1"/>
                <w:kern w:val="0"/>
                <w:sz w:val="16"/>
                <w:szCs w:val="16"/>
                <w:lang w:val="en-US" w:eastAsia="zh-CN"/>
                <w14:textFill>
                  <w14:solidFill>
                    <w14:schemeClr w14:val="tx1"/>
                  </w14:solidFill>
                </w14:textFill>
              </w:rPr>
              <w:t>下</w:t>
            </w:r>
            <w:r>
              <w:rPr>
                <w:rFonts w:hint="eastAsia" w:ascii="宋体" w:hAnsi="宋体" w:cs="宋体"/>
                <w:color w:val="000000" w:themeColor="text1"/>
                <w:kern w:val="0"/>
                <w:sz w:val="16"/>
                <w:szCs w:val="16"/>
                <w14:textFill>
                  <w14:solidFill>
                    <w14:schemeClr w14:val="tx1"/>
                  </w14:solidFill>
                </w14:textFill>
              </w:rPr>
              <w:t>乡补助资金</w:t>
            </w:r>
          </w:p>
        </w:tc>
        <w:tc>
          <w:tcPr>
            <w:tcW w:w="992" w:type="dxa"/>
            <w:tcBorders>
              <w:top w:val="nil"/>
              <w:left w:val="nil"/>
              <w:bottom w:val="single" w:color="auto" w:sz="4" w:space="0"/>
              <w:right w:val="single" w:color="auto" w:sz="4" w:space="0"/>
            </w:tcBorders>
            <w:shd w:val="clear" w:color="auto" w:fill="auto"/>
            <w:noWrap/>
            <w:vAlign w:val="center"/>
          </w:tcPr>
          <w:p w14:paraId="3D4C90A8">
            <w:pPr>
              <w:keepNext w:val="0"/>
              <w:keepLines w:val="0"/>
              <w:pageBreakBefore w:val="0"/>
              <w:widowControl/>
              <w:kinsoku/>
              <w:wordWrap/>
              <w:overflowPunct/>
              <w:topLinePunct w:val="0"/>
              <w:autoSpaceDE/>
              <w:autoSpaceDN/>
              <w:bidi w:val="0"/>
              <w:adjustRightInd/>
              <w:snapToGrid/>
              <w:spacing w:beforeAutospacing="0" w:afterAutospacing="0" w:line="200" w:lineRule="atLeast"/>
              <w:ind w:right="0" w:firstLine="0" w:firstLineChars="0"/>
              <w:jc w:val="center"/>
              <w:rPr>
                <w:rFonts w:hint="eastAsia" w:ascii="宋体" w:hAnsi="宋体" w:cs="宋体"/>
                <w:b/>
                <w:bCs/>
                <w:color w:val="000000" w:themeColor="text1"/>
                <w:kern w:val="0"/>
                <w:sz w:val="16"/>
                <w:szCs w:val="16"/>
                <w14:textFill>
                  <w14:solidFill>
                    <w14:schemeClr w14:val="tx1"/>
                  </w14:solidFill>
                </w14:textFill>
              </w:rPr>
            </w:pPr>
            <w:r>
              <w:rPr>
                <w:rFonts w:hint="eastAsia" w:ascii="宋体" w:hAnsi="宋体" w:cs="宋体"/>
                <w:b/>
                <w:bCs/>
                <w:color w:val="000000" w:themeColor="text1"/>
                <w:kern w:val="0"/>
                <w:sz w:val="16"/>
                <w:szCs w:val="16"/>
                <w14:textFill>
                  <w14:solidFill>
                    <w14:schemeClr w14:val="tx1"/>
                  </w14:solidFill>
                </w14:textFill>
              </w:rPr>
              <w:t>项目编码：</w:t>
            </w:r>
          </w:p>
        </w:tc>
        <w:tc>
          <w:tcPr>
            <w:tcW w:w="2106" w:type="dxa"/>
            <w:gridSpan w:val="2"/>
            <w:tcBorders>
              <w:top w:val="nil"/>
              <w:left w:val="nil"/>
              <w:bottom w:val="single" w:color="auto" w:sz="4" w:space="0"/>
              <w:right w:val="single" w:color="auto" w:sz="4" w:space="0"/>
            </w:tcBorders>
            <w:shd w:val="clear" w:color="auto" w:fill="auto"/>
            <w:noWrap/>
            <w:vAlign w:val="center"/>
          </w:tcPr>
          <w:p w14:paraId="6DC9902D">
            <w:pPr>
              <w:keepNext w:val="0"/>
              <w:keepLines w:val="0"/>
              <w:pageBreakBefore w:val="0"/>
              <w:widowControl/>
              <w:kinsoku/>
              <w:wordWrap/>
              <w:overflowPunct/>
              <w:topLinePunct w:val="0"/>
              <w:autoSpaceDE/>
              <w:autoSpaceDN/>
              <w:bidi w:val="0"/>
              <w:adjustRightInd/>
              <w:snapToGrid/>
              <w:spacing w:beforeAutospacing="0" w:afterAutospacing="0" w:line="200" w:lineRule="atLeast"/>
              <w:ind w:right="0" w:firstLine="0" w:firstLineChars="0"/>
              <w:jc w:val="left"/>
              <w:rPr>
                <w:rFonts w:hint="eastAsia" w:ascii="宋体" w:hAnsi="宋体" w:cs="宋体"/>
                <w:color w:val="000000" w:themeColor="text1"/>
                <w:kern w:val="0"/>
                <w:sz w:val="16"/>
                <w:szCs w:val="16"/>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50023022T000002157402</w:t>
            </w:r>
          </w:p>
        </w:tc>
        <w:tc>
          <w:tcPr>
            <w:tcW w:w="1043" w:type="dxa"/>
            <w:tcBorders>
              <w:top w:val="nil"/>
              <w:left w:val="nil"/>
              <w:bottom w:val="single" w:color="auto" w:sz="4" w:space="0"/>
              <w:right w:val="single" w:color="auto" w:sz="4" w:space="0"/>
            </w:tcBorders>
            <w:shd w:val="clear" w:color="auto" w:fill="auto"/>
            <w:noWrap/>
            <w:vAlign w:val="center"/>
          </w:tcPr>
          <w:p w14:paraId="3F4D95D0">
            <w:pPr>
              <w:keepNext w:val="0"/>
              <w:keepLines w:val="0"/>
              <w:pageBreakBefore w:val="0"/>
              <w:widowControl/>
              <w:kinsoku/>
              <w:wordWrap/>
              <w:overflowPunct/>
              <w:topLinePunct w:val="0"/>
              <w:autoSpaceDE/>
              <w:autoSpaceDN/>
              <w:bidi w:val="0"/>
              <w:adjustRightInd/>
              <w:snapToGrid/>
              <w:spacing w:beforeAutospacing="0" w:afterAutospacing="0" w:line="200" w:lineRule="atLeast"/>
              <w:ind w:right="0" w:firstLine="0" w:firstLineChars="0"/>
              <w:jc w:val="center"/>
              <w:rPr>
                <w:rFonts w:hint="eastAsia" w:ascii="宋体" w:hAnsi="宋体" w:cs="宋体"/>
                <w:b/>
                <w:bCs/>
                <w:color w:val="000000" w:themeColor="text1"/>
                <w:kern w:val="0"/>
                <w:sz w:val="16"/>
                <w:szCs w:val="16"/>
                <w14:textFill>
                  <w14:solidFill>
                    <w14:schemeClr w14:val="tx1"/>
                  </w14:solidFill>
                </w14:textFill>
              </w:rPr>
            </w:pPr>
            <w:r>
              <w:rPr>
                <w:rFonts w:hint="eastAsia" w:ascii="宋体" w:hAnsi="宋体" w:cs="宋体"/>
                <w:b/>
                <w:bCs/>
                <w:color w:val="000000" w:themeColor="text1"/>
                <w:kern w:val="0"/>
                <w:sz w:val="16"/>
                <w:szCs w:val="16"/>
                <w14:textFill>
                  <w14:solidFill>
                    <w14:schemeClr w14:val="tx1"/>
                  </w14:solidFill>
                </w14:textFill>
              </w:rPr>
              <w:t>自评总分：</w:t>
            </w:r>
          </w:p>
        </w:tc>
        <w:tc>
          <w:tcPr>
            <w:tcW w:w="1508" w:type="dxa"/>
            <w:gridSpan w:val="2"/>
            <w:tcBorders>
              <w:top w:val="nil"/>
              <w:left w:val="nil"/>
              <w:bottom w:val="single" w:color="auto" w:sz="4" w:space="0"/>
              <w:right w:val="single" w:color="auto" w:sz="4" w:space="0"/>
            </w:tcBorders>
            <w:shd w:val="clear" w:color="auto" w:fill="auto"/>
            <w:noWrap/>
            <w:vAlign w:val="center"/>
          </w:tcPr>
          <w:p w14:paraId="406E0AC8">
            <w:pPr>
              <w:keepNext w:val="0"/>
              <w:keepLines w:val="0"/>
              <w:pageBreakBefore w:val="0"/>
              <w:widowControl/>
              <w:kinsoku/>
              <w:wordWrap/>
              <w:overflowPunct/>
              <w:topLinePunct w:val="0"/>
              <w:autoSpaceDE/>
              <w:autoSpaceDN/>
              <w:bidi w:val="0"/>
              <w:adjustRightInd/>
              <w:snapToGrid/>
              <w:spacing w:beforeAutospacing="0" w:afterAutospacing="0" w:line="200" w:lineRule="atLeast"/>
              <w:ind w:right="0" w:firstLine="0" w:firstLineChars="0"/>
              <w:jc w:val="left"/>
              <w:rPr>
                <w:rFonts w:hint="eastAsia" w:ascii="宋体" w:hAnsi="宋体" w:cs="宋体"/>
                <w:color w:val="000000" w:themeColor="text1"/>
                <w:kern w:val="0"/>
                <w:sz w:val="16"/>
                <w:szCs w:val="16"/>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　100.00</w:t>
            </w:r>
          </w:p>
        </w:tc>
        <w:tc>
          <w:tcPr>
            <w:tcW w:w="1298" w:type="dxa"/>
            <w:tcBorders>
              <w:top w:val="nil"/>
              <w:left w:val="nil"/>
              <w:bottom w:val="single" w:color="auto" w:sz="4" w:space="0"/>
              <w:right w:val="single" w:color="auto" w:sz="4" w:space="0"/>
            </w:tcBorders>
            <w:shd w:val="clear" w:color="auto" w:fill="auto"/>
            <w:noWrap/>
            <w:vAlign w:val="center"/>
          </w:tcPr>
          <w:p w14:paraId="6A715FEB">
            <w:pPr>
              <w:keepNext w:val="0"/>
              <w:keepLines w:val="0"/>
              <w:pageBreakBefore w:val="0"/>
              <w:widowControl/>
              <w:kinsoku/>
              <w:wordWrap/>
              <w:overflowPunct/>
              <w:topLinePunct w:val="0"/>
              <w:autoSpaceDE/>
              <w:autoSpaceDN/>
              <w:bidi w:val="0"/>
              <w:adjustRightInd/>
              <w:snapToGrid/>
              <w:spacing w:beforeAutospacing="0" w:afterAutospacing="0" w:line="200" w:lineRule="atLeast"/>
              <w:ind w:right="0" w:firstLine="0" w:firstLineChars="0"/>
              <w:jc w:val="center"/>
              <w:rPr>
                <w:rFonts w:hint="eastAsia" w:ascii="宋体" w:hAnsi="宋体" w:cs="宋体"/>
                <w:b/>
                <w:bCs/>
                <w:color w:val="000000" w:themeColor="text1"/>
                <w:kern w:val="0"/>
                <w:sz w:val="16"/>
                <w:szCs w:val="16"/>
                <w14:textFill>
                  <w14:solidFill>
                    <w14:schemeClr w14:val="tx1"/>
                  </w14:solidFill>
                </w14:textFill>
              </w:rPr>
            </w:pPr>
          </w:p>
        </w:tc>
        <w:tc>
          <w:tcPr>
            <w:tcW w:w="1588" w:type="dxa"/>
            <w:gridSpan w:val="2"/>
            <w:tcBorders>
              <w:top w:val="nil"/>
              <w:left w:val="nil"/>
              <w:bottom w:val="single" w:color="auto" w:sz="4" w:space="0"/>
              <w:right w:val="single" w:color="auto" w:sz="4" w:space="0"/>
            </w:tcBorders>
            <w:shd w:val="clear" w:color="auto" w:fill="auto"/>
            <w:noWrap/>
            <w:vAlign w:val="center"/>
          </w:tcPr>
          <w:p w14:paraId="51D203AC">
            <w:pPr>
              <w:keepNext w:val="0"/>
              <w:keepLines w:val="0"/>
              <w:pageBreakBefore w:val="0"/>
              <w:widowControl/>
              <w:kinsoku/>
              <w:wordWrap/>
              <w:overflowPunct/>
              <w:topLinePunct w:val="0"/>
              <w:autoSpaceDE/>
              <w:autoSpaceDN/>
              <w:bidi w:val="0"/>
              <w:adjustRightInd/>
              <w:snapToGrid/>
              <w:spacing w:beforeAutospacing="0" w:afterAutospacing="0" w:line="200" w:lineRule="atLeast"/>
              <w:ind w:right="0" w:firstLine="0" w:firstLineChars="0"/>
              <w:jc w:val="left"/>
              <w:rPr>
                <w:rFonts w:hint="eastAsia" w:ascii="宋体" w:hAnsi="宋体" w:cs="宋体"/>
                <w:color w:val="000000" w:themeColor="text1"/>
                <w:kern w:val="0"/>
                <w:sz w:val="16"/>
                <w:szCs w:val="16"/>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　</w:t>
            </w:r>
          </w:p>
        </w:tc>
      </w:tr>
      <w:tr w14:paraId="492E5CD0">
        <w:tblPrEx>
          <w:tblCellMar>
            <w:top w:w="0" w:type="dxa"/>
            <w:left w:w="108" w:type="dxa"/>
            <w:bottom w:w="0" w:type="dxa"/>
            <w:right w:w="108" w:type="dxa"/>
          </w:tblCellMar>
        </w:tblPrEx>
        <w:trPr>
          <w:trHeight w:val="499" w:hRule="atLeast"/>
          <w:jc w:val="center"/>
        </w:trPr>
        <w:tc>
          <w:tcPr>
            <w:tcW w:w="1427" w:type="dxa"/>
            <w:tcBorders>
              <w:top w:val="nil"/>
              <w:left w:val="single" w:color="auto" w:sz="4" w:space="0"/>
              <w:bottom w:val="single" w:color="auto" w:sz="4" w:space="0"/>
              <w:right w:val="single" w:color="auto" w:sz="4" w:space="0"/>
            </w:tcBorders>
            <w:shd w:val="clear" w:color="auto" w:fill="auto"/>
            <w:noWrap/>
            <w:vAlign w:val="center"/>
          </w:tcPr>
          <w:p w14:paraId="62D885F5">
            <w:pPr>
              <w:keepNext w:val="0"/>
              <w:keepLines w:val="0"/>
              <w:pageBreakBefore w:val="0"/>
              <w:widowControl/>
              <w:kinsoku/>
              <w:wordWrap/>
              <w:overflowPunct/>
              <w:topLinePunct w:val="0"/>
              <w:autoSpaceDE/>
              <w:autoSpaceDN/>
              <w:bidi w:val="0"/>
              <w:adjustRightInd/>
              <w:snapToGrid/>
              <w:spacing w:beforeAutospacing="0" w:afterAutospacing="0" w:line="200" w:lineRule="atLeast"/>
              <w:ind w:right="0" w:firstLine="0" w:firstLineChars="0"/>
              <w:jc w:val="center"/>
              <w:rPr>
                <w:rFonts w:hint="eastAsia" w:ascii="宋体" w:hAnsi="宋体" w:cs="宋体"/>
                <w:b/>
                <w:bCs/>
                <w:color w:val="000000" w:themeColor="text1"/>
                <w:kern w:val="0"/>
                <w:sz w:val="16"/>
                <w:szCs w:val="16"/>
                <w14:textFill>
                  <w14:solidFill>
                    <w14:schemeClr w14:val="tx1"/>
                  </w14:solidFill>
                </w14:textFill>
              </w:rPr>
            </w:pPr>
            <w:r>
              <w:rPr>
                <w:rFonts w:hint="eastAsia" w:ascii="宋体" w:hAnsi="宋体" w:cs="宋体"/>
                <w:b/>
                <w:bCs/>
                <w:color w:val="000000" w:themeColor="text1"/>
                <w:kern w:val="0"/>
                <w:sz w:val="16"/>
                <w:szCs w:val="16"/>
                <w14:textFill>
                  <w14:solidFill>
                    <w14:schemeClr w14:val="tx1"/>
                  </w14:solidFill>
                </w14:textFill>
              </w:rPr>
              <w:t>项目主管部门：</w:t>
            </w:r>
          </w:p>
        </w:tc>
        <w:tc>
          <w:tcPr>
            <w:tcW w:w="1286" w:type="dxa"/>
            <w:gridSpan w:val="2"/>
            <w:tcBorders>
              <w:top w:val="single" w:color="auto" w:sz="4" w:space="0"/>
              <w:left w:val="nil"/>
              <w:bottom w:val="single" w:color="auto" w:sz="4" w:space="0"/>
              <w:right w:val="single" w:color="auto" w:sz="4" w:space="0"/>
            </w:tcBorders>
            <w:shd w:val="clear" w:color="auto" w:fill="auto"/>
            <w:noWrap/>
            <w:vAlign w:val="center"/>
          </w:tcPr>
          <w:p w14:paraId="4DDF6628">
            <w:pPr>
              <w:keepNext w:val="0"/>
              <w:keepLines w:val="0"/>
              <w:pageBreakBefore w:val="0"/>
              <w:widowControl/>
              <w:kinsoku/>
              <w:wordWrap/>
              <w:overflowPunct/>
              <w:topLinePunct w:val="0"/>
              <w:autoSpaceDE/>
              <w:autoSpaceDN/>
              <w:bidi w:val="0"/>
              <w:adjustRightInd/>
              <w:snapToGrid/>
              <w:spacing w:beforeAutospacing="0" w:afterAutospacing="0" w:line="200" w:lineRule="atLeast"/>
              <w:ind w:right="0" w:firstLine="0" w:firstLineChars="0"/>
              <w:jc w:val="center"/>
              <w:rPr>
                <w:rFonts w:hint="eastAsia" w:ascii="宋体" w:hAnsi="宋体" w:cs="宋体"/>
                <w:color w:val="000000" w:themeColor="text1"/>
                <w:kern w:val="0"/>
                <w:sz w:val="16"/>
                <w:szCs w:val="16"/>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604-丰都县住房和城乡建设委员会</w:t>
            </w:r>
          </w:p>
        </w:tc>
        <w:tc>
          <w:tcPr>
            <w:tcW w:w="992" w:type="dxa"/>
            <w:tcBorders>
              <w:top w:val="nil"/>
              <w:left w:val="nil"/>
              <w:bottom w:val="single" w:color="auto" w:sz="4" w:space="0"/>
              <w:right w:val="single" w:color="auto" w:sz="4" w:space="0"/>
            </w:tcBorders>
            <w:shd w:val="clear" w:color="auto" w:fill="auto"/>
            <w:noWrap/>
            <w:vAlign w:val="center"/>
          </w:tcPr>
          <w:p w14:paraId="4850F798">
            <w:pPr>
              <w:keepNext w:val="0"/>
              <w:keepLines w:val="0"/>
              <w:pageBreakBefore w:val="0"/>
              <w:widowControl/>
              <w:kinsoku/>
              <w:wordWrap/>
              <w:overflowPunct/>
              <w:topLinePunct w:val="0"/>
              <w:autoSpaceDE/>
              <w:autoSpaceDN/>
              <w:bidi w:val="0"/>
              <w:adjustRightInd/>
              <w:snapToGrid/>
              <w:spacing w:beforeAutospacing="0" w:afterAutospacing="0" w:line="200" w:lineRule="atLeast"/>
              <w:ind w:right="0" w:firstLine="0" w:firstLineChars="0"/>
              <w:jc w:val="center"/>
              <w:rPr>
                <w:rFonts w:hint="eastAsia" w:ascii="宋体" w:hAnsi="宋体" w:cs="宋体"/>
                <w:b/>
                <w:bCs/>
                <w:color w:val="000000" w:themeColor="text1"/>
                <w:kern w:val="0"/>
                <w:sz w:val="16"/>
                <w:szCs w:val="16"/>
                <w14:textFill>
                  <w14:solidFill>
                    <w14:schemeClr w14:val="tx1"/>
                  </w14:solidFill>
                </w14:textFill>
              </w:rPr>
            </w:pPr>
            <w:r>
              <w:rPr>
                <w:rFonts w:hint="eastAsia" w:ascii="宋体" w:hAnsi="宋体" w:cs="宋体"/>
                <w:b/>
                <w:bCs/>
                <w:color w:val="000000" w:themeColor="text1"/>
                <w:kern w:val="0"/>
                <w:sz w:val="16"/>
                <w:szCs w:val="16"/>
                <w14:textFill>
                  <w14:solidFill>
                    <w14:schemeClr w14:val="tx1"/>
                  </w14:solidFill>
                </w14:textFill>
              </w:rPr>
              <w:t>财政归口处室：</w:t>
            </w:r>
          </w:p>
        </w:tc>
        <w:tc>
          <w:tcPr>
            <w:tcW w:w="2106" w:type="dxa"/>
            <w:gridSpan w:val="2"/>
            <w:tcBorders>
              <w:top w:val="single" w:color="auto" w:sz="4" w:space="0"/>
              <w:left w:val="nil"/>
              <w:bottom w:val="single" w:color="auto" w:sz="4" w:space="0"/>
              <w:right w:val="single" w:color="auto" w:sz="4" w:space="0"/>
            </w:tcBorders>
            <w:shd w:val="clear" w:color="auto" w:fill="auto"/>
            <w:noWrap/>
            <w:vAlign w:val="center"/>
          </w:tcPr>
          <w:p w14:paraId="55ABEC9F">
            <w:pPr>
              <w:keepNext w:val="0"/>
              <w:keepLines w:val="0"/>
              <w:pageBreakBefore w:val="0"/>
              <w:widowControl/>
              <w:tabs>
                <w:tab w:val="left" w:pos="629"/>
              </w:tabs>
              <w:kinsoku/>
              <w:wordWrap/>
              <w:overflowPunct/>
              <w:topLinePunct w:val="0"/>
              <w:autoSpaceDE/>
              <w:autoSpaceDN/>
              <w:bidi w:val="0"/>
              <w:adjustRightInd/>
              <w:snapToGrid/>
              <w:spacing w:beforeAutospacing="0" w:afterAutospacing="0" w:line="200" w:lineRule="atLeast"/>
              <w:ind w:right="0" w:firstLine="0" w:firstLineChars="0"/>
              <w:jc w:val="left"/>
              <w:rPr>
                <w:rFonts w:hint="eastAsia" w:ascii="宋体" w:hAnsi="宋体" w:cs="宋体" w:eastAsiaTheme="minorEastAsia"/>
                <w:color w:val="000000" w:themeColor="text1"/>
                <w:kern w:val="0"/>
                <w:sz w:val="16"/>
                <w:szCs w:val="16"/>
                <w:lang w:eastAsia="zh-CN"/>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　</w:t>
            </w:r>
            <w:r>
              <w:rPr>
                <w:rFonts w:hint="eastAsia" w:ascii="宋体" w:hAnsi="宋体" w:cs="宋体"/>
                <w:color w:val="000000" w:themeColor="text1"/>
                <w:kern w:val="0"/>
                <w:sz w:val="16"/>
                <w:szCs w:val="16"/>
                <w:lang w:eastAsia="zh-CN"/>
                <w14:textFill>
                  <w14:solidFill>
                    <w14:schemeClr w14:val="tx1"/>
                  </w14:solidFill>
                </w14:textFill>
              </w:rPr>
              <w:tab/>
            </w:r>
            <w:r>
              <w:rPr>
                <w:rFonts w:hint="eastAsia" w:ascii="宋体" w:hAnsi="宋体" w:cs="宋体"/>
                <w:color w:val="000000" w:themeColor="text1"/>
                <w:kern w:val="0"/>
                <w:sz w:val="16"/>
                <w:szCs w:val="16"/>
                <w:lang w:eastAsia="zh-CN"/>
                <w14:textFill>
                  <w14:solidFill>
                    <w14:schemeClr w14:val="tx1"/>
                  </w14:solidFill>
                </w14:textFill>
              </w:rPr>
              <w:t>006-经建科</w:t>
            </w:r>
          </w:p>
        </w:tc>
        <w:tc>
          <w:tcPr>
            <w:tcW w:w="1043" w:type="dxa"/>
            <w:tcBorders>
              <w:top w:val="nil"/>
              <w:left w:val="nil"/>
              <w:bottom w:val="single" w:color="auto" w:sz="4" w:space="0"/>
              <w:right w:val="single" w:color="auto" w:sz="4" w:space="0"/>
            </w:tcBorders>
            <w:shd w:val="clear" w:color="auto" w:fill="auto"/>
            <w:noWrap/>
            <w:vAlign w:val="center"/>
          </w:tcPr>
          <w:p w14:paraId="201A9B2C">
            <w:pPr>
              <w:keepNext w:val="0"/>
              <w:keepLines w:val="0"/>
              <w:pageBreakBefore w:val="0"/>
              <w:widowControl/>
              <w:kinsoku/>
              <w:wordWrap/>
              <w:overflowPunct/>
              <w:topLinePunct w:val="0"/>
              <w:autoSpaceDE/>
              <w:autoSpaceDN/>
              <w:bidi w:val="0"/>
              <w:adjustRightInd/>
              <w:snapToGrid/>
              <w:spacing w:beforeAutospacing="0" w:afterAutospacing="0" w:line="200" w:lineRule="atLeast"/>
              <w:ind w:right="0" w:firstLine="0" w:firstLineChars="0"/>
              <w:jc w:val="center"/>
              <w:rPr>
                <w:rFonts w:ascii="宋体" w:hAnsi="宋体" w:cs="宋体"/>
                <w:b/>
                <w:bCs/>
                <w:color w:val="000000" w:themeColor="text1"/>
                <w:kern w:val="0"/>
                <w:sz w:val="16"/>
                <w:szCs w:val="16"/>
                <w14:textFill>
                  <w14:solidFill>
                    <w14:schemeClr w14:val="tx1"/>
                  </w14:solidFill>
                </w14:textFill>
              </w:rPr>
            </w:pPr>
            <w:r>
              <w:rPr>
                <w:rFonts w:hint="eastAsia" w:ascii="宋体" w:hAnsi="宋体" w:cs="宋体"/>
                <w:b/>
                <w:bCs/>
                <w:color w:val="000000" w:themeColor="text1"/>
                <w:kern w:val="0"/>
                <w:sz w:val="16"/>
                <w:szCs w:val="16"/>
                <w14:textFill>
                  <w14:solidFill>
                    <w14:schemeClr w14:val="tx1"/>
                  </w14:solidFill>
                </w14:textFill>
              </w:rPr>
              <w:t>部门</w:t>
            </w:r>
          </w:p>
          <w:p w14:paraId="60FA54F1">
            <w:pPr>
              <w:keepNext w:val="0"/>
              <w:keepLines w:val="0"/>
              <w:pageBreakBefore w:val="0"/>
              <w:widowControl/>
              <w:kinsoku/>
              <w:wordWrap/>
              <w:overflowPunct/>
              <w:topLinePunct w:val="0"/>
              <w:autoSpaceDE/>
              <w:autoSpaceDN/>
              <w:bidi w:val="0"/>
              <w:adjustRightInd/>
              <w:snapToGrid/>
              <w:spacing w:beforeAutospacing="0" w:afterAutospacing="0" w:line="200" w:lineRule="atLeast"/>
              <w:ind w:right="0" w:firstLine="0" w:firstLineChars="0"/>
              <w:jc w:val="center"/>
              <w:rPr>
                <w:rFonts w:hint="eastAsia" w:ascii="宋体" w:hAnsi="宋体" w:cs="宋体"/>
                <w:b/>
                <w:bCs/>
                <w:color w:val="000000" w:themeColor="text1"/>
                <w:kern w:val="0"/>
                <w:sz w:val="16"/>
                <w:szCs w:val="16"/>
                <w14:textFill>
                  <w14:solidFill>
                    <w14:schemeClr w14:val="tx1"/>
                  </w14:solidFill>
                </w14:textFill>
              </w:rPr>
            </w:pPr>
            <w:r>
              <w:rPr>
                <w:rFonts w:hint="eastAsia" w:ascii="宋体" w:hAnsi="宋体" w:cs="宋体"/>
                <w:b/>
                <w:bCs/>
                <w:color w:val="000000" w:themeColor="text1"/>
                <w:kern w:val="0"/>
                <w:sz w:val="16"/>
                <w:szCs w:val="16"/>
                <w14:textFill>
                  <w14:solidFill>
                    <w14:schemeClr w14:val="tx1"/>
                  </w14:solidFill>
                </w14:textFill>
              </w:rPr>
              <w:t>联系人：</w:t>
            </w:r>
          </w:p>
        </w:tc>
        <w:tc>
          <w:tcPr>
            <w:tcW w:w="1508" w:type="dxa"/>
            <w:gridSpan w:val="2"/>
            <w:tcBorders>
              <w:top w:val="single" w:color="auto" w:sz="4" w:space="0"/>
              <w:left w:val="nil"/>
              <w:bottom w:val="single" w:color="auto" w:sz="4" w:space="0"/>
              <w:right w:val="single" w:color="auto" w:sz="4" w:space="0"/>
            </w:tcBorders>
            <w:shd w:val="clear" w:color="auto" w:fill="auto"/>
            <w:noWrap/>
            <w:vAlign w:val="center"/>
          </w:tcPr>
          <w:p w14:paraId="5A821CA3">
            <w:pPr>
              <w:keepNext w:val="0"/>
              <w:keepLines w:val="0"/>
              <w:pageBreakBefore w:val="0"/>
              <w:widowControl/>
              <w:kinsoku/>
              <w:wordWrap/>
              <w:overflowPunct/>
              <w:topLinePunct w:val="0"/>
              <w:autoSpaceDE/>
              <w:autoSpaceDN/>
              <w:bidi w:val="0"/>
              <w:adjustRightInd/>
              <w:snapToGrid/>
              <w:spacing w:beforeAutospacing="0" w:afterAutospacing="0" w:line="200" w:lineRule="atLeast"/>
              <w:ind w:right="0" w:firstLine="0" w:firstLineChars="0"/>
              <w:jc w:val="left"/>
              <w:rPr>
                <w:rFonts w:hint="eastAsia" w:ascii="宋体" w:hAnsi="宋体" w:cs="宋体"/>
                <w:color w:val="000000" w:themeColor="text1"/>
                <w:kern w:val="0"/>
                <w:sz w:val="16"/>
                <w:szCs w:val="16"/>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　蓝光明</w:t>
            </w:r>
          </w:p>
        </w:tc>
        <w:tc>
          <w:tcPr>
            <w:tcW w:w="1298" w:type="dxa"/>
            <w:tcBorders>
              <w:top w:val="nil"/>
              <w:left w:val="nil"/>
              <w:bottom w:val="single" w:color="auto" w:sz="4" w:space="0"/>
              <w:right w:val="single" w:color="auto" w:sz="4" w:space="0"/>
            </w:tcBorders>
            <w:shd w:val="clear" w:color="auto" w:fill="auto"/>
            <w:noWrap/>
            <w:vAlign w:val="center"/>
          </w:tcPr>
          <w:p w14:paraId="1512BBBA">
            <w:pPr>
              <w:keepNext w:val="0"/>
              <w:keepLines w:val="0"/>
              <w:pageBreakBefore w:val="0"/>
              <w:widowControl/>
              <w:kinsoku/>
              <w:wordWrap/>
              <w:overflowPunct/>
              <w:topLinePunct w:val="0"/>
              <w:autoSpaceDE/>
              <w:autoSpaceDN/>
              <w:bidi w:val="0"/>
              <w:adjustRightInd/>
              <w:snapToGrid/>
              <w:spacing w:beforeAutospacing="0" w:afterAutospacing="0" w:line="200" w:lineRule="atLeast"/>
              <w:ind w:right="0" w:firstLine="0" w:firstLineChars="0"/>
              <w:jc w:val="center"/>
              <w:rPr>
                <w:rFonts w:ascii="宋体" w:hAnsi="宋体" w:cs="宋体"/>
                <w:b/>
                <w:bCs/>
                <w:color w:val="000000" w:themeColor="text1"/>
                <w:kern w:val="0"/>
                <w:sz w:val="16"/>
                <w:szCs w:val="16"/>
                <w14:textFill>
                  <w14:solidFill>
                    <w14:schemeClr w14:val="tx1"/>
                  </w14:solidFill>
                </w14:textFill>
              </w:rPr>
            </w:pPr>
            <w:r>
              <w:rPr>
                <w:rFonts w:hint="eastAsia" w:ascii="宋体" w:hAnsi="宋体" w:cs="宋体"/>
                <w:b/>
                <w:bCs/>
                <w:color w:val="000000" w:themeColor="text1"/>
                <w:kern w:val="0"/>
                <w:sz w:val="16"/>
                <w:szCs w:val="16"/>
                <w14:textFill>
                  <w14:solidFill>
                    <w14:schemeClr w14:val="tx1"/>
                  </w14:solidFill>
                </w14:textFill>
              </w:rPr>
              <w:t>联系</w:t>
            </w:r>
          </w:p>
          <w:p w14:paraId="1FE4F4EF">
            <w:pPr>
              <w:keepNext w:val="0"/>
              <w:keepLines w:val="0"/>
              <w:pageBreakBefore w:val="0"/>
              <w:widowControl/>
              <w:kinsoku/>
              <w:wordWrap/>
              <w:overflowPunct/>
              <w:topLinePunct w:val="0"/>
              <w:autoSpaceDE/>
              <w:autoSpaceDN/>
              <w:bidi w:val="0"/>
              <w:adjustRightInd/>
              <w:snapToGrid/>
              <w:spacing w:beforeAutospacing="0" w:afterAutospacing="0" w:line="200" w:lineRule="atLeast"/>
              <w:ind w:right="0" w:firstLine="0" w:firstLineChars="0"/>
              <w:jc w:val="center"/>
              <w:rPr>
                <w:rFonts w:hint="eastAsia" w:ascii="宋体" w:hAnsi="宋体" w:cs="宋体"/>
                <w:b/>
                <w:bCs/>
                <w:color w:val="000000" w:themeColor="text1"/>
                <w:kern w:val="0"/>
                <w:sz w:val="16"/>
                <w:szCs w:val="16"/>
                <w14:textFill>
                  <w14:solidFill>
                    <w14:schemeClr w14:val="tx1"/>
                  </w14:solidFill>
                </w14:textFill>
              </w:rPr>
            </w:pPr>
            <w:r>
              <w:rPr>
                <w:rFonts w:hint="eastAsia" w:ascii="宋体" w:hAnsi="宋体" w:cs="宋体"/>
                <w:b/>
                <w:bCs/>
                <w:color w:val="000000" w:themeColor="text1"/>
                <w:kern w:val="0"/>
                <w:sz w:val="16"/>
                <w:szCs w:val="16"/>
                <w14:textFill>
                  <w14:solidFill>
                    <w14:schemeClr w14:val="tx1"/>
                  </w14:solidFill>
                </w14:textFill>
              </w:rPr>
              <w:t>电话</w:t>
            </w:r>
          </w:p>
        </w:tc>
        <w:tc>
          <w:tcPr>
            <w:tcW w:w="1588" w:type="dxa"/>
            <w:gridSpan w:val="2"/>
            <w:tcBorders>
              <w:top w:val="single" w:color="auto" w:sz="4" w:space="0"/>
              <w:left w:val="nil"/>
              <w:bottom w:val="single" w:color="auto" w:sz="4" w:space="0"/>
              <w:right w:val="single" w:color="auto" w:sz="4" w:space="0"/>
            </w:tcBorders>
            <w:shd w:val="clear" w:color="auto" w:fill="auto"/>
            <w:noWrap/>
            <w:vAlign w:val="center"/>
          </w:tcPr>
          <w:p w14:paraId="6DB0CD4E">
            <w:pPr>
              <w:keepNext w:val="0"/>
              <w:keepLines w:val="0"/>
              <w:pageBreakBefore w:val="0"/>
              <w:widowControl/>
              <w:kinsoku/>
              <w:wordWrap/>
              <w:overflowPunct/>
              <w:topLinePunct w:val="0"/>
              <w:autoSpaceDE/>
              <w:autoSpaceDN/>
              <w:bidi w:val="0"/>
              <w:adjustRightInd/>
              <w:snapToGrid/>
              <w:spacing w:beforeAutospacing="0" w:afterAutospacing="0" w:line="200" w:lineRule="atLeast"/>
              <w:ind w:right="0" w:firstLine="0" w:firstLineChars="0"/>
              <w:jc w:val="left"/>
              <w:rPr>
                <w:rFonts w:hint="eastAsia" w:ascii="宋体" w:hAnsi="宋体" w:cs="宋体"/>
                <w:color w:val="000000" w:themeColor="text1"/>
                <w:kern w:val="0"/>
                <w:sz w:val="16"/>
                <w:szCs w:val="16"/>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　70711990</w:t>
            </w:r>
          </w:p>
        </w:tc>
      </w:tr>
      <w:tr w14:paraId="7790DE98">
        <w:tblPrEx>
          <w:tblCellMar>
            <w:top w:w="0" w:type="dxa"/>
            <w:left w:w="108" w:type="dxa"/>
            <w:bottom w:w="0" w:type="dxa"/>
            <w:right w:w="108" w:type="dxa"/>
          </w:tblCellMar>
        </w:tblPrEx>
        <w:trPr>
          <w:trHeight w:val="469" w:hRule="atLeast"/>
          <w:jc w:val="center"/>
        </w:trPr>
        <w:tc>
          <w:tcPr>
            <w:tcW w:w="11248" w:type="dxa"/>
            <w:gridSpan w:val="12"/>
            <w:tcBorders>
              <w:top w:val="single" w:color="auto" w:sz="4" w:space="0"/>
              <w:left w:val="single" w:color="auto" w:sz="4" w:space="0"/>
              <w:bottom w:val="single" w:color="auto" w:sz="4" w:space="0"/>
              <w:right w:val="single" w:color="auto" w:sz="4" w:space="0"/>
            </w:tcBorders>
            <w:shd w:val="clear" w:color="auto" w:fill="auto"/>
            <w:noWrap/>
            <w:vAlign w:val="center"/>
          </w:tcPr>
          <w:p w14:paraId="2B98BB19">
            <w:pPr>
              <w:keepNext w:val="0"/>
              <w:keepLines w:val="0"/>
              <w:pageBreakBefore w:val="0"/>
              <w:widowControl/>
              <w:kinsoku/>
              <w:wordWrap/>
              <w:overflowPunct/>
              <w:topLinePunct w:val="0"/>
              <w:autoSpaceDE/>
              <w:autoSpaceDN/>
              <w:bidi w:val="0"/>
              <w:adjustRightInd/>
              <w:snapToGrid/>
              <w:spacing w:beforeAutospacing="0" w:afterAutospacing="0" w:line="200" w:lineRule="atLeast"/>
              <w:ind w:right="0" w:firstLine="0" w:firstLineChars="0"/>
              <w:jc w:val="center"/>
              <w:rPr>
                <w:rFonts w:hint="eastAsia" w:ascii="微软雅黑" w:hAnsi="微软雅黑" w:eastAsia="微软雅黑" w:cs="宋体"/>
                <w:b/>
                <w:bCs/>
                <w:color w:val="000000" w:themeColor="text1"/>
                <w:kern w:val="0"/>
                <w:sz w:val="28"/>
                <w:szCs w:val="28"/>
                <w14:textFill>
                  <w14:solidFill>
                    <w14:schemeClr w14:val="tx1"/>
                  </w14:solidFill>
                </w14:textFill>
              </w:rPr>
            </w:pPr>
            <w:r>
              <w:rPr>
                <w:rFonts w:hint="eastAsia" w:ascii="微软雅黑" w:hAnsi="微软雅黑" w:eastAsia="微软雅黑" w:cs="宋体"/>
                <w:b/>
                <w:bCs/>
                <w:color w:val="000000" w:themeColor="text1"/>
                <w:kern w:val="0"/>
                <w:sz w:val="18"/>
                <w:szCs w:val="28"/>
                <w14:textFill>
                  <w14:solidFill>
                    <w14:schemeClr w14:val="tx1"/>
                  </w14:solidFill>
                </w14:textFill>
              </w:rPr>
              <w:t>资金情况</w:t>
            </w:r>
          </w:p>
        </w:tc>
      </w:tr>
      <w:tr w14:paraId="5196BC31">
        <w:tblPrEx>
          <w:tblCellMar>
            <w:top w:w="0" w:type="dxa"/>
            <w:left w:w="108" w:type="dxa"/>
            <w:bottom w:w="0" w:type="dxa"/>
            <w:right w:w="108" w:type="dxa"/>
          </w:tblCellMar>
        </w:tblPrEx>
        <w:trPr>
          <w:trHeight w:val="445" w:hRule="atLeast"/>
          <w:jc w:val="center"/>
        </w:trPr>
        <w:tc>
          <w:tcPr>
            <w:tcW w:w="2043"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14:paraId="06DFDF4C">
            <w:pPr>
              <w:keepNext w:val="0"/>
              <w:keepLines w:val="0"/>
              <w:pageBreakBefore w:val="0"/>
              <w:widowControl/>
              <w:kinsoku/>
              <w:wordWrap/>
              <w:overflowPunct/>
              <w:topLinePunct w:val="0"/>
              <w:autoSpaceDE/>
              <w:autoSpaceDN/>
              <w:bidi w:val="0"/>
              <w:adjustRightInd/>
              <w:snapToGrid/>
              <w:spacing w:beforeAutospacing="0" w:afterAutospacing="0" w:line="200" w:lineRule="atLeast"/>
              <w:ind w:right="0" w:firstLine="0" w:firstLineChars="0"/>
              <w:jc w:val="center"/>
              <w:rPr>
                <w:rFonts w:hint="eastAsia" w:ascii="宋体" w:hAnsi="宋体" w:cs="宋体"/>
                <w:color w:val="000000" w:themeColor="text1"/>
                <w:kern w:val="0"/>
                <w:sz w:val="16"/>
                <w:szCs w:val="16"/>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　</w:t>
            </w:r>
          </w:p>
        </w:tc>
        <w:tc>
          <w:tcPr>
            <w:tcW w:w="1662" w:type="dxa"/>
            <w:gridSpan w:val="2"/>
            <w:tcBorders>
              <w:top w:val="single" w:color="auto" w:sz="4" w:space="0"/>
              <w:left w:val="nil"/>
              <w:bottom w:val="single" w:color="auto" w:sz="4" w:space="0"/>
              <w:right w:val="single" w:color="000000" w:sz="4" w:space="0"/>
            </w:tcBorders>
            <w:shd w:val="clear" w:color="auto" w:fill="auto"/>
            <w:noWrap/>
            <w:vAlign w:val="center"/>
          </w:tcPr>
          <w:p w14:paraId="1E5CB1BD">
            <w:pPr>
              <w:keepNext w:val="0"/>
              <w:keepLines w:val="0"/>
              <w:pageBreakBefore w:val="0"/>
              <w:widowControl/>
              <w:kinsoku/>
              <w:wordWrap/>
              <w:overflowPunct/>
              <w:topLinePunct w:val="0"/>
              <w:autoSpaceDE/>
              <w:autoSpaceDN/>
              <w:bidi w:val="0"/>
              <w:adjustRightInd/>
              <w:snapToGrid/>
              <w:spacing w:beforeAutospacing="0" w:afterAutospacing="0" w:line="200" w:lineRule="atLeast"/>
              <w:ind w:right="0" w:firstLine="0" w:firstLineChars="0"/>
              <w:jc w:val="center"/>
              <w:rPr>
                <w:rFonts w:hint="eastAsia" w:ascii="宋体" w:hAnsi="宋体" w:cs="宋体"/>
                <w:b/>
                <w:bCs/>
                <w:color w:val="000000" w:themeColor="text1"/>
                <w:kern w:val="0"/>
                <w:sz w:val="16"/>
                <w:szCs w:val="16"/>
                <w14:textFill>
                  <w14:solidFill>
                    <w14:schemeClr w14:val="tx1"/>
                  </w14:solidFill>
                </w14:textFill>
              </w:rPr>
            </w:pPr>
            <w:r>
              <w:rPr>
                <w:rFonts w:hint="eastAsia" w:ascii="宋体" w:hAnsi="宋体" w:cs="宋体"/>
                <w:b/>
                <w:bCs/>
                <w:color w:val="000000" w:themeColor="text1"/>
                <w:kern w:val="0"/>
                <w:sz w:val="16"/>
                <w:szCs w:val="16"/>
                <w14:textFill>
                  <w14:solidFill>
                    <w14:schemeClr w14:val="tx1"/>
                  </w14:solidFill>
                </w14:textFill>
              </w:rPr>
              <w:t>年初预算数</w:t>
            </w:r>
          </w:p>
        </w:tc>
        <w:tc>
          <w:tcPr>
            <w:tcW w:w="2106" w:type="dxa"/>
            <w:gridSpan w:val="2"/>
            <w:tcBorders>
              <w:top w:val="single" w:color="auto" w:sz="4" w:space="0"/>
              <w:left w:val="nil"/>
              <w:bottom w:val="single" w:color="auto" w:sz="4" w:space="0"/>
              <w:right w:val="single" w:color="000000" w:sz="4" w:space="0"/>
            </w:tcBorders>
            <w:shd w:val="clear" w:color="auto" w:fill="auto"/>
            <w:noWrap/>
            <w:vAlign w:val="center"/>
          </w:tcPr>
          <w:p w14:paraId="75F19465">
            <w:pPr>
              <w:keepNext w:val="0"/>
              <w:keepLines w:val="0"/>
              <w:pageBreakBefore w:val="0"/>
              <w:widowControl/>
              <w:kinsoku/>
              <w:wordWrap/>
              <w:overflowPunct/>
              <w:topLinePunct w:val="0"/>
              <w:autoSpaceDE/>
              <w:autoSpaceDN/>
              <w:bidi w:val="0"/>
              <w:adjustRightInd/>
              <w:snapToGrid/>
              <w:spacing w:beforeAutospacing="0" w:afterAutospacing="0" w:line="200" w:lineRule="atLeast"/>
              <w:ind w:right="0" w:firstLine="0" w:firstLineChars="0"/>
              <w:jc w:val="center"/>
              <w:rPr>
                <w:rFonts w:ascii="宋体" w:hAnsi="宋体" w:cs="宋体"/>
                <w:b/>
                <w:bCs/>
                <w:color w:val="000000" w:themeColor="text1"/>
                <w:kern w:val="0"/>
                <w:sz w:val="16"/>
                <w:szCs w:val="16"/>
                <w14:textFill>
                  <w14:solidFill>
                    <w14:schemeClr w14:val="tx1"/>
                  </w14:solidFill>
                </w14:textFill>
              </w:rPr>
            </w:pPr>
            <w:r>
              <w:rPr>
                <w:rFonts w:hint="eastAsia" w:ascii="宋体" w:hAnsi="宋体" w:cs="宋体"/>
                <w:b/>
                <w:bCs/>
                <w:color w:val="000000" w:themeColor="text1"/>
                <w:kern w:val="0"/>
                <w:sz w:val="16"/>
                <w:szCs w:val="16"/>
                <w14:textFill>
                  <w14:solidFill>
                    <w14:schemeClr w14:val="tx1"/>
                  </w14:solidFill>
                </w14:textFill>
              </w:rPr>
              <w:t>全年（调整）</w:t>
            </w:r>
          </w:p>
          <w:p w14:paraId="4B81DFBB">
            <w:pPr>
              <w:keepNext w:val="0"/>
              <w:keepLines w:val="0"/>
              <w:pageBreakBefore w:val="0"/>
              <w:widowControl/>
              <w:kinsoku/>
              <w:wordWrap/>
              <w:overflowPunct/>
              <w:topLinePunct w:val="0"/>
              <w:autoSpaceDE/>
              <w:autoSpaceDN/>
              <w:bidi w:val="0"/>
              <w:adjustRightInd/>
              <w:snapToGrid/>
              <w:spacing w:beforeAutospacing="0" w:afterAutospacing="0" w:line="200" w:lineRule="atLeast"/>
              <w:ind w:right="0" w:firstLine="0" w:firstLineChars="0"/>
              <w:jc w:val="center"/>
              <w:rPr>
                <w:rFonts w:hint="eastAsia" w:ascii="宋体" w:hAnsi="宋体" w:cs="宋体"/>
                <w:b/>
                <w:bCs/>
                <w:color w:val="000000" w:themeColor="text1"/>
                <w:kern w:val="0"/>
                <w:sz w:val="16"/>
                <w:szCs w:val="16"/>
                <w14:textFill>
                  <w14:solidFill>
                    <w14:schemeClr w14:val="tx1"/>
                  </w14:solidFill>
                </w14:textFill>
              </w:rPr>
            </w:pPr>
            <w:r>
              <w:rPr>
                <w:rFonts w:hint="eastAsia" w:ascii="宋体" w:hAnsi="宋体" w:cs="宋体"/>
                <w:b/>
                <w:bCs/>
                <w:color w:val="000000" w:themeColor="text1"/>
                <w:kern w:val="0"/>
                <w:sz w:val="16"/>
                <w:szCs w:val="16"/>
                <w14:textFill>
                  <w14:solidFill>
                    <w14:schemeClr w14:val="tx1"/>
                  </w14:solidFill>
                </w14:textFill>
              </w:rPr>
              <w:t>预算数</w:t>
            </w:r>
          </w:p>
        </w:tc>
        <w:tc>
          <w:tcPr>
            <w:tcW w:w="1752" w:type="dxa"/>
            <w:gridSpan w:val="2"/>
            <w:tcBorders>
              <w:top w:val="single" w:color="auto" w:sz="4" w:space="0"/>
              <w:left w:val="nil"/>
              <w:bottom w:val="single" w:color="auto" w:sz="4" w:space="0"/>
              <w:right w:val="single" w:color="000000" w:sz="4" w:space="0"/>
            </w:tcBorders>
            <w:shd w:val="clear" w:color="auto" w:fill="auto"/>
            <w:noWrap/>
            <w:vAlign w:val="center"/>
          </w:tcPr>
          <w:p w14:paraId="308547D3">
            <w:pPr>
              <w:keepNext w:val="0"/>
              <w:keepLines w:val="0"/>
              <w:pageBreakBefore w:val="0"/>
              <w:widowControl/>
              <w:kinsoku/>
              <w:wordWrap/>
              <w:overflowPunct/>
              <w:topLinePunct w:val="0"/>
              <w:autoSpaceDE/>
              <w:autoSpaceDN/>
              <w:bidi w:val="0"/>
              <w:adjustRightInd/>
              <w:snapToGrid/>
              <w:spacing w:beforeAutospacing="0" w:afterAutospacing="0" w:line="200" w:lineRule="atLeast"/>
              <w:ind w:right="0" w:firstLine="0" w:firstLineChars="0"/>
              <w:jc w:val="center"/>
              <w:rPr>
                <w:rFonts w:hint="eastAsia" w:ascii="宋体" w:hAnsi="宋体" w:cs="宋体"/>
                <w:b/>
                <w:bCs/>
                <w:color w:val="000000" w:themeColor="text1"/>
                <w:kern w:val="0"/>
                <w:sz w:val="16"/>
                <w:szCs w:val="16"/>
                <w14:textFill>
                  <w14:solidFill>
                    <w14:schemeClr w14:val="tx1"/>
                  </w14:solidFill>
                </w14:textFill>
              </w:rPr>
            </w:pPr>
            <w:r>
              <w:rPr>
                <w:rFonts w:hint="eastAsia" w:ascii="宋体" w:hAnsi="宋体" w:cs="宋体"/>
                <w:b/>
                <w:bCs/>
                <w:color w:val="000000" w:themeColor="text1"/>
                <w:kern w:val="0"/>
                <w:sz w:val="16"/>
                <w:szCs w:val="16"/>
                <w14:textFill>
                  <w14:solidFill>
                    <w14:schemeClr w14:val="tx1"/>
                  </w14:solidFill>
                </w14:textFill>
              </w:rPr>
              <w:t>全年执行数</w:t>
            </w:r>
          </w:p>
        </w:tc>
        <w:tc>
          <w:tcPr>
            <w:tcW w:w="2097" w:type="dxa"/>
            <w:gridSpan w:val="2"/>
            <w:tcBorders>
              <w:top w:val="single" w:color="auto" w:sz="4" w:space="0"/>
              <w:left w:val="nil"/>
              <w:bottom w:val="single" w:color="auto" w:sz="4" w:space="0"/>
              <w:right w:val="single" w:color="000000" w:sz="4" w:space="0"/>
            </w:tcBorders>
            <w:shd w:val="clear" w:color="auto" w:fill="auto"/>
            <w:noWrap/>
            <w:vAlign w:val="center"/>
          </w:tcPr>
          <w:p w14:paraId="45AC9E1D">
            <w:pPr>
              <w:keepNext w:val="0"/>
              <w:keepLines w:val="0"/>
              <w:pageBreakBefore w:val="0"/>
              <w:widowControl/>
              <w:kinsoku/>
              <w:wordWrap/>
              <w:overflowPunct/>
              <w:topLinePunct w:val="0"/>
              <w:autoSpaceDE/>
              <w:autoSpaceDN/>
              <w:bidi w:val="0"/>
              <w:adjustRightInd/>
              <w:snapToGrid/>
              <w:spacing w:beforeAutospacing="0" w:afterAutospacing="0" w:line="200" w:lineRule="atLeast"/>
              <w:ind w:right="0" w:firstLine="0" w:firstLineChars="0"/>
              <w:jc w:val="center"/>
              <w:rPr>
                <w:rFonts w:hint="eastAsia" w:ascii="宋体" w:hAnsi="宋体" w:cs="宋体"/>
                <w:b/>
                <w:bCs/>
                <w:color w:val="000000" w:themeColor="text1"/>
                <w:kern w:val="0"/>
                <w:sz w:val="16"/>
                <w:szCs w:val="16"/>
                <w14:textFill>
                  <w14:solidFill>
                    <w14:schemeClr w14:val="tx1"/>
                  </w14:solidFill>
                </w14:textFill>
              </w:rPr>
            </w:pPr>
            <w:r>
              <w:rPr>
                <w:rFonts w:hint="eastAsia" w:ascii="宋体" w:hAnsi="宋体" w:cs="宋体"/>
                <w:b/>
                <w:bCs/>
                <w:color w:val="000000" w:themeColor="text1"/>
                <w:kern w:val="0"/>
                <w:sz w:val="16"/>
                <w:szCs w:val="16"/>
                <w14:textFill>
                  <w14:solidFill>
                    <w14:schemeClr w14:val="tx1"/>
                  </w14:solidFill>
                </w14:textFill>
              </w:rPr>
              <w:t>执行率</w:t>
            </w:r>
          </w:p>
        </w:tc>
        <w:tc>
          <w:tcPr>
            <w:tcW w:w="596" w:type="dxa"/>
            <w:tcBorders>
              <w:top w:val="nil"/>
              <w:left w:val="nil"/>
              <w:bottom w:val="single" w:color="auto" w:sz="4" w:space="0"/>
              <w:right w:val="single" w:color="auto" w:sz="4" w:space="0"/>
            </w:tcBorders>
            <w:shd w:val="clear" w:color="auto" w:fill="auto"/>
            <w:noWrap/>
            <w:vAlign w:val="center"/>
          </w:tcPr>
          <w:p w14:paraId="20317C72">
            <w:pPr>
              <w:keepNext w:val="0"/>
              <w:keepLines w:val="0"/>
              <w:pageBreakBefore w:val="0"/>
              <w:widowControl/>
              <w:kinsoku/>
              <w:wordWrap/>
              <w:overflowPunct/>
              <w:topLinePunct w:val="0"/>
              <w:autoSpaceDE/>
              <w:autoSpaceDN/>
              <w:bidi w:val="0"/>
              <w:adjustRightInd/>
              <w:snapToGrid/>
              <w:spacing w:beforeAutospacing="0" w:afterAutospacing="0" w:line="200" w:lineRule="atLeast"/>
              <w:ind w:right="0" w:firstLine="0" w:firstLineChars="0"/>
              <w:jc w:val="center"/>
              <w:rPr>
                <w:rFonts w:ascii="宋体" w:hAnsi="宋体" w:cs="宋体"/>
                <w:b/>
                <w:bCs/>
                <w:color w:val="000000" w:themeColor="text1"/>
                <w:kern w:val="0"/>
                <w:sz w:val="16"/>
                <w:szCs w:val="16"/>
                <w14:textFill>
                  <w14:solidFill>
                    <w14:schemeClr w14:val="tx1"/>
                  </w14:solidFill>
                </w14:textFill>
              </w:rPr>
            </w:pPr>
            <w:r>
              <w:rPr>
                <w:rFonts w:hint="eastAsia" w:ascii="宋体" w:hAnsi="宋体" w:cs="宋体"/>
                <w:b/>
                <w:bCs/>
                <w:color w:val="000000" w:themeColor="text1"/>
                <w:kern w:val="0"/>
                <w:sz w:val="16"/>
                <w:szCs w:val="16"/>
                <w14:textFill>
                  <w14:solidFill>
                    <w14:schemeClr w14:val="tx1"/>
                  </w14:solidFill>
                </w14:textFill>
              </w:rPr>
              <w:t>执行率</w:t>
            </w:r>
          </w:p>
          <w:p w14:paraId="1E088D9D">
            <w:pPr>
              <w:keepNext w:val="0"/>
              <w:keepLines w:val="0"/>
              <w:pageBreakBefore w:val="0"/>
              <w:widowControl/>
              <w:kinsoku/>
              <w:wordWrap/>
              <w:overflowPunct/>
              <w:topLinePunct w:val="0"/>
              <w:autoSpaceDE/>
              <w:autoSpaceDN/>
              <w:bidi w:val="0"/>
              <w:adjustRightInd/>
              <w:snapToGrid/>
              <w:spacing w:beforeAutospacing="0" w:afterAutospacing="0" w:line="200" w:lineRule="atLeast"/>
              <w:ind w:right="0" w:firstLine="0" w:firstLineChars="0"/>
              <w:jc w:val="center"/>
              <w:rPr>
                <w:rFonts w:hint="eastAsia" w:ascii="宋体" w:hAnsi="宋体" w:cs="宋体"/>
                <w:b/>
                <w:bCs/>
                <w:color w:val="000000" w:themeColor="text1"/>
                <w:kern w:val="0"/>
                <w:sz w:val="16"/>
                <w:szCs w:val="16"/>
                <w14:textFill>
                  <w14:solidFill>
                    <w14:schemeClr w14:val="tx1"/>
                  </w14:solidFill>
                </w14:textFill>
              </w:rPr>
            </w:pPr>
            <w:r>
              <w:rPr>
                <w:rFonts w:hint="eastAsia" w:ascii="宋体" w:hAnsi="宋体" w:cs="宋体"/>
                <w:b/>
                <w:bCs/>
                <w:color w:val="000000" w:themeColor="text1"/>
                <w:kern w:val="0"/>
                <w:sz w:val="16"/>
                <w:szCs w:val="16"/>
                <w14:textFill>
                  <w14:solidFill>
                    <w14:schemeClr w14:val="tx1"/>
                  </w14:solidFill>
                </w14:textFill>
              </w:rPr>
              <w:t>权重</w:t>
            </w:r>
          </w:p>
        </w:tc>
        <w:tc>
          <w:tcPr>
            <w:tcW w:w="992" w:type="dxa"/>
            <w:tcBorders>
              <w:top w:val="nil"/>
              <w:left w:val="nil"/>
              <w:bottom w:val="single" w:color="auto" w:sz="4" w:space="0"/>
              <w:right w:val="single" w:color="auto" w:sz="4" w:space="0"/>
            </w:tcBorders>
            <w:shd w:val="clear" w:color="auto" w:fill="auto"/>
            <w:noWrap/>
            <w:vAlign w:val="center"/>
          </w:tcPr>
          <w:p w14:paraId="1763060B">
            <w:pPr>
              <w:keepNext w:val="0"/>
              <w:keepLines w:val="0"/>
              <w:pageBreakBefore w:val="0"/>
              <w:widowControl/>
              <w:kinsoku/>
              <w:wordWrap/>
              <w:overflowPunct/>
              <w:topLinePunct w:val="0"/>
              <w:autoSpaceDE/>
              <w:autoSpaceDN/>
              <w:bidi w:val="0"/>
              <w:adjustRightInd/>
              <w:snapToGrid/>
              <w:spacing w:beforeAutospacing="0" w:afterAutospacing="0" w:line="200" w:lineRule="atLeast"/>
              <w:ind w:right="0" w:firstLine="0" w:firstLineChars="0"/>
              <w:jc w:val="center"/>
              <w:rPr>
                <w:rFonts w:ascii="宋体" w:hAnsi="宋体" w:cs="宋体"/>
                <w:b/>
                <w:bCs/>
                <w:color w:val="000000" w:themeColor="text1"/>
                <w:kern w:val="0"/>
                <w:sz w:val="16"/>
                <w:szCs w:val="16"/>
                <w14:textFill>
                  <w14:solidFill>
                    <w14:schemeClr w14:val="tx1"/>
                  </w14:solidFill>
                </w14:textFill>
              </w:rPr>
            </w:pPr>
            <w:r>
              <w:rPr>
                <w:rFonts w:hint="eastAsia" w:ascii="宋体" w:hAnsi="宋体" w:cs="宋体"/>
                <w:b/>
                <w:bCs/>
                <w:color w:val="000000" w:themeColor="text1"/>
                <w:kern w:val="0"/>
                <w:sz w:val="16"/>
                <w:szCs w:val="16"/>
                <w14:textFill>
                  <w14:solidFill>
                    <w14:schemeClr w14:val="tx1"/>
                  </w14:solidFill>
                </w14:textFill>
              </w:rPr>
              <w:t>执行率</w:t>
            </w:r>
          </w:p>
          <w:p w14:paraId="5394CBDA">
            <w:pPr>
              <w:keepNext w:val="0"/>
              <w:keepLines w:val="0"/>
              <w:pageBreakBefore w:val="0"/>
              <w:widowControl/>
              <w:kinsoku/>
              <w:wordWrap/>
              <w:overflowPunct/>
              <w:topLinePunct w:val="0"/>
              <w:autoSpaceDE/>
              <w:autoSpaceDN/>
              <w:bidi w:val="0"/>
              <w:adjustRightInd/>
              <w:snapToGrid/>
              <w:spacing w:beforeAutospacing="0" w:afterAutospacing="0" w:line="200" w:lineRule="atLeast"/>
              <w:ind w:right="0" w:firstLine="0" w:firstLineChars="0"/>
              <w:jc w:val="center"/>
              <w:rPr>
                <w:rFonts w:hint="eastAsia" w:ascii="宋体" w:hAnsi="宋体" w:cs="宋体"/>
                <w:b/>
                <w:bCs/>
                <w:color w:val="000000" w:themeColor="text1"/>
                <w:kern w:val="0"/>
                <w:sz w:val="16"/>
                <w:szCs w:val="16"/>
                <w14:textFill>
                  <w14:solidFill>
                    <w14:schemeClr w14:val="tx1"/>
                  </w14:solidFill>
                </w14:textFill>
              </w:rPr>
            </w:pPr>
            <w:r>
              <w:rPr>
                <w:rFonts w:hint="eastAsia" w:ascii="宋体" w:hAnsi="宋体" w:cs="宋体"/>
                <w:b/>
                <w:bCs/>
                <w:color w:val="000000" w:themeColor="text1"/>
                <w:kern w:val="0"/>
                <w:sz w:val="16"/>
                <w:szCs w:val="16"/>
                <w14:textFill>
                  <w14:solidFill>
                    <w14:schemeClr w14:val="tx1"/>
                  </w14:solidFill>
                </w14:textFill>
              </w:rPr>
              <w:t>得分</w:t>
            </w:r>
          </w:p>
        </w:tc>
      </w:tr>
      <w:tr w14:paraId="65F5A0AF">
        <w:tblPrEx>
          <w:tblCellMar>
            <w:top w:w="0" w:type="dxa"/>
            <w:left w:w="108" w:type="dxa"/>
            <w:bottom w:w="0" w:type="dxa"/>
            <w:right w:w="108" w:type="dxa"/>
          </w:tblCellMar>
        </w:tblPrEx>
        <w:trPr>
          <w:trHeight w:val="499" w:hRule="atLeast"/>
          <w:jc w:val="center"/>
        </w:trPr>
        <w:tc>
          <w:tcPr>
            <w:tcW w:w="204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C1CA48D">
            <w:pPr>
              <w:keepNext w:val="0"/>
              <w:keepLines w:val="0"/>
              <w:pageBreakBefore w:val="0"/>
              <w:widowControl/>
              <w:kinsoku/>
              <w:wordWrap/>
              <w:overflowPunct/>
              <w:topLinePunct w:val="0"/>
              <w:autoSpaceDE/>
              <w:autoSpaceDN/>
              <w:bidi w:val="0"/>
              <w:adjustRightInd/>
              <w:snapToGrid/>
              <w:spacing w:beforeAutospacing="0" w:afterAutospacing="0" w:line="200" w:lineRule="atLeast"/>
              <w:ind w:right="0" w:firstLine="0" w:firstLineChars="0"/>
              <w:jc w:val="center"/>
              <w:rPr>
                <w:rFonts w:hint="eastAsia" w:ascii="宋体" w:hAnsi="宋体" w:cs="宋体"/>
                <w:color w:val="000000" w:themeColor="text1"/>
                <w:kern w:val="0"/>
                <w:sz w:val="16"/>
                <w:szCs w:val="16"/>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年度总金额</w:t>
            </w:r>
          </w:p>
        </w:tc>
        <w:tc>
          <w:tcPr>
            <w:tcW w:w="1662" w:type="dxa"/>
            <w:gridSpan w:val="2"/>
            <w:tcBorders>
              <w:top w:val="single" w:color="auto" w:sz="4" w:space="0"/>
              <w:left w:val="nil"/>
              <w:bottom w:val="single" w:color="auto" w:sz="4" w:space="0"/>
              <w:right w:val="single" w:color="auto" w:sz="4" w:space="0"/>
            </w:tcBorders>
            <w:shd w:val="clear" w:color="auto" w:fill="auto"/>
            <w:noWrap/>
            <w:vAlign w:val="center"/>
          </w:tcPr>
          <w:p w14:paraId="09255458">
            <w:pPr>
              <w:keepNext w:val="0"/>
              <w:keepLines w:val="0"/>
              <w:pageBreakBefore w:val="0"/>
              <w:widowControl/>
              <w:kinsoku/>
              <w:wordWrap/>
              <w:overflowPunct/>
              <w:topLinePunct w:val="0"/>
              <w:autoSpaceDE/>
              <w:autoSpaceDN/>
              <w:bidi w:val="0"/>
              <w:adjustRightInd/>
              <w:snapToGrid/>
              <w:spacing w:beforeAutospacing="0" w:afterAutospacing="0" w:line="200" w:lineRule="atLeast"/>
              <w:ind w:right="0" w:firstLine="0" w:firstLineChars="0"/>
              <w:jc w:val="center"/>
              <w:rPr>
                <w:rFonts w:hint="eastAsia"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0.00</w:t>
            </w:r>
          </w:p>
        </w:tc>
        <w:tc>
          <w:tcPr>
            <w:tcW w:w="2106" w:type="dxa"/>
            <w:gridSpan w:val="2"/>
            <w:tcBorders>
              <w:top w:val="single" w:color="auto" w:sz="4" w:space="0"/>
              <w:left w:val="nil"/>
              <w:bottom w:val="single" w:color="auto" w:sz="4" w:space="0"/>
              <w:right w:val="single" w:color="auto" w:sz="4" w:space="0"/>
            </w:tcBorders>
            <w:shd w:val="clear" w:color="auto" w:fill="auto"/>
            <w:noWrap/>
            <w:vAlign w:val="center"/>
          </w:tcPr>
          <w:p w14:paraId="4D85FB86">
            <w:pPr>
              <w:keepNext w:val="0"/>
              <w:keepLines w:val="0"/>
              <w:pageBreakBefore w:val="0"/>
              <w:widowControl/>
              <w:kinsoku/>
              <w:wordWrap/>
              <w:overflowPunct/>
              <w:topLinePunct w:val="0"/>
              <w:autoSpaceDE/>
              <w:autoSpaceDN/>
              <w:bidi w:val="0"/>
              <w:adjustRightInd/>
              <w:snapToGrid/>
              <w:spacing w:beforeAutospacing="0" w:afterAutospacing="0" w:line="200" w:lineRule="atLeast"/>
              <w:ind w:right="0" w:firstLine="0" w:firstLineChars="0"/>
              <w:jc w:val="center"/>
              <w:rPr>
                <w:rFonts w:hint="eastAsia"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100000.00　</w:t>
            </w:r>
          </w:p>
        </w:tc>
        <w:tc>
          <w:tcPr>
            <w:tcW w:w="1752" w:type="dxa"/>
            <w:gridSpan w:val="2"/>
            <w:tcBorders>
              <w:top w:val="single" w:color="auto" w:sz="4" w:space="0"/>
              <w:left w:val="nil"/>
              <w:bottom w:val="single" w:color="auto" w:sz="4" w:space="0"/>
              <w:right w:val="single" w:color="auto" w:sz="4" w:space="0"/>
            </w:tcBorders>
            <w:shd w:val="clear" w:color="auto" w:fill="auto"/>
            <w:noWrap/>
            <w:vAlign w:val="center"/>
          </w:tcPr>
          <w:p w14:paraId="58645C11">
            <w:pPr>
              <w:keepNext w:val="0"/>
              <w:keepLines w:val="0"/>
              <w:pageBreakBefore w:val="0"/>
              <w:widowControl/>
              <w:kinsoku/>
              <w:wordWrap/>
              <w:overflowPunct/>
              <w:topLinePunct w:val="0"/>
              <w:autoSpaceDE/>
              <w:autoSpaceDN/>
              <w:bidi w:val="0"/>
              <w:adjustRightInd/>
              <w:snapToGrid/>
              <w:spacing w:beforeAutospacing="0" w:afterAutospacing="0" w:line="200" w:lineRule="atLeast"/>
              <w:ind w:right="0" w:firstLine="0" w:firstLineChars="0"/>
              <w:jc w:val="center"/>
              <w:rPr>
                <w:rFonts w:hint="eastAsia"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100000.00　</w:t>
            </w:r>
          </w:p>
        </w:tc>
        <w:tc>
          <w:tcPr>
            <w:tcW w:w="2097" w:type="dxa"/>
            <w:gridSpan w:val="2"/>
            <w:tcBorders>
              <w:top w:val="single" w:color="auto" w:sz="4" w:space="0"/>
              <w:left w:val="nil"/>
              <w:bottom w:val="single" w:color="auto" w:sz="4" w:space="0"/>
              <w:right w:val="single" w:color="auto" w:sz="4" w:space="0"/>
            </w:tcBorders>
            <w:shd w:val="clear" w:color="auto" w:fill="auto"/>
            <w:noWrap/>
            <w:vAlign w:val="center"/>
          </w:tcPr>
          <w:p w14:paraId="18EA40A3">
            <w:pPr>
              <w:keepNext w:val="0"/>
              <w:keepLines w:val="0"/>
              <w:pageBreakBefore w:val="0"/>
              <w:widowControl/>
              <w:kinsoku/>
              <w:wordWrap/>
              <w:overflowPunct/>
              <w:topLinePunct w:val="0"/>
              <w:autoSpaceDE/>
              <w:autoSpaceDN/>
              <w:bidi w:val="0"/>
              <w:adjustRightInd/>
              <w:snapToGrid/>
              <w:spacing w:beforeAutospacing="0" w:afterAutospacing="0" w:line="200" w:lineRule="atLeast"/>
              <w:ind w:right="0" w:firstLine="0" w:firstLineChars="0"/>
              <w:jc w:val="center"/>
              <w:rPr>
                <w:rFonts w:hint="eastAsia"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　</w:t>
            </w:r>
          </w:p>
        </w:tc>
        <w:tc>
          <w:tcPr>
            <w:tcW w:w="596" w:type="dxa"/>
            <w:tcBorders>
              <w:top w:val="nil"/>
              <w:left w:val="nil"/>
              <w:bottom w:val="single" w:color="auto" w:sz="4" w:space="0"/>
              <w:right w:val="single" w:color="auto" w:sz="4" w:space="0"/>
            </w:tcBorders>
            <w:shd w:val="clear" w:color="auto" w:fill="auto"/>
            <w:noWrap/>
            <w:vAlign w:val="center"/>
          </w:tcPr>
          <w:p w14:paraId="6468DBCC">
            <w:pPr>
              <w:keepNext w:val="0"/>
              <w:keepLines w:val="0"/>
              <w:pageBreakBefore w:val="0"/>
              <w:widowControl/>
              <w:kinsoku/>
              <w:wordWrap/>
              <w:overflowPunct/>
              <w:topLinePunct w:val="0"/>
              <w:autoSpaceDE/>
              <w:autoSpaceDN/>
              <w:bidi w:val="0"/>
              <w:adjustRightInd/>
              <w:snapToGrid/>
              <w:spacing w:beforeAutospacing="0" w:afterAutospacing="0" w:line="200" w:lineRule="atLeast"/>
              <w:ind w:right="0" w:firstLine="0" w:firstLineChars="0"/>
              <w:jc w:val="center"/>
              <w:rPr>
                <w:rFonts w:hint="eastAsia"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　</w:t>
            </w:r>
          </w:p>
        </w:tc>
        <w:tc>
          <w:tcPr>
            <w:tcW w:w="992" w:type="dxa"/>
            <w:tcBorders>
              <w:top w:val="nil"/>
              <w:left w:val="nil"/>
              <w:bottom w:val="single" w:color="auto" w:sz="4" w:space="0"/>
              <w:right w:val="single" w:color="auto" w:sz="4" w:space="0"/>
            </w:tcBorders>
            <w:shd w:val="clear" w:color="auto" w:fill="auto"/>
            <w:noWrap/>
            <w:vAlign w:val="center"/>
          </w:tcPr>
          <w:p w14:paraId="5EEACF42">
            <w:pPr>
              <w:keepNext w:val="0"/>
              <w:keepLines w:val="0"/>
              <w:pageBreakBefore w:val="0"/>
              <w:widowControl/>
              <w:kinsoku/>
              <w:wordWrap/>
              <w:overflowPunct/>
              <w:topLinePunct w:val="0"/>
              <w:autoSpaceDE/>
              <w:autoSpaceDN/>
              <w:bidi w:val="0"/>
              <w:adjustRightInd/>
              <w:snapToGrid/>
              <w:spacing w:beforeAutospacing="0" w:afterAutospacing="0" w:line="200" w:lineRule="atLeast"/>
              <w:ind w:right="0" w:firstLine="0" w:firstLineChars="0"/>
              <w:jc w:val="center"/>
              <w:rPr>
                <w:rFonts w:hint="eastAsia"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　</w:t>
            </w:r>
          </w:p>
        </w:tc>
      </w:tr>
      <w:tr w14:paraId="0A199F59">
        <w:tblPrEx>
          <w:tblCellMar>
            <w:top w:w="0" w:type="dxa"/>
            <w:left w:w="108" w:type="dxa"/>
            <w:bottom w:w="0" w:type="dxa"/>
            <w:right w:w="108" w:type="dxa"/>
          </w:tblCellMar>
        </w:tblPrEx>
        <w:trPr>
          <w:trHeight w:val="415" w:hRule="atLeast"/>
          <w:jc w:val="center"/>
        </w:trPr>
        <w:tc>
          <w:tcPr>
            <w:tcW w:w="204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4015A2D">
            <w:pPr>
              <w:keepNext w:val="0"/>
              <w:keepLines w:val="0"/>
              <w:pageBreakBefore w:val="0"/>
              <w:widowControl/>
              <w:kinsoku/>
              <w:wordWrap/>
              <w:overflowPunct/>
              <w:topLinePunct w:val="0"/>
              <w:autoSpaceDE/>
              <w:autoSpaceDN/>
              <w:bidi w:val="0"/>
              <w:adjustRightInd/>
              <w:snapToGrid/>
              <w:spacing w:beforeAutospacing="0" w:afterAutospacing="0" w:line="200" w:lineRule="atLeast"/>
              <w:ind w:right="0" w:firstLine="0" w:firstLineChars="0"/>
              <w:jc w:val="center"/>
              <w:rPr>
                <w:rFonts w:hint="eastAsia" w:ascii="宋体" w:hAnsi="宋体" w:cs="宋体"/>
                <w:color w:val="000000" w:themeColor="text1"/>
                <w:kern w:val="0"/>
                <w:sz w:val="16"/>
                <w:szCs w:val="16"/>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其中：财政拨款</w:t>
            </w:r>
          </w:p>
        </w:tc>
        <w:tc>
          <w:tcPr>
            <w:tcW w:w="1662" w:type="dxa"/>
            <w:gridSpan w:val="2"/>
            <w:tcBorders>
              <w:top w:val="single" w:color="auto" w:sz="4" w:space="0"/>
              <w:left w:val="nil"/>
              <w:bottom w:val="single" w:color="auto" w:sz="4" w:space="0"/>
              <w:right w:val="single" w:color="auto" w:sz="4" w:space="0"/>
            </w:tcBorders>
            <w:shd w:val="clear" w:color="auto" w:fill="auto"/>
            <w:noWrap/>
            <w:vAlign w:val="center"/>
          </w:tcPr>
          <w:p w14:paraId="7C63F0A1">
            <w:pPr>
              <w:keepNext w:val="0"/>
              <w:keepLines w:val="0"/>
              <w:pageBreakBefore w:val="0"/>
              <w:widowControl/>
              <w:kinsoku/>
              <w:wordWrap/>
              <w:overflowPunct/>
              <w:topLinePunct w:val="0"/>
              <w:autoSpaceDE/>
              <w:autoSpaceDN/>
              <w:bidi w:val="0"/>
              <w:adjustRightInd/>
              <w:snapToGrid/>
              <w:spacing w:beforeAutospacing="0" w:afterAutospacing="0" w:line="200" w:lineRule="atLeast"/>
              <w:ind w:right="0" w:firstLine="0" w:firstLineChars="0"/>
              <w:jc w:val="center"/>
              <w:rPr>
                <w:rFonts w:hint="eastAsia"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0.00　</w:t>
            </w:r>
          </w:p>
        </w:tc>
        <w:tc>
          <w:tcPr>
            <w:tcW w:w="2106" w:type="dxa"/>
            <w:gridSpan w:val="2"/>
            <w:tcBorders>
              <w:top w:val="single" w:color="auto" w:sz="4" w:space="0"/>
              <w:left w:val="nil"/>
              <w:bottom w:val="single" w:color="auto" w:sz="4" w:space="0"/>
              <w:right w:val="single" w:color="auto" w:sz="4" w:space="0"/>
            </w:tcBorders>
            <w:shd w:val="clear" w:color="auto" w:fill="auto"/>
            <w:noWrap/>
            <w:vAlign w:val="center"/>
          </w:tcPr>
          <w:p w14:paraId="17E7B15B">
            <w:pPr>
              <w:keepNext w:val="0"/>
              <w:keepLines w:val="0"/>
              <w:pageBreakBefore w:val="0"/>
              <w:widowControl/>
              <w:kinsoku/>
              <w:wordWrap/>
              <w:overflowPunct/>
              <w:topLinePunct w:val="0"/>
              <w:autoSpaceDE/>
              <w:autoSpaceDN/>
              <w:bidi w:val="0"/>
              <w:adjustRightInd/>
              <w:snapToGrid/>
              <w:spacing w:beforeAutospacing="0" w:afterAutospacing="0" w:line="200" w:lineRule="atLeast"/>
              <w:ind w:right="0" w:firstLine="0" w:firstLineChars="0"/>
              <w:jc w:val="center"/>
              <w:rPr>
                <w:rFonts w:hint="eastAsia"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100000.00　</w:t>
            </w:r>
          </w:p>
        </w:tc>
        <w:tc>
          <w:tcPr>
            <w:tcW w:w="1752" w:type="dxa"/>
            <w:gridSpan w:val="2"/>
            <w:tcBorders>
              <w:top w:val="single" w:color="auto" w:sz="4" w:space="0"/>
              <w:left w:val="nil"/>
              <w:bottom w:val="single" w:color="auto" w:sz="4" w:space="0"/>
              <w:right w:val="single" w:color="auto" w:sz="4" w:space="0"/>
            </w:tcBorders>
            <w:shd w:val="clear" w:color="auto" w:fill="auto"/>
            <w:noWrap/>
            <w:vAlign w:val="center"/>
          </w:tcPr>
          <w:p w14:paraId="6BA8BA38">
            <w:pPr>
              <w:keepNext w:val="0"/>
              <w:keepLines w:val="0"/>
              <w:pageBreakBefore w:val="0"/>
              <w:widowControl/>
              <w:kinsoku/>
              <w:wordWrap/>
              <w:overflowPunct/>
              <w:topLinePunct w:val="0"/>
              <w:autoSpaceDE/>
              <w:autoSpaceDN/>
              <w:bidi w:val="0"/>
              <w:adjustRightInd/>
              <w:snapToGrid/>
              <w:spacing w:beforeAutospacing="0" w:afterAutospacing="0" w:line="200" w:lineRule="atLeast"/>
              <w:ind w:right="0" w:firstLine="0" w:firstLineChars="0"/>
              <w:jc w:val="center"/>
              <w:rPr>
                <w:rFonts w:hint="eastAsia"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100000.00　</w:t>
            </w:r>
          </w:p>
        </w:tc>
        <w:tc>
          <w:tcPr>
            <w:tcW w:w="2097" w:type="dxa"/>
            <w:gridSpan w:val="2"/>
            <w:tcBorders>
              <w:top w:val="single" w:color="auto" w:sz="4" w:space="0"/>
              <w:left w:val="nil"/>
              <w:bottom w:val="single" w:color="auto" w:sz="4" w:space="0"/>
              <w:right w:val="single" w:color="auto" w:sz="4" w:space="0"/>
            </w:tcBorders>
            <w:shd w:val="clear" w:color="auto" w:fill="auto"/>
            <w:noWrap/>
            <w:vAlign w:val="center"/>
          </w:tcPr>
          <w:p w14:paraId="2B709FF9">
            <w:pPr>
              <w:keepNext w:val="0"/>
              <w:keepLines w:val="0"/>
              <w:pageBreakBefore w:val="0"/>
              <w:widowControl/>
              <w:kinsoku/>
              <w:wordWrap/>
              <w:overflowPunct/>
              <w:topLinePunct w:val="0"/>
              <w:autoSpaceDE/>
              <w:autoSpaceDN/>
              <w:bidi w:val="0"/>
              <w:adjustRightInd/>
              <w:snapToGrid/>
              <w:spacing w:beforeAutospacing="0" w:afterAutospacing="0" w:line="200" w:lineRule="atLeast"/>
              <w:ind w:right="0" w:firstLine="0" w:firstLineChars="0"/>
              <w:jc w:val="center"/>
              <w:rPr>
                <w:rFonts w:hint="eastAsia"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100.00　</w:t>
            </w:r>
          </w:p>
        </w:tc>
        <w:tc>
          <w:tcPr>
            <w:tcW w:w="596" w:type="dxa"/>
            <w:tcBorders>
              <w:top w:val="nil"/>
              <w:left w:val="nil"/>
              <w:bottom w:val="single" w:color="auto" w:sz="4" w:space="0"/>
              <w:right w:val="single" w:color="auto" w:sz="4" w:space="0"/>
            </w:tcBorders>
            <w:shd w:val="clear" w:color="auto" w:fill="auto"/>
            <w:noWrap/>
            <w:vAlign w:val="center"/>
          </w:tcPr>
          <w:p w14:paraId="47B02C75">
            <w:pPr>
              <w:keepNext w:val="0"/>
              <w:keepLines w:val="0"/>
              <w:pageBreakBefore w:val="0"/>
              <w:widowControl/>
              <w:kinsoku/>
              <w:wordWrap/>
              <w:overflowPunct/>
              <w:topLinePunct w:val="0"/>
              <w:autoSpaceDE/>
              <w:autoSpaceDN/>
              <w:bidi w:val="0"/>
              <w:adjustRightInd/>
              <w:snapToGrid/>
              <w:spacing w:beforeAutospacing="0" w:afterAutospacing="0" w:line="200" w:lineRule="atLeast"/>
              <w:ind w:right="0" w:firstLine="0" w:firstLineChars="0"/>
              <w:jc w:val="center"/>
              <w:rPr>
                <w:rFonts w:hint="eastAsia"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10.00　</w:t>
            </w:r>
          </w:p>
        </w:tc>
        <w:tc>
          <w:tcPr>
            <w:tcW w:w="992" w:type="dxa"/>
            <w:tcBorders>
              <w:top w:val="nil"/>
              <w:left w:val="nil"/>
              <w:bottom w:val="single" w:color="auto" w:sz="4" w:space="0"/>
              <w:right w:val="single" w:color="auto" w:sz="4" w:space="0"/>
            </w:tcBorders>
            <w:shd w:val="clear" w:color="auto" w:fill="auto"/>
            <w:noWrap/>
            <w:vAlign w:val="center"/>
          </w:tcPr>
          <w:p w14:paraId="143ADF85">
            <w:pPr>
              <w:keepNext w:val="0"/>
              <w:keepLines w:val="0"/>
              <w:pageBreakBefore w:val="0"/>
              <w:widowControl/>
              <w:kinsoku/>
              <w:wordWrap/>
              <w:overflowPunct/>
              <w:topLinePunct w:val="0"/>
              <w:autoSpaceDE/>
              <w:autoSpaceDN/>
              <w:bidi w:val="0"/>
              <w:adjustRightInd/>
              <w:snapToGrid/>
              <w:spacing w:beforeAutospacing="0" w:afterAutospacing="0" w:line="200" w:lineRule="atLeast"/>
              <w:ind w:right="0" w:firstLine="0" w:firstLineChars="0"/>
              <w:jc w:val="center"/>
              <w:rPr>
                <w:rFonts w:hint="eastAsia"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10.00　</w:t>
            </w:r>
          </w:p>
        </w:tc>
      </w:tr>
      <w:tr w14:paraId="40055417">
        <w:tblPrEx>
          <w:tblCellMar>
            <w:top w:w="0" w:type="dxa"/>
            <w:left w:w="108" w:type="dxa"/>
            <w:bottom w:w="0" w:type="dxa"/>
            <w:right w:w="108" w:type="dxa"/>
          </w:tblCellMar>
        </w:tblPrEx>
        <w:trPr>
          <w:trHeight w:val="600" w:hRule="atLeast"/>
          <w:jc w:val="center"/>
        </w:trPr>
        <w:tc>
          <w:tcPr>
            <w:tcW w:w="11248" w:type="dxa"/>
            <w:gridSpan w:val="12"/>
            <w:tcBorders>
              <w:top w:val="single" w:color="auto" w:sz="4" w:space="0"/>
              <w:left w:val="single" w:color="auto" w:sz="4" w:space="0"/>
              <w:bottom w:val="single" w:color="auto" w:sz="4" w:space="0"/>
              <w:right w:val="single" w:color="auto" w:sz="4" w:space="0"/>
            </w:tcBorders>
            <w:shd w:val="clear" w:color="auto" w:fill="auto"/>
            <w:noWrap/>
            <w:vAlign w:val="center"/>
          </w:tcPr>
          <w:p w14:paraId="65F4985C">
            <w:pPr>
              <w:keepNext w:val="0"/>
              <w:keepLines w:val="0"/>
              <w:pageBreakBefore w:val="0"/>
              <w:widowControl/>
              <w:kinsoku/>
              <w:wordWrap/>
              <w:overflowPunct/>
              <w:topLinePunct w:val="0"/>
              <w:autoSpaceDE/>
              <w:autoSpaceDN/>
              <w:bidi w:val="0"/>
              <w:adjustRightInd/>
              <w:snapToGrid/>
              <w:spacing w:beforeAutospacing="0" w:afterAutospacing="0" w:line="200" w:lineRule="atLeast"/>
              <w:ind w:right="0" w:firstLine="0" w:firstLineChars="0"/>
              <w:jc w:val="center"/>
              <w:rPr>
                <w:rFonts w:hint="eastAsia" w:ascii="微软雅黑" w:hAnsi="微软雅黑" w:eastAsia="微软雅黑" w:cs="宋体"/>
                <w:b/>
                <w:bCs/>
                <w:color w:val="000000" w:themeColor="text1"/>
                <w:kern w:val="0"/>
                <w:sz w:val="28"/>
                <w:szCs w:val="28"/>
                <w14:textFill>
                  <w14:solidFill>
                    <w14:schemeClr w14:val="tx1"/>
                  </w14:solidFill>
                </w14:textFill>
              </w:rPr>
            </w:pPr>
            <w:r>
              <w:rPr>
                <w:rFonts w:hint="eastAsia" w:ascii="微软雅黑" w:hAnsi="微软雅黑" w:eastAsia="微软雅黑" w:cs="宋体"/>
                <w:b/>
                <w:bCs/>
                <w:color w:val="000000" w:themeColor="text1"/>
                <w:kern w:val="0"/>
                <w:szCs w:val="28"/>
                <w14:textFill>
                  <w14:solidFill>
                    <w14:schemeClr w14:val="tx1"/>
                  </w14:solidFill>
                </w14:textFill>
              </w:rPr>
              <w:t>绩效目标</w:t>
            </w:r>
          </w:p>
        </w:tc>
      </w:tr>
      <w:tr w14:paraId="64BDECA7">
        <w:tblPrEx>
          <w:tblCellMar>
            <w:top w:w="0" w:type="dxa"/>
            <w:left w:w="108" w:type="dxa"/>
            <w:bottom w:w="0" w:type="dxa"/>
            <w:right w:w="108" w:type="dxa"/>
          </w:tblCellMar>
        </w:tblPrEx>
        <w:trPr>
          <w:trHeight w:val="499" w:hRule="atLeast"/>
          <w:jc w:val="center"/>
        </w:trPr>
        <w:tc>
          <w:tcPr>
            <w:tcW w:w="370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BCFD23D">
            <w:pPr>
              <w:keepNext w:val="0"/>
              <w:keepLines w:val="0"/>
              <w:pageBreakBefore w:val="0"/>
              <w:widowControl/>
              <w:kinsoku/>
              <w:wordWrap/>
              <w:overflowPunct/>
              <w:topLinePunct w:val="0"/>
              <w:autoSpaceDE/>
              <w:autoSpaceDN/>
              <w:bidi w:val="0"/>
              <w:adjustRightInd/>
              <w:snapToGrid/>
              <w:spacing w:beforeAutospacing="0" w:afterAutospacing="0" w:line="200" w:lineRule="atLeast"/>
              <w:ind w:right="0" w:firstLine="0" w:firstLineChars="0"/>
              <w:jc w:val="center"/>
              <w:rPr>
                <w:rFonts w:hint="eastAsia" w:ascii="宋体" w:hAnsi="宋体" w:cs="宋体"/>
                <w:b/>
                <w:bCs/>
                <w:color w:val="000000" w:themeColor="text1"/>
                <w:kern w:val="0"/>
                <w:sz w:val="16"/>
                <w:szCs w:val="16"/>
                <w14:textFill>
                  <w14:solidFill>
                    <w14:schemeClr w14:val="tx1"/>
                  </w14:solidFill>
                </w14:textFill>
              </w:rPr>
            </w:pPr>
            <w:r>
              <w:rPr>
                <w:rFonts w:hint="eastAsia" w:ascii="宋体" w:hAnsi="宋体" w:cs="宋体"/>
                <w:b/>
                <w:bCs/>
                <w:color w:val="000000" w:themeColor="text1"/>
                <w:kern w:val="0"/>
                <w:sz w:val="16"/>
                <w:szCs w:val="16"/>
                <w14:textFill>
                  <w14:solidFill>
                    <w14:schemeClr w14:val="tx1"/>
                  </w14:solidFill>
                </w14:textFill>
              </w:rPr>
              <w:t>年初绩效目标</w:t>
            </w:r>
          </w:p>
        </w:tc>
        <w:tc>
          <w:tcPr>
            <w:tcW w:w="3858" w:type="dxa"/>
            <w:gridSpan w:val="4"/>
            <w:tcBorders>
              <w:top w:val="single" w:color="auto" w:sz="4" w:space="0"/>
              <w:left w:val="nil"/>
              <w:bottom w:val="single" w:color="auto" w:sz="4" w:space="0"/>
              <w:right w:val="single" w:color="auto" w:sz="4" w:space="0"/>
            </w:tcBorders>
            <w:shd w:val="clear" w:color="auto" w:fill="auto"/>
            <w:noWrap/>
            <w:vAlign w:val="center"/>
          </w:tcPr>
          <w:p w14:paraId="3A244225">
            <w:pPr>
              <w:keepNext w:val="0"/>
              <w:keepLines w:val="0"/>
              <w:pageBreakBefore w:val="0"/>
              <w:widowControl/>
              <w:kinsoku/>
              <w:wordWrap/>
              <w:overflowPunct/>
              <w:topLinePunct w:val="0"/>
              <w:autoSpaceDE/>
              <w:autoSpaceDN/>
              <w:bidi w:val="0"/>
              <w:adjustRightInd/>
              <w:snapToGrid/>
              <w:spacing w:beforeAutospacing="0" w:afterAutospacing="0" w:line="200" w:lineRule="atLeast"/>
              <w:ind w:right="0" w:firstLine="0" w:firstLineChars="0"/>
              <w:jc w:val="center"/>
              <w:rPr>
                <w:rFonts w:hint="eastAsia" w:ascii="宋体" w:hAnsi="宋体" w:cs="宋体"/>
                <w:b/>
                <w:bCs/>
                <w:color w:val="000000" w:themeColor="text1"/>
                <w:kern w:val="0"/>
                <w:sz w:val="16"/>
                <w:szCs w:val="16"/>
                <w14:textFill>
                  <w14:solidFill>
                    <w14:schemeClr w14:val="tx1"/>
                  </w14:solidFill>
                </w14:textFill>
              </w:rPr>
            </w:pPr>
            <w:r>
              <w:rPr>
                <w:rFonts w:hint="eastAsia" w:ascii="宋体" w:hAnsi="宋体" w:cs="宋体"/>
                <w:b/>
                <w:bCs/>
                <w:color w:val="000000" w:themeColor="text1"/>
                <w:kern w:val="0"/>
                <w:sz w:val="16"/>
                <w:szCs w:val="16"/>
                <w14:textFill>
                  <w14:solidFill>
                    <w14:schemeClr w14:val="tx1"/>
                  </w14:solidFill>
                </w14:textFill>
              </w:rPr>
              <w:t>全年（调整）绩效目标</w:t>
            </w:r>
          </w:p>
        </w:tc>
        <w:tc>
          <w:tcPr>
            <w:tcW w:w="3685" w:type="dxa"/>
            <w:gridSpan w:val="4"/>
            <w:tcBorders>
              <w:top w:val="single" w:color="auto" w:sz="4" w:space="0"/>
              <w:left w:val="nil"/>
              <w:bottom w:val="single" w:color="auto" w:sz="4" w:space="0"/>
              <w:right w:val="single" w:color="auto" w:sz="4" w:space="0"/>
            </w:tcBorders>
            <w:shd w:val="clear" w:color="auto" w:fill="auto"/>
            <w:noWrap/>
            <w:vAlign w:val="center"/>
          </w:tcPr>
          <w:p w14:paraId="57A4CDCB">
            <w:pPr>
              <w:keepNext w:val="0"/>
              <w:keepLines w:val="0"/>
              <w:pageBreakBefore w:val="0"/>
              <w:widowControl/>
              <w:kinsoku/>
              <w:wordWrap/>
              <w:overflowPunct/>
              <w:topLinePunct w:val="0"/>
              <w:autoSpaceDE/>
              <w:autoSpaceDN/>
              <w:bidi w:val="0"/>
              <w:adjustRightInd/>
              <w:snapToGrid/>
              <w:spacing w:beforeAutospacing="0" w:afterAutospacing="0" w:line="200" w:lineRule="atLeast"/>
              <w:ind w:right="0" w:firstLine="0" w:firstLineChars="0"/>
              <w:jc w:val="center"/>
              <w:rPr>
                <w:rFonts w:hint="eastAsia" w:ascii="宋体" w:hAnsi="宋体" w:cs="宋体"/>
                <w:b/>
                <w:bCs/>
                <w:color w:val="000000" w:themeColor="text1"/>
                <w:kern w:val="0"/>
                <w:sz w:val="16"/>
                <w:szCs w:val="16"/>
                <w14:textFill>
                  <w14:solidFill>
                    <w14:schemeClr w14:val="tx1"/>
                  </w14:solidFill>
                </w14:textFill>
              </w:rPr>
            </w:pPr>
            <w:r>
              <w:rPr>
                <w:rFonts w:hint="eastAsia" w:ascii="宋体" w:hAnsi="宋体" w:cs="宋体"/>
                <w:b/>
                <w:bCs/>
                <w:color w:val="000000" w:themeColor="text1"/>
                <w:kern w:val="0"/>
                <w:sz w:val="16"/>
                <w:szCs w:val="16"/>
                <w14:textFill>
                  <w14:solidFill>
                    <w14:schemeClr w14:val="tx1"/>
                  </w14:solidFill>
                </w14:textFill>
              </w:rPr>
              <w:t>全年目标实际完成情况</w:t>
            </w:r>
          </w:p>
        </w:tc>
      </w:tr>
      <w:tr w14:paraId="53A33009">
        <w:tblPrEx>
          <w:tblCellMar>
            <w:top w:w="0" w:type="dxa"/>
            <w:left w:w="108" w:type="dxa"/>
            <w:bottom w:w="0" w:type="dxa"/>
            <w:right w:w="108" w:type="dxa"/>
          </w:tblCellMar>
        </w:tblPrEx>
        <w:trPr>
          <w:trHeight w:val="1602" w:hRule="atLeast"/>
          <w:jc w:val="center"/>
        </w:trPr>
        <w:tc>
          <w:tcPr>
            <w:tcW w:w="3705" w:type="dxa"/>
            <w:gridSpan w:val="4"/>
            <w:tcBorders>
              <w:top w:val="single" w:color="auto" w:sz="4" w:space="0"/>
              <w:left w:val="single" w:color="auto" w:sz="4" w:space="0"/>
              <w:bottom w:val="single" w:color="auto" w:sz="4" w:space="0"/>
              <w:right w:val="single" w:color="auto" w:sz="4" w:space="0"/>
            </w:tcBorders>
            <w:shd w:val="clear" w:color="auto" w:fill="auto"/>
            <w:noWrap w:val="0"/>
            <w:vAlign w:val="top"/>
          </w:tcPr>
          <w:p w14:paraId="60157B57">
            <w:pPr>
              <w:keepNext w:val="0"/>
              <w:keepLines w:val="0"/>
              <w:pageBreakBefore w:val="0"/>
              <w:widowControl/>
              <w:kinsoku/>
              <w:wordWrap/>
              <w:overflowPunct/>
              <w:topLinePunct w:val="0"/>
              <w:autoSpaceDE/>
              <w:autoSpaceDN/>
              <w:bidi w:val="0"/>
              <w:adjustRightInd/>
              <w:snapToGrid/>
              <w:spacing w:beforeAutospacing="0" w:afterAutospacing="0" w:line="200" w:lineRule="atLeast"/>
              <w:ind w:right="0" w:firstLine="0" w:firstLineChars="0"/>
              <w:jc w:val="left"/>
              <w:rPr>
                <w:rFonts w:hint="eastAsia" w:ascii="宋体" w:hAnsi="宋体" w:cs="宋体"/>
                <w:color w:val="000000" w:themeColor="text1"/>
                <w:kern w:val="0"/>
                <w:sz w:val="16"/>
                <w:szCs w:val="16"/>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　</w:t>
            </w:r>
          </w:p>
        </w:tc>
        <w:tc>
          <w:tcPr>
            <w:tcW w:w="3858" w:type="dxa"/>
            <w:gridSpan w:val="4"/>
            <w:tcBorders>
              <w:top w:val="single" w:color="auto" w:sz="4" w:space="0"/>
              <w:left w:val="nil"/>
              <w:bottom w:val="single" w:color="auto" w:sz="4" w:space="0"/>
              <w:right w:val="single" w:color="auto" w:sz="4" w:space="0"/>
            </w:tcBorders>
            <w:shd w:val="clear" w:color="auto" w:fill="auto"/>
            <w:noWrap w:val="0"/>
            <w:vAlign w:val="top"/>
          </w:tcPr>
          <w:p w14:paraId="6774FB23">
            <w:pPr>
              <w:keepNext w:val="0"/>
              <w:keepLines w:val="0"/>
              <w:pageBreakBefore w:val="0"/>
              <w:widowControl/>
              <w:kinsoku/>
              <w:wordWrap/>
              <w:overflowPunct/>
              <w:topLinePunct w:val="0"/>
              <w:autoSpaceDE/>
              <w:autoSpaceDN/>
              <w:bidi w:val="0"/>
              <w:adjustRightInd/>
              <w:snapToGrid/>
              <w:spacing w:beforeAutospacing="0" w:afterAutospacing="0" w:line="200" w:lineRule="atLeast"/>
              <w:ind w:right="0" w:firstLine="0" w:firstLineChars="0"/>
              <w:jc w:val="left"/>
              <w:rPr>
                <w:rFonts w:hint="eastAsia" w:ascii="宋体" w:hAnsi="宋体" w:cs="宋体"/>
                <w:color w:val="000000" w:themeColor="text1"/>
                <w:kern w:val="0"/>
                <w:sz w:val="16"/>
                <w:szCs w:val="16"/>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　1.完成仙女湖镇卢家山村山蹬坡人居环境示范地形图测绘、丰都县农房建图集设计。</w:t>
            </w:r>
          </w:p>
          <w:p w14:paraId="01D17544">
            <w:pPr>
              <w:keepNext w:val="0"/>
              <w:keepLines w:val="0"/>
              <w:pageBreakBefore w:val="0"/>
              <w:widowControl/>
              <w:kinsoku/>
              <w:wordWrap/>
              <w:overflowPunct/>
              <w:topLinePunct w:val="0"/>
              <w:autoSpaceDE/>
              <w:autoSpaceDN/>
              <w:bidi w:val="0"/>
              <w:adjustRightInd/>
              <w:snapToGrid/>
              <w:spacing w:beforeAutospacing="0" w:afterAutospacing="0" w:line="200" w:lineRule="atLeast"/>
              <w:ind w:right="0" w:firstLine="0" w:firstLineChars="0"/>
              <w:jc w:val="left"/>
              <w:rPr>
                <w:rFonts w:hint="eastAsia" w:ascii="宋体" w:hAnsi="宋体" w:cs="宋体"/>
                <w:color w:val="000000" w:themeColor="text1"/>
                <w:kern w:val="0"/>
                <w:sz w:val="16"/>
                <w:szCs w:val="16"/>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2.完成栗子乡金龙寨村陈家岩传统村落地形图测绘、丰都县农房建图集设计。</w:t>
            </w:r>
          </w:p>
        </w:tc>
        <w:tc>
          <w:tcPr>
            <w:tcW w:w="3685" w:type="dxa"/>
            <w:gridSpan w:val="4"/>
            <w:tcBorders>
              <w:top w:val="single" w:color="auto" w:sz="4" w:space="0"/>
              <w:left w:val="nil"/>
              <w:bottom w:val="single" w:color="auto" w:sz="4" w:space="0"/>
              <w:right w:val="single" w:color="auto" w:sz="4" w:space="0"/>
            </w:tcBorders>
            <w:shd w:val="clear" w:color="auto" w:fill="auto"/>
            <w:noWrap w:val="0"/>
            <w:vAlign w:val="top"/>
          </w:tcPr>
          <w:p w14:paraId="2DF3DD6D">
            <w:pPr>
              <w:keepNext w:val="0"/>
              <w:keepLines w:val="0"/>
              <w:pageBreakBefore w:val="0"/>
              <w:widowControl/>
              <w:kinsoku/>
              <w:wordWrap/>
              <w:overflowPunct/>
              <w:topLinePunct w:val="0"/>
              <w:autoSpaceDE/>
              <w:autoSpaceDN/>
              <w:bidi w:val="0"/>
              <w:adjustRightInd/>
              <w:snapToGrid/>
              <w:spacing w:beforeAutospacing="0" w:afterAutospacing="0" w:line="200" w:lineRule="atLeast"/>
              <w:ind w:right="0" w:firstLine="0" w:firstLineChars="0"/>
              <w:jc w:val="left"/>
              <w:rPr>
                <w:rFonts w:hint="eastAsia" w:ascii="宋体" w:hAnsi="宋体" w:cs="宋体"/>
                <w:color w:val="000000" w:themeColor="text1"/>
                <w:kern w:val="0"/>
                <w:sz w:val="16"/>
                <w:szCs w:val="16"/>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　1.完成仙女湖镇卢家山村山蹬坡人居环境示范地形图测绘、丰都县农房建图集设计。</w:t>
            </w:r>
          </w:p>
          <w:p w14:paraId="4C238F93">
            <w:pPr>
              <w:keepNext w:val="0"/>
              <w:keepLines w:val="0"/>
              <w:pageBreakBefore w:val="0"/>
              <w:widowControl/>
              <w:kinsoku/>
              <w:wordWrap/>
              <w:overflowPunct/>
              <w:topLinePunct w:val="0"/>
              <w:autoSpaceDE/>
              <w:autoSpaceDN/>
              <w:bidi w:val="0"/>
              <w:adjustRightInd/>
              <w:snapToGrid/>
              <w:spacing w:beforeAutospacing="0" w:afterAutospacing="0" w:line="200" w:lineRule="atLeast"/>
              <w:ind w:right="0" w:firstLine="0" w:firstLineChars="0"/>
              <w:jc w:val="left"/>
              <w:rPr>
                <w:rFonts w:hint="eastAsia" w:ascii="宋体" w:hAnsi="宋体" w:cs="宋体"/>
                <w:color w:val="000000" w:themeColor="text1"/>
                <w:kern w:val="0"/>
                <w:sz w:val="16"/>
                <w:szCs w:val="16"/>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2.完成栗子乡金龙寨村陈家岩传统村落地形图测绘、丰都县农房建图集设计。</w:t>
            </w:r>
          </w:p>
        </w:tc>
      </w:tr>
      <w:tr w14:paraId="6EC7EDEF">
        <w:tblPrEx>
          <w:tblCellMar>
            <w:top w:w="0" w:type="dxa"/>
            <w:left w:w="108" w:type="dxa"/>
            <w:bottom w:w="0" w:type="dxa"/>
            <w:right w:w="108" w:type="dxa"/>
          </w:tblCellMar>
        </w:tblPrEx>
        <w:trPr>
          <w:trHeight w:val="600" w:hRule="atLeast"/>
          <w:jc w:val="center"/>
        </w:trPr>
        <w:tc>
          <w:tcPr>
            <w:tcW w:w="11248" w:type="dxa"/>
            <w:gridSpan w:val="12"/>
            <w:tcBorders>
              <w:top w:val="single" w:color="auto" w:sz="4" w:space="0"/>
              <w:left w:val="single" w:color="auto" w:sz="4" w:space="0"/>
              <w:bottom w:val="single" w:color="auto" w:sz="4" w:space="0"/>
              <w:right w:val="single" w:color="auto" w:sz="4" w:space="0"/>
            </w:tcBorders>
            <w:shd w:val="clear" w:color="auto" w:fill="auto"/>
            <w:noWrap/>
            <w:vAlign w:val="center"/>
          </w:tcPr>
          <w:p w14:paraId="75A40FB0">
            <w:pPr>
              <w:keepNext w:val="0"/>
              <w:keepLines w:val="0"/>
              <w:pageBreakBefore w:val="0"/>
              <w:widowControl/>
              <w:kinsoku/>
              <w:wordWrap/>
              <w:overflowPunct/>
              <w:topLinePunct w:val="0"/>
              <w:autoSpaceDE/>
              <w:autoSpaceDN/>
              <w:bidi w:val="0"/>
              <w:adjustRightInd/>
              <w:snapToGrid/>
              <w:spacing w:beforeAutospacing="0" w:afterAutospacing="0" w:line="200" w:lineRule="atLeast"/>
              <w:ind w:right="0" w:firstLine="0" w:firstLineChars="0"/>
              <w:jc w:val="center"/>
              <w:rPr>
                <w:rFonts w:hint="eastAsia" w:ascii="微软雅黑" w:hAnsi="微软雅黑" w:eastAsia="微软雅黑" w:cs="宋体"/>
                <w:b/>
                <w:bCs/>
                <w:color w:val="000000" w:themeColor="text1"/>
                <w:kern w:val="0"/>
                <w:sz w:val="28"/>
                <w:szCs w:val="28"/>
                <w14:textFill>
                  <w14:solidFill>
                    <w14:schemeClr w14:val="tx1"/>
                  </w14:solidFill>
                </w14:textFill>
              </w:rPr>
            </w:pPr>
            <w:r>
              <w:rPr>
                <w:rFonts w:hint="eastAsia" w:ascii="微软雅黑" w:hAnsi="微软雅黑" w:eastAsia="微软雅黑" w:cs="宋体"/>
                <w:b/>
                <w:bCs/>
                <w:color w:val="000000" w:themeColor="text1"/>
                <w:kern w:val="0"/>
                <w:szCs w:val="28"/>
                <w14:textFill>
                  <w14:solidFill>
                    <w14:schemeClr w14:val="tx1"/>
                  </w14:solidFill>
                </w14:textFill>
              </w:rPr>
              <w:t>绩效指标</w:t>
            </w:r>
          </w:p>
        </w:tc>
      </w:tr>
      <w:tr w14:paraId="30FD3754">
        <w:tblPrEx>
          <w:tblCellMar>
            <w:top w:w="0" w:type="dxa"/>
            <w:left w:w="108" w:type="dxa"/>
            <w:bottom w:w="0" w:type="dxa"/>
            <w:right w:w="108" w:type="dxa"/>
          </w:tblCellMar>
        </w:tblPrEx>
        <w:trPr>
          <w:trHeight w:val="499" w:hRule="atLeast"/>
          <w:jc w:val="center"/>
        </w:trPr>
        <w:tc>
          <w:tcPr>
            <w:tcW w:w="1427" w:type="dxa"/>
            <w:tcBorders>
              <w:top w:val="nil"/>
              <w:left w:val="single" w:color="auto" w:sz="4" w:space="0"/>
              <w:bottom w:val="single" w:color="auto" w:sz="4" w:space="0"/>
              <w:right w:val="single" w:color="auto" w:sz="4" w:space="0"/>
            </w:tcBorders>
            <w:shd w:val="clear" w:color="auto" w:fill="auto"/>
            <w:noWrap/>
            <w:vAlign w:val="center"/>
          </w:tcPr>
          <w:p w14:paraId="5418D054">
            <w:pPr>
              <w:keepNext w:val="0"/>
              <w:keepLines w:val="0"/>
              <w:pageBreakBefore w:val="0"/>
              <w:widowControl/>
              <w:kinsoku/>
              <w:wordWrap/>
              <w:overflowPunct/>
              <w:topLinePunct w:val="0"/>
              <w:autoSpaceDE/>
              <w:autoSpaceDN/>
              <w:bidi w:val="0"/>
              <w:adjustRightInd/>
              <w:snapToGrid/>
              <w:spacing w:beforeAutospacing="0" w:afterAutospacing="0" w:line="200" w:lineRule="atLeast"/>
              <w:ind w:right="0" w:firstLine="0" w:firstLineChars="0"/>
              <w:jc w:val="center"/>
              <w:rPr>
                <w:rFonts w:ascii="宋体" w:hAnsi="宋体" w:cs="宋体"/>
                <w:b/>
                <w:bCs/>
                <w:color w:val="000000" w:themeColor="text1"/>
                <w:kern w:val="0"/>
                <w:sz w:val="16"/>
                <w14:textFill>
                  <w14:solidFill>
                    <w14:schemeClr w14:val="tx1"/>
                  </w14:solidFill>
                </w14:textFill>
              </w:rPr>
            </w:pPr>
            <w:r>
              <w:rPr>
                <w:rFonts w:hint="eastAsia" w:ascii="宋体" w:hAnsi="宋体" w:cs="宋体"/>
                <w:b/>
                <w:bCs/>
                <w:color w:val="000000" w:themeColor="text1"/>
                <w:kern w:val="0"/>
                <w:sz w:val="16"/>
                <w14:textFill>
                  <w14:solidFill>
                    <w14:schemeClr w14:val="tx1"/>
                  </w14:solidFill>
                </w14:textFill>
              </w:rPr>
              <w:t>指标</w:t>
            </w:r>
          </w:p>
          <w:p w14:paraId="1F8FBAA3">
            <w:pPr>
              <w:keepNext w:val="0"/>
              <w:keepLines w:val="0"/>
              <w:pageBreakBefore w:val="0"/>
              <w:widowControl/>
              <w:kinsoku/>
              <w:wordWrap/>
              <w:overflowPunct/>
              <w:topLinePunct w:val="0"/>
              <w:autoSpaceDE/>
              <w:autoSpaceDN/>
              <w:bidi w:val="0"/>
              <w:adjustRightInd/>
              <w:snapToGrid/>
              <w:spacing w:beforeAutospacing="0" w:afterAutospacing="0" w:line="200" w:lineRule="atLeast"/>
              <w:ind w:right="0" w:firstLine="0" w:firstLineChars="0"/>
              <w:jc w:val="center"/>
              <w:rPr>
                <w:rFonts w:hint="eastAsia" w:ascii="宋体" w:hAnsi="宋体" w:cs="宋体"/>
                <w:b/>
                <w:bCs/>
                <w:color w:val="000000" w:themeColor="text1"/>
                <w:kern w:val="0"/>
                <w:sz w:val="16"/>
                <w14:textFill>
                  <w14:solidFill>
                    <w14:schemeClr w14:val="tx1"/>
                  </w14:solidFill>
                </w14:textFill>
              </w:rPr>
            </w:pPr>
            <w:r>
              <w:rPr>
                <w:rFonts w:hint="eastAsia" w:ascii="宋体" w:hAnsi="宋体" w:cs="宋体"/>
                <w:b/>
                <w:bCs/>
                <w:color w:val="000000" w:themeColor="text1"/>
                <w:kern w:val="0"/>
                <w:sz w:val="16"/>
                <w14:textFill>
                  <w14:solidFill>
                    <w14:schemeClr w14:val="tx1"/>
                  </w14:solidFill>
                </w14:textFill>
              </w:rPr>
              <w:t>名称</w:t>
            </w:r>
          </w:p>
        </w:tc>
        <w:tc>
          <w:tcPr>
            <w:tcW w:w="616" w:type="dxa"/>
            <w:tcBorders>
              <w:top w:val="nil"/>
              <w:left w:val="nil"/>
              <w:bottom w:val="single" w:color="auto" w:sz="4" w:space="0"/>
              <w:right w:val="single" w:color="auto" w:sz="4" w:space="0"/>
            </w:tcBorders>
            <w:shd w:val="clear" w:color="auto" w:fill="auto"/>
            <w:noWrap/>
            <w:vAlign w:val="center"/>
          </w:tcPr>
          <w:p w14:paraId="34689EBA">
            <w:pPr>
              <w:keepNext w:val="0"/>
              <w:keepLines w:val="0"/>
              <w:pageBreakBefore w:val="0"/>
              <w:widowControl/>
              <w:kinsoku/>
              <w:wordWrap/>
              <w:overflowPunct/>
              <w:topLinePunct w:val="0"/>
              <w:autoSpaceDE/>
              <w:autoSpaceDN/>
              <w:bidi w:val="0"/>
              <w:adjustRightInd/>
              <w:snapToGrid/>
              <w:spacing w:beforeAutospacing="0" w:afterAutospacing="0" w:line="200" w:lineRule="atLeast"/>
              <w:ind w:right="0" w:firstLine="0" w:firstLineChars="0"/>
              <w:jc w:val="center"/>
              <w:rPr>
                <w:rFonts w:hint="eastAsia" w:ascii="宋体" w:hAnsi="宋体" w:cs="宋体"/>
                <w:b/>
                <w:bCs/>
                <w:color w:val="000000" w:themeColor="text1"/>
                <w:kern w:val="0"/>
                <w:sz w:val="16"/>
                <w14:textFill>
                  <w14:solidFill>
                    <w14:schemeClr w14:val="tx1"/>
                  </w14:solidFill>
                </w14:textFill>
              </w:rPr>
            </w:pPr>
            <w:r>
              <w:rPr>
                <w:rFonts w:hint="eastAsia" w:ascii="宋体" w:hAnsi="宋体" w:cs="宋体"/>
                <w:b/>
                <w:bCs/>
                <w:color w:val="000000" w:themeColor="text1"/>
                <w:kern w:val="0"/>
                <w:sz w:val="16"/>
                <w14:textFill>
                  <w14:solidFill>
                    <w14:schemeClr w14:val="tx1"/>
                  </w14:solidFill>
                </w14:textFill>
              </w:rPr>
              <w:t>计量单位</w:t>
            </w:r>
          </w:p>
        </w:tc>
        <w:tc>
          <w:tcPr>
            <w:tcW w:w="670" w:type="dxa"/>
            <w:tcBorders>
              <w:top w:val="nil"/>
              <w:left w:val="nil"/>
              <w:bottom w:val="single" w:color="auto" w:sz="4" w:space="0"/>
              <w:right w:val="single" w:color="auto" w:sz="4" w:space="0"/>
            </w:tcBorders>
            <w:shd w:val="clear" w:color="auto" w:fill="auto"/>
            <w:noWrap/>
            <w:vAlign w:val="center"/>
          </w:tcPr>
          <w:p w14:paraId="0B48C3B5">
            <w:pPr>
              <w:keepNext w:val="0"/>
              <w:keepLines w:val="0"/>
              <w:pageBreakBefore w:val="0"/>
              <w:widowControl/>
              <w:kinsoku/>
              <w:wordWrap/>
              <w:overflowPunct/>
              <w:topLinePunct w:val="0"/>
              <w:autoSpaceDE/>
              <w:autoSpaceDN/>
              <w:bidi w:val="0"/>
              <w:adjustRightInd/>
              <w:snapToGrid/>
              <w:spacing w:beforeAutospacing="0" w:afterAutospacing="0" w:line="200" w:lineRule="atLeast"/>
              <w:ind w:right="0" w:firstLine="0" w:firstLineChars="0"/>
              <w:jc w:val="center"/>
              <w:rPr>
                <w:rFonts w:ascii="宋体" w:hAnsi="宋体" w:cs="宋体"/>
                <w:b/>
                <w:bCs/>
                <w:color w:val="000000" w:themeColor="text1"/>
                <w:kern w:val="0"/>
                <w:sz w:val="16"/>
                <w14:textFill>
                  <w14:solidFill>
                    <w14:schemeClr w14:val="tx1"/>
                  </w14:solidFill>
                </w14:textFill>
              </w:rPr>
            </w:pPr>
            <w:r>
              <w:rPr>
                <w:rFonts w:hint="eastAsia" w:ascii="宋体" w:hAnsi="宋体" w:cs="宋体"/>
                <w:b/>
                <w:bCs/>
                <w:color w:val="000000" w:themeColor="text1"/>
                <w:kern w:val="0"/>
                <w:sz w:val="16"/>
                <w14:textFill>
                  <w14:solidFill>
                    <w14:schemeClr w14:val="tx1"/>
                  </w14:solidFill>
                </w14:textFill>
              </w:rPr>
              <w:t>指标</w:t>
            </w:r>
          </w:p>
          <w:p w14:paraId="63237C0F">
            <w:pPr>
              <w:keepNext w:val="0"/>
              <w:keepLines w:val="0"/>
              <w:pageBreakBefore w:val="0"/>
              <w:widowControl/>
              <w:kinsoku/>
              <w:wordWrap/>
              <w:overflowPunct/>
              <w:topLinePunct w:val="0"/>
              <w:autoSpaceDE/>
              <w:autoSpaceDN/>
              <w:bidi w:val="0"/>
              <w:adjustRightInd/>
              <w:snapToGrid/>
              <w:spacing w:beforeAutospacing="0" w:afterAutospacing="0" w:line="200" w:lineRule="atLeast"/>
              <w:ind w:right="0" w:firstLine="0" w:firstLineChars="0"/>
              <w:jc w:val="center"/>
              <w:rPr>
                <w:rFonts w:hint="eastAsia" w:ascii="宋体" w:hAnsi="宋体" w:cs="宋体"/>
                <w:b/>
                <w:bCs/>
                <w:color w:val="000000" w:themeColor="text1"/>
                <w:kern w:val="0"/>
                <w:sz w:val="16"/>
                <w14:textFill>
                  <w14:solidFill>
                    <w14:schemeClr w14:val="tx1"/>
                  </w14:solidFill>
                </w14:textFill>
              </w:rPr>
            </w:pPr>
            <w:r>
              <w:rPr>
                <w:rFonts w:hint="eastAsia" w:ascii="宋体" w:hAnsi="宋体" w:cs="宋体"/>
                <w:b/>
                <w:bCs/>
                <w:color w:val="000000" w:themeColor="text1"/>
                <w:kern w:val="0"/>
                <w:sz w:val="16"/>
                <w14:textFill>
                  <w14:solidFill>
                    <w14:schemeClr w14:val="tx1"/>
                  </w14:solidFill>
                </w14:textFill>
              </w:rPr>
              <w:t>性质</w:t>
            </w:r>
          </w:p>
        </w:tc>
        <w:tc>
          <w:tcPr>
            <w:tcW w:w="992" w:type="dxa"/>
            <w:tcBorders>
              <w:top w:val="nil"/>
              <w:left w:val="nil"/>
              <w:bottom w:val="single" w:color="auto" w:sz="4" w:space="0"/>
              <w:right w:val="single" w:color="auto" w:sz="4" w:space="0"/>
            </w:tcBorders>
            <w:shd w:val="clear" w:color="auto" w:fill="auto"/>
            <w:noWrap/>
            <w:vAlign w:val="center"/>
          </w:tcPr>
          <w:p w14:paraId="4ECD881F">
            <w:pPr>
              <w:keepNext w:val="0"/>
              <w:keepLines w:val="0"/>
              <w:pageBreakBefore w:val="0"/>
              <w:widowControl/>
              <w:kinsoku/>
              <w:wordWrap/>
              <w:overflowPunct/>
              <w:topLinePunct w:val="0"/>
              <w:autoSpaceDE/>
              <w:autoSpaceDN/>
              <w:bidi w:val="0"/>
              <w:adjustRightInd/>
              <w:snapToGrid/>
              <w:spacing w:beforeAutospacing="0" w:afterAutospacing="0" w:line="200" w:lineRule="atLeast"/>
              <w:ind w:right="0" w:firstLine="0" w:firstLineChars="0"/>
              <w:jc w:val="center"/>
              <w:rPr>
                <w:rFonts w:hint="eastAsia" w:ascii="宋体" w:hAnsi="宋体" w:cs="宋体"/>
                <w:b/>
                <w:bCs/>
                <w:color w:val="000000" w:themeColor="text1"/>
                <w:kern w:val="0"/>
                <w:sz w:val="16"/>
                <w14:textFill>
                  <w14:solidFill>
                    <w14:schemeClr w14:val="tx1"/>
                  </w14:solidFill>
                </w14:textFill>
              </w:rPr>
            </w:pPr>
            <w:r>
              <w:rPr>
                <w:rFonts w:hint="eastAsia" w:ascii="宋体" w:hAnsi="宋体" w:cs="宋体"/>
                <w:b/>
                <w:bCs/>
                <w:color w:val="000000" w:themeColor="text1"/>
                <w:kern w:val="0"/>
                <w:sz w:val="16"/>
                <w14:textFill>
                  <w14:solidFill>
                    <w14:schemeClr w14:val="tx1"/>
                  </w14:solidFill>
                </w14:textFill>
              </w:rPr>
              <w:t>指标值</w:t>
            </w:r>
          </w:p>
        </w:tc>
        <w:tc>
          <w:tcPr>
            <w:tcW w:w="1149" w:type="dxa"/>
            <w:tcBorders>
              <w:top w:val="nil"/>
              <w:left w:val="nil"/>
              <w:bottom w:val="single" w:color="auto" w:sz="4" w:space="0"/>
              <w:right w:val="single" w:color="auto" w:sz="4" w:space="0"/>
            </w:tcBorders>
            <w:shd w:val="clear" w:color="auto" w:fill="auto"/>
            <w:noWrap/>
            <w:vAlign w:val="center"/>
          </w:tcPr>
          <w:p w14:paraId="14F961E7">
            <w:pPr>
              <w:keepNext w:val="0"/>
              <w:keepLines w:val="0"/>
              <w:pageBreakBefore w:val="0"/>
              <w:widowControl/>
              <w:kinsoku/>
              <w:wordWrap/>
              <w:overflowPunct/>
              <w:topLinePunct w:val="0"/>
              <w:autoSpaceDE/>
              <w:autoSpaceDN/>
              <w:bidi w:val="0"/>
              <w:adjustRightInd/>
              <w:snapToGrid/>
              <w:spacing w:beforeAutospacing="0" w:afterAutospacing="0" w:line="200" w:lineRule="atLeast"/>
              <w:ind w:right="0" w:firstLine="0" w:firstLineChars="0"/>
              <w:jc w:val="center"/>
              <w:rPr>
                <w:rFonts w:hint="eastAsia" w:ascii="宋体" w:hAnsi="宋体" w:cs="宋体"/>
                <w:b/>
                <w:bCs/>
                <w:color w:val="000000" w:themeColor="text1"/>
                <w:kern w:val="0"/>
                <w:sz w:val="16"/>
                <w14:textFill>
                  <w14:solidFill>
                    <w14:schemeClr w14:val="tx1"/>
                  </w14:solidFill>
                </w14:textFill>
              </w:rPr>
            </w:pPr>
            <w:r>
              <w:rPr>
                <w:rFonts w:hint="eastAsia" w:ascii="宋体" w:hAnsi="宋体" w:cs="宋体"/>
                <w:b/>
                <w:bCs/>
                <w:color w:val="000000" w:themeColor="text1"/>
                <w:kern w:val="0"/>
                <w:sz w:val="16"/>
                <w14:textFill>
                  <w14:solidFill>
                    <w14:schemeClr w14:val="tx1"/>
                  </w14:solidFill>
                </w14:textFill>
              </w:rPr>
              <w:t>全年完成值</w:t>
            </w:r>
          </w:p>
        </w:tc>
        <w:tc>
          <w:tcPr>
            <w:tcW w:w="957" w:type="dxa"/>
            <w:tcBorders>
              <w:top w:val="nil"/>
              <w:left w:val="nil"/>
              <w:bottom w:val="single" w:color="auto" w:sz="4" w:space="0"/>
              <w:right w:val="single" w:color="auto" w:sz="4" w:space="0"/>
            </w:tcBorders>
            <w:shd w:val="clear" w:color="auto" w:fill="auto"/>
            <w:noWrap/>
            <w:vAlign w:val="center"/>
          </w:tcPr>
          <w:p w14:paraId="6155A6FF">
            <w:pPr>
              <w:keepNext w:val="0"/>
              <w:keepLines w:val="0"/>
              <w:pageBreakBefore w:val="0"/>
              <w:widowControl/>
              <w:kinsoku/>
              <w:wordWrap/>
              <w:overflowPunct/>
              <w:topLinePunct w:val="0"/>
              <w:autoSpaceDE/>
              <w:autoSpaceDN/>
              <w:bidi w:val="0"/>
              <w:adjustRightInd/>
              <w:snapToGrid/>
              <w:spacing w:beforeAutospacing="0" w:afterAutospacing="0" w:line="200" w:lineRule="atLeast"/>
              <w:ind w:right="0" w:firstLine="0" w:firstLineChars="0"/>
              <w:jc w:val="center"/>
              <w:rPr>
                <w:rFonts w:hint="eastAsia" w:ascii="宋体" w:hAnsi="宋体" w:cs="宋体"/>
                <w:b/>
                <w:bCs/>
                <w:color w:val="000000" w:themeColor="text1"/>
                <w:kern w:val="0"/>
                <w:sz w:val="16"/>
                <w14:textFill>
                  <w14:solidFill>
                    <w14:schemeClr w14:val="tx1"/>
                  </w14:solidFill>
                </w14:textFill>
              </w:rPr>
            </w:pPr>
            <w:r>
              <w:rPr>
                <w:rFonts w:hint="eastAsia" w:ascii="宋体" w:hAnsi="宋体" w:cs="宋体"/>
                <w:b/>
                <w:bCs/>
                <w:color w:val="000000" w:themeColor="text1"/>
                <w:kern w:val="0"/>
                <w:sz w:val="16"/>
                <w14:textFill>
                  <w14:solidFill>
                    <w14:schemeClr w14:val="tx1"/>
                  </w14:solidFill>
                </w14:textFill>
              </w:rPr>
              <w:t>偏离度（%）</w:t>
            </w:r>
          </w:p>
        </w:tc>
        <w:tc>
          <w:tcPr>
            <w:tcW w:w="1043" w:type="dxa"/>
            <w:tcBorders>
              <w:top w:val="nil"/>
              <w:left w:val="nil"/>
              <w:bottom w:val="single" w:color="auto" w:sz="4" w:space="0"/>
              <w:right w:val="single" w:color="auto" w:sz="4" w:space="0"/>
            </w:tcBorders>
            <w:shd w:val="clear" w:color="auto" w:fill="auto"/>
            <w:noWrap/>
            <w:vAlign w:val="center"/>
          </w:tcPr>
          <w:p w14:paraId="5338DE60">
            <w:pPr>
              <w:keepNext w:val="0"/>
              <w:keepLines w:val="0"/>
              <w:pageBreakBefore w:val="0"/>
              <w:widowControl/>
              <w:kinsoku/>
              <w:wordWrap/>
              <w:overflowPunct/>
              <w:topLinePunct w:val="0"/>
              <w:autoSpaceDE/>
              <w:autoSpaceDN/>
              <w:bidi w:val="0"/>
              <w:adjustRightInd/>
              <w:snapToGrid/>
              <w:spacing w:beforeAutospacing="0" w:afterAutospacing="0" w:line="200" w:lineRule="atLeast"/>
              <w:ind w:right="0" w:firstLine="0" w:firstLineChars="0"/>
              <w:jc w:val="center"/>
              <w:rPr>
                <w:rFonts w:hint="eastAsia" w:ascii="宋体" w:hAnsi="宋体" w:cs="宋体"/>
                <w:b/>
                <w:bCs/>
                <w:color w:val="000000" w:themeColor="text1"/>
                <w:kern w:val="0"/>
                <w:sz w:val="16"/>
                <w14:textFill>
                  <w14:solidFill>
                    <w14:schemeClr w14:val="tx1"/>
                  </w14:solidFill>
                </w14:textFill>
              </w:rPr>
            </w:pPr>
            <w:r>
              <w:rPr>
                <w:rFonts w:hint="eastAsia" w:ascii="宋体" w:hAnsi="宋体" w:cs="宋体"/>
                <w:b/>
                <w:bCs/>
                <w:color w:val="000000" w:themeColor="text1"/>
                <w:kern w:val="0"/>
                <w:sz w:val="16"/>
                <w14:textFill>
                  <w14:solidFill>
                    <w14:schemeClr w14:val="tx1"/>
                  </w14:solidFill>
                </w14:textFill>
              </w:rPr>
              <w:t>得分系数（%）</w:t>
            </w:r>
          </w:p>
        </w:tc>
        <w:tc>
          <w:tcPr>
            <w:tcW w:w="709" w:type="dxa"/>
            <w:tcBorders>
              <w:top w:val="nil"/>
              <w:left w:val="nil"/>
              <w:bottom w:val="single" w:color="auto" w:sz="4" w:space="0"/>
              <w:right w:val="single" w:color="auto" w:sz="4" w:space="0"/>
            </w:tcBorders>
            <w:shd w:val="clear" w:color="auto" w:fill="auto"/>
            <w:noWrap/>
            <w:vAlign w:val="center"/>
          </w:tcPr>
          <w:p w14:paraId="586A763C">
            <w:pPr>
              <w:keepNext w:val="0"/>
              <w:keepLines w:val="0"/>
              <w:pageBreakBefore w:val="0"/>
              <w:widowControl/>
              <w:kinsoku/>
              <w:wordWrap/>
              <w:overflowPunct/>
              <w:topLinePunct w:val="0"/>
              <w:autoSpaceDE/>
              <w:autoSpaceDN/>
              <w:bidi w:val="0"/>
              <w:adjustRightInd/>
              <w:snapToGrid/>
              <w:spacing w:beforeAutospacing="0" w:afterAutospacing="0" w:line="200" w:lineRule="atLeast"/>
              <w:ind w:right="0" w:firstLine="0" w:firstLineChars="0"/>
              <w:jc w:val="center"/>
              <w:rPr>
                <w:rFonts w:ascii="宋体" w:hAnsi="宋体" w:cs="宋体"/>
                <w:b/>
                <w:bCs/>
                <w:color w:val="000000" w:themeColor="text1"/>
                <w:kern w:val="0"/>
                <w:sz w:val="16"/>
                <w14:textFill>
                  <w14:solidFill>
                    <w14:schemeClr w14:val="tx1"/>
                  </w14:solidFill>
                </w14:textFill>
              </w:rPr>
            </w:pPr>
            <w:r>
              <w:rPr>
                <w:rFonts w:hint="eastAsia" w:ascii="宋体" w:hAnsi="宋体" w:cs="宋体"/>
                <w:b/>
                <w:bCs/>
                <w:color w:val="000000" w:themeColor="text1"/>
                <w:kern w:val="0"/>
                <w:sz w:val="16"/>
                <w14:textFill>
                  <w14:solidFill>
                    <w14:schemeClr w14:val="tx1"/>
                  </w14:solidFill>
                </w14:textFill>
              </w:rPr>
              <w:t>指标</w:t>
            </w:r>
          </w:p>
          <w:p w14:paraId="291D26FE">
            <w:pPr>
              <w:keepNext w:val="0"/>
              <w:keepLines w:val="0"/>
              <w:pageBreakBefore w:val="0"/>
              <w:widowControl/>
              <w:kinsoku/>
              <w:wordWrap/>
              <w:overflowPunct/>
              <w:topLinePunct w:val="0"/>
              <w:autoSpaceDE/>
              <w:autoSpaceDN/>
              <w:bidi w:val="0"/>
              <w:adjustRightInd/>
              <w:snapToGrid/>
              <w:spacing w:beforeAutospacing="0" w:afterAutospacing="0" w:line="200" w:lineRule="atLeast"/>
              <w:ind w:right="0" w:firstLine="0" w:firstLineChars="0"/>
              <w:jc w:val="center"/>
              <w:rPr>
                <w:rFonts w:hint="eastAsia" w:ascii="宋体" w:hAnsi="宋体" w:cs="宋体"/>
                <w:b/>
                <w:bCs/>
                <w:color w:val="000000" w:themeColor="text1"/>
                <w:kern w:val="0"/>
                <w:sz w:val="16"/>
                <w14:textFill>
                  <w14:solidFill>
                    <w14:schemeClr w14:val="tx1"/>
                  </w14:solidFill>
                </w14:textFill>
              </w:rPr>
            </w:pPr>
            <w:r>
              <w:rPr>
                <w:rFonts w:hint="eastAsia" w:ascii="宋体" w:hAnsi="宋体" w:cs="宋体"/>
                <w:b/>
                <w:bCs/>
                <w:color w:val="000000" w:themeColor="text1"/>
                <w:kern w:val="0"/>
                <w:sz w:val="16"/>
                <w14:textFill>
                  <w14:solidFill>
                    <w14:schemeClr w14:val="tx1"/>
                  </w14:solidFill>
                </w14:textFill>
              </w:rPr>
              <w:t>权重</w:t>
            </w:r>
          </w:p>
        </w:tc>
        <w:tc>
          <w:tcPr>
            <w:tcW w:w="799" w:type="dxa"/>
            <w:tcBorders>
              <w:top w:val="nil"/>
              <w:left w:val="nil"/>
              <w:bottom w:val="single" w:color="auto" w:sz="4" w:space="0"/>
              <w:right w:val="single" w:color="auto" w:sz="4" w:space="0"/>
            </w:tcBorders>
            <w:shd w:val="clear" w:color="auto" w:fill="auto"/>
            <w:noWrap/>
            <w:vAlign w:val="center"/>
          </w:tcPr>
          <w:p w14:paraId="25FB5AFE">
            <w:pPr>
              <w:keepNext w:val="0"/>
              <w:keepLines w:val="0"/>
              <w:pageBreakBefore w:val="0"/>
              <w:widowControl/>
              <w:kinsoku/>
              <w:wordWrap/>
              <w:overflowPunct/>
              <w:topLinePunct w:val="0"/>
              <w:autoSpaceDE/>
              <w:autoSpaceDN/>
              <w:bidi w:val="0"/>
              <w:adjustRightInd/>
              <w:snapToGrid/>
              <w:spacing w:beforeAutospacing="0" w:afterAutospacing="0" w:line="200" w:lineRule="atLeast"/>
              <w:ind w:right="0" w:firstLine="0" w:firstLineChars="0"/>
              <w:jc w:val="center"/>
              <w:rPr>
                <w:rFonts w:ascii="宋体" w:hAnsi="宋体" w:cs="宋体"/>
                <w:b/>
                <w:bCs/>
                <w:color w:val="000000" w:themeColor="text1"/>
                <w:kern w:val="0"/>
                <w:sz w:val="16"/>
                <w14:textFill>
                  <w14:solidFill>
                    <w14:schemeClr w14:val="tx1"/>
                  </w14:solidFill>
                </w14:textFill>
              </w:rPr>
            </w:pPr>
            <w:r>
              <w:rPr>
                <w:rFonts w:hint="eastAsia" w:ascii="宋体" w:hAnsi="宋体" w:cs="宋体"/>
                <w:b/>
                <w:bCs/>
                <w:color w:val="000000" w:themeColor="text1"/>
                <w:kern w:val="0"/>
                <w:sz w:val="16"/>
                <w14:textFill>
                  <w14:solidFill>
                    <w14:schemeClr w14:val="tx1"/>
                  </w14:solidFill>
                </w14:textFill>
              </w:rPr>
              <w:t>指标</w:t>
            </w:r>
          </w:p>
          <w:p w14:paraId="2C559963">
            <w:pPr>
              <w:keepNext w:val="0"/>
              <w:keepLines w:val="0"/>
              <w:pageBreakBefore w:val="0"/>
              <w:widowControl/>
              <w:kinsoku/>
              <w:wordWrap/>
              <w:overflowPunct/>
              <w:topLinePunct w:val="0"/>
              <w:autoSpaceDE/>
              <w:autoSpaceDN/>
              <w:bidi w:val="0"/>
              <w:adjustRightInd/>
              <w:snapToGrid/>
              <w:spacing w:beforeAutospacing="0" w:afterAutospacing="0" w:line="200" w:lineRule="atLeast"/>
              <w:ind w:right="0" w:firstLine="0" w:firstLineChars="0"/>
              <w:jc w:val="center"/>
              <w:rPr>
                <w:rFonts w:hint="eastAsia" w:ascii="宋体" w:hAnsi="宋体" w:cs="宋体"/>
                <w:b/>
                <w:bCs/>
                <w:color w:val="000000" w:themeColor="text1"/>
                <w:kern w:val="0"/>
                <w:sz w:val="16"/>
                <w14:textFill>
                  <w14:solidFill>
                    <w14:schemeClr w14:val="tx1"/>
                  </w14:solidFill>
                </w14:textFill>
              </w:rPr>
            </w:pPr>
            <w:r>
              <w:rPr>
                <w:rFonts w:hint="eastAsia" w:ascii="宋体" w:hAnsi="宋体" w:cs="宋体"/>
                <w:b/>
                <w:bCs/>
                <w:color w:val="000000" w:themeColor="text1"/>
                <w:kern w:val="0"/>
                <w:sz w:val="16"/>
                <w14:textFill>
                  <w14:solidFill>
                    <w14:schemeClr w14:val="tx1"/>
                  </w14:solidFill>
                </w14:textFill>
              </w:rPr>
              <w:t>得分</w:t>
            </w:r>
          </w:p>
        </w:tc>
        <w:tc>
          <w:tcPr>
            <w:tcW w:w="1298" w:type="dxa"/>
            <w:tcBorders>
              <w:top w:val="nil"/>
              <w:left w:val="nil"/>
              <w:bottom w:val="single" w:color="auto" w:sz="4" w:space="0"/>
              <w:right w:val="single" w:color="auto" w:sz="4" w:space="0"/>
            </w:tcBorders>
            <w:shd w:val="clear" w:color="auto" w:fill="auto"/>
            <w:noWrap/>
            <w:vAlign w:val="center"/>
          </w:tcPr>
          <w:p w14:paraId="72663D1A">
            <w:pPr>
              <w:keepNext w:val="0"/>
              <w:keepLines w:val="0"/>
              <w:pageBreakBefore w:val="0"/>
              <w:widowControl/>
              <w:kinsoku/>
              <w:wordWrap/>
              <w:overflowPunct/>
              <w:topLinePunct w:val="0"/>
              <w:autoSpaceDE/>
              <w:autoSpaceDN/>
              <w:bidi w:val="0"/>
              <w:adjustRightInd/>
              <w:snapToGrid/>
              <w:spacing w:beforeAutospacing="0" w:afterAutospacing="0" w:line="200" w:lineRule="atLeast"/>
              <w:ind w:right="0" w:firstLine="0" w:firstLineChars="0"/>
              <w:jc w:val="center"/>
              <w:rPr>
                <w:rFonts w:hint="eastAsia" w:ascii="宋体" w:hAnsi="宋体" w:cs="宋体"/>
                <w:b/>
                <w:bCs/>
                <w:color w:val="000000" w:themeColor="text1"/>
                <w:kern w:val="0"/>
                <w:sz w:val="16"/>
                <w14:textFill>
                  <w14:solidFill>
                    <w14:schemeClr w14:val="tx1"/>
                  </w14:solidFill>
                </w14:textFill>
              </w:rPr>
            </w:pPr>
            <w:r>
              <w:rPr>
                <w:rFonts w:hint="eastAsia" w:ascii="宋体" w:hAnsi="宋体" w:cs="宋体"/>
                <w:b/>
                <w:bCs/>
                <w:color w:val="000000" w:themeColor="text1"/>
                <w:kern w:val="0"/>
                <w:sz w:val="16"/>
                <w14:textFill>
                  <w14:solidFill>
                    <w14:schemeClr w14:val="tx1"/>
                  </w14:solidFill>
                </w14:textFill>
              </w:rPr>
              <w:t>是否核心指标</w:t>
            </w:r>
          </w:p>
        </w:tc>
        <w:tc>
          <w:tcPr>
            <w:tcW w:w="1588" w:type="dxa"/>
            <w:gridSpan w:val="2"/>
            <w:tcBorders>
              <w:top w:val="single" w:color="auto" w:sz="4" w:space="0"/>
              <w:left w:val="nil"/>
              <w:bottom w:val="single" w:color="auto" w:sz="4" w:space="0"/>
              <w:right w:val="single" w:color="000000" w:sz="4" w:space="0"/>
            </w:tcBorders>
            <w:shd w:val="clear" w:color="auto" w:fill="auto"/>
            <w:noWrap/>
            <w:vAlign w:val="center"/>
          </w:tcPr>
          <w:p w14:paraId="468BD635">
            <w:pPr>
              <w:keepNext w:val="0"/>
              <w:keepLines w:val="0"/>
              <w:pageBreakBefore w:val="0"/>
              <w:widowControl/>
              <w:kinsoku/>
              <w:wordWrap/>
              <w:overflowPunct/>
              <w:topLinePunct w:val="0"/>
              <w:autoSpaceDE/>
              <w:autoSpaceDN/>
              <w:bidi w:val="0"/>
              <w:adjustRightInd/>
              <w:snapToGrid/>
              <w:spacing w:beforeAutospacing="0" w:afterAutospacing="0" w:line="200" w:lineRule="atLeast"/>
              <w:ind w:right="0" w:firstLine="0" w:firstLineChars="0"/>
              <w:jc w:val="center"/>
              <w:rPr>
                <w:rFonts w:hint="eastAsia" w:ascii="宋体" w:hAnsi="宋体" w:cs="宋体"/>
                <w:b/>
                <w:bCs/>
                <w:color w:val="000000" w:themeColor="text1"/>
                <w:kern w:val="0"/>
                <w:sz w:val="16"/>
                <w14:textFill>
                  <w14:solidFill>
                    <w14:schemeClr w14:val="tx1"/>
                  </w14:solidFill>
                </w14:textFill>
              </w:rPr>
            </w:pPr>
            <w:r>
              <w:rPr>
                <w:rFonts w:hint="eastAsia" w:ascii="宋体" w:hAnsi="宋体" w:cs="宋体"/>
                <w:b/>
                <w:bCs/>
                <w:color w:val="000000" w:themeColor="text1"/>
                <w:kern w:val="0"/>
                <w:sz w:val="16"/>
                <w14:textFill>
                  <w14:solidFill>
                    <w14:schemeClr w14:val="tx1"/>
                  </w14:solidFill>
                </w14:textFill>
              </w:rPr>
              <w:t>说明</w:t>
            </w:r>
          </w:p>
        </w:tc>
      </w:tr>
      <w:tr w14:paraId="40A0D5E4">
        <w:tblPrEx>
          <w:tblCellMar>
            <w:top w:w="0" w:type="dxa"/>
            <w:left w:w="108" w:type="dxa"/>
            <w:bottom w:w="0" w:type="dxa"/>
            <w:right w:w="108" w:type="dxa"/>
          </w:tblCellMar>
        </w:tblPrEx>
        <w:trPr>
          <w:trHeight w:val="499" w:hRule="atLeast"/>
          <w:jc w:val="center"/>
        </w:trPr>
        <w:tc>
          <w:tcPr>
            <w:tcW w:w="1427" w:type="dxa"/>
            <w:tcBorders>
              <w:top w:val="nil"/>
              <w:left w:val="single" w:color="auto" w:sz="4" w:space="0"/>
              <w:bottom w:val="single" w:color="auto" w:sz="4" w:space="0"/>
              <w:right w:val="single" w:color="auto" w:sz="4" w:space="0"/>
            </w:tcBorders>
            <w:shd w:val="clear" w:color="auto" w:fill="auto"/>
            <w:noWrap/>
            <w:vAlign w:val="center"/>
          </w:tcPr>
          <w:p w14:paraId="1A9F6B8F">
            <w:pPr>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ind w:right="0" w:firstLine="0" w:firstLineChars="0"/>
              <w:jc w:val="center"/>
              <w:textAlignment w:val="center"/>
              <w:rPr>
                <w:rFonts w:hint="eastAsia" w:ascii="宋体" w:hAnsi="宋体" w:eastAsia="宋体" w:cs="宋体"/>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丰都县农房建图设计</w:t>
            </w:r>
          </w:p>
        </w:tc>
        <w:tc>
          <w:tcPr>
            <w:tcW w:w="616" w:type="dxa"/>
            <w:tcBorders>
              <w:top w:val="nil"/>
              <w:left w:val="nil"/>
              <w:bottom w:val="single" w:color="auto" w:sz="4" w:space="0"/>
              <w:right w:val="single" w:color="auto" w:sz="4" w:space="0"/>
            </w:tcBorders>
            <w:shd w:val="clear" w:color="auto" w:fill="auto"/>
            <w:noWrap/>
            <w:vAlign w:val="center"/>
          </w:tcPr>
          <w:p w14:paraId="45F6CFF9">
            <w:pPr>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ind w:right="0" w:firstLine="0" w:firstLineChars="0"/>
              <w:jc w:val="center"/>
              <w:textAlignment w:val="center"/>
              <w:rPr>
                <w:rFonts w:hint="eastAsia"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套</w:t>
            </w:r>
          </w:p>
        </w:tc>
        <w:tc>
          <w:tcPr>
            <w:tcW w:w="670" w:type="dxa"/>
            <w:tcBorders>
              <w:top w:val="nil"/>
              <w:left w:val="nil"/>
              <w:bottom w:val="single" w:color="auto" w:sz="4" w:space="0"/>
              <w:right w:val="single" w:color="auto" w:sz="4" w:space="0"/>
            </w:tcBorders>
            <w:shd w:val="clear" w:color="auto" w:fill="auto"/>
            <w:noWrap/>
            <w:vAlign w:val="center"/>
          </w:tcPr>
          <w:p w14:paraId="62A51043">
            <w:pPr>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ind w:right="0" w:firstLine="0" w:firstLineChars="0"/>
              <w:jc w:val="center"/>
              <w:textAlignment w:val="center"/>
              <w:rPr>
                <w:rFonts w:hint="eastAsia"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w:t>
            </w:r>
          </w:p>
        </w:tc>
        <w:tc>
          <w:tcPr>
            <w:tcW w:w="992" w:type="dxa"/>
            <w:tcBorders>
              <w:top w:val="nil"/>
              <w:left w:val="nil"/>
              <w:bottom w:val="single" w:color="auto" w:sz="4" w:space="0"/>
              <w:right w:val="single" w:color="auto" w:sz="4" w:space="0"/>
            </w:tcBorders>
            <w:shd w:val="clear" w:color="auto" w:fill="auto"/>
            <w:noWrap/>
            <w:vAlign w:val="center"/>
          </w:tcPr>
          <w:p w14:paraId="14357354">
            <w:pPr>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ind w:right="0" w:firstLine="0" w:firstLineChars="0"/>
              <w:jc w:val="center"/>
              <w:textAlignment w:val="center"/>
              <w:rPr>
                <w:rFonts w:hint="eastAsia"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6</w:t>
            </w:r>
          </w:p>
        </w:tc>
        <w:tc>
          <w:tcPr>
            <w:tcW w:w="1149" w:type="dxa"/>
            <w:tcBorders>
              <w:top w:val="nil"/>
              <w:left w:val="nil"/>
              <w:bottom w:val="single" w:color="auto" w:sz="4" w:space="0"/>
              <w:right w:val="single" w:color="auto" w:sz="4" w:space="0"/>
            </w:tcBorders>
            <w:shd w:val="clear" w:color="auto" w:fill="auto"/>
            <w:noWrap/>
            <w:vAlign w:val="center"/>
          </w:tcPr>
          <w:p w14:paraId="121000B7">
            <w:pPr>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ind w:right="0" w:firstLine="0" w:firstLineChars="0"/>
              <w:jc w:val="center"/>
              <w:textAlignment w:val="center"/>
              <w:rPr>
                <w:rFonts w:hint="eastAsia"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6</w:t>
            </w:r>
          </w:p>
        </w:tc>
        <w:tc>
          <w:tcPr>
            <w:tcW w:w="957" w:type="dxa"/>
            <w:tcBorders>
              <w:top w:val="nil"/>
              <w:left w:val="nil"/>
              <w:bottom w:val="single" w:color="auto" w:sz="4" w:space="0"/>
              <w:right w:val="single" w:color="auto" w:sz="4" w:space="0"/>
            </w:tcBorders>
            <w:shd w:val="clear" w:color="auto" w:fill="auto"/>
            <w:noWrap/>
            <w:vAlign w:val="center"/>
          </w:tcPr>
          <w:p w14:paraId="680ACFC8">
            <w:pPr>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ind w:right="0" w:firstLine="0" w:firstLineChars="0"/>
              <w:jc w:val="center"/>
              <w:textAlignment w:val="center"/>
              <w:rPr>
                <w:rFonts w:hint="eastAsia"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0</w:t>
            </w:r>
          </w:p>
        </w:tc>
        <w:tc>
          <w:tcPr>
            <w:tcW w:w="1043" w:type="dxa"/>
            <w:tcBorders>
              <w:top w:val="nil"/>
              <w:left w:val="nil"/>
              <w:bottom w:val="single" w:color="auto" w:sz="4" w:space="0"/>
              <w:right w:val="single" w:color="auto" w:sz="4" w:space="0"/>
            </w:tcBorders>
            <w:shd w:val="clear" w:color="auto" w:fill="auto"/>
            <w:noWrap/>
            <w:vAlign w:val="center"/>
          </w:tcPr>
          <w:p w14:paraId="4DE73F87">
            <w:pPr>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ind w:right="0" w:firstLine="0" w:firstLineChars="0"/>
              <w:jc w:val="center"/>
              <w:textAlignment w:val="center"/>
              <w:rPr>
                <w:rFonts w:hint="eastAsia"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100</w:t>
            </w:r>
          </w:p>
        </w:tc>
        <w:tc>
          <w:tcPr>
            <w:tcW w:w="709" w:type="dxa"/>
            <w:tcBorders>
              <w:top w:val="nil"/>
              <w:left w:val="nil"/>
              <w:bottom w:val="single" w:color="auto" w:sz="4" w:space="0"/>
              <w:right w:val="single" w:color="auto" w:sz="4" w:space="0"/>
            </w:tcBorders>
            <w:shd w:val="clear" w:color="auto" w:fill="auto"/>
            <w:noWrap/>
            <w:vAlign w:val="center"/>
          </w:tcPr>
          <w:p w14:paraId="10493329">
            <w:pPr>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ind w:right="0" w:firstLine="0" w:firstLineChars="0"/>
              <w:jc w:val="center"/>
              <w:textAlignment w:val="center"/>
              <w:rPr>
                <w:rFonts w:hint="eastAsia"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10</w:t>
            </w:r>
          </w:p>
        </w:tc>
        <w:tc>
          <w:tcPr>
            <w:tcW w:w="799" w:type="dxa"/>
            <w:tcBorders>
              <w:top w:val="nil"/>
              <w:left w:val="nil"/>
              <w:bottom w:val="single" w:color="auto" w:sz="4" w:space="0"/>
              <w:right w:val="single" w:color="auto" w:sz="4" w:space="0"/>
            </w:tcBorders>
            <w:shd w:val="clear" w:color="auto" w:fill="auto"/>
            <w:noWrap/>
            <w:vAlign w:val="center"/>
          </w:tcPr>
          <w:p w14:paraId="3E7E3574">
            <w:pPr>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ind w:right="0" w:firstLine="0" w:firstLineChars="0"/>
              <w:jc w:val="center"/>
              <w:textAlignment w:val="center"/>
              <w:rPr>
                <w:rFonts w:hint="eastAsia"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10</w:t>
            </w:r>
          </w:p>
        </w:tc>
        <w:tc>
          <w:tcPr>
            <w:tcW w:w="1298" w:type="dxa"/>
            <w:tcBorders>
              <w:top w:val="nil"/>
              <w:left w:val="nil"/>
              <w:bottom w:val="single" w:color="auto" w:sz="4" w:space="0"/>
              <w:right w:val="single" w:color="auto" w:sz="4" w:space="0"/>
            </w:tcBorders>
            <w:shd w:val="clear" w:color="auto" w:fill="auto"/>
            <w:noWrap/>
            <w:vAlign w:val="center"/>
          </w:tcPr>
          <w:p w14:paraId="67112839">
            <w:pPr>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ind w:right="0" w:firstLine="0" w:firstLineChars="0"/>
              <w:jc w:val="center"/>
              <w:textAlignment w:val="center"/>
              <w:rPr>
                <w:rFonts w:hint="eastAsia" w:ascii="宋体" w:hAnsi="宋体" w:cs="宋体"/>
                <w:color w:val="000000" w:themeColor="text1"/>
                <w:kern w:val="0"/>
                <w:sz w:val="16"/>
                <w:szCs w:val="16"/>
                <w:lang w:val="en-US" w:eastAsia="zh-CN"/>
                <w14:textFill>
                  <w14:solidFill>
                    <w14:schemeClr w14:val="tx1"/>
                  </w14:solidFill>
                </w14:textFill>
              </w:rPr>
            </w:pPr>
          </w:p>
        </w:tc>
        <w:tc>
          <w:tcPr>
            <w:tcW w:w="1588" w:type="dxa"/>
            <w:gridSpan w:val="2"/>
            <w:tcBorders>
              <w:top w:val="single" w:color="auto" w:sz="4" w:space="0"/>
              <w:left w:val="nil"/>
              <w:bottom w:val="single" w:color="auto" w:sz="4" w:space="0"/>
              <w:right w:val="single" w:color="000000" w:sz="4" w:space="0"/>
            </w:tcBorders>
            <w:shd w:val="clear" w:color="auto" w:fill="auto"/>
            <w:noWrap/>
            <w:vAlign w:val="center"/>
          </w:tcPr>
          <w:p w14:paraId="359BD5AA">
            <w:pPr>
              <w:keepNext w:val="0"/>
              <w:keepLines w:val="0"/>
              <w:pageBreakBefore w:val="0"/>
              <w:widowControl/>
              <w:kinsoku/>
              <w:wordWrap/>
              <w:overflowPunct/>
              <w:topLinePunct w:val="0"/>
              <w:autoSpaceDE/>
              <w:autoSpaceDN/>
              <w:bidi w:val="0"/>
              <w:adjustRightInd/>
              <w:snapToGrid/>
              <w:spacing w:beforeAutospacing="0" w:afterAutospacing="0" w:line="200" w:lineRule="atLeast"/>
              <w:ind w:right="0" w:firstLine="0" w:firstLineChars="0"/>
              <w:jc w:val="center"/>
              <w:rPr>
                <w:rFonts w:hint="eastAsia" w:ascii="宋体" w:hAnsi="宋体" w:cs="宋体"/>
                <w:b/>
                <w:bCs/>
                <w:color w:val="000000" w:themeColor="text1"/>
                <w:kern w:val="0"/>
                <w:sz w:val="16"/>
                <w:szCs w:val="16"/>
                <w14:textFill>
                  <w14:solidFill>
                    <w14:schemeClr w14:val="tx1"/>
                  </w14:solidFill>
                </w14:textFill>
              </w:rPr>
            </w:pPr>
          </w:p>
        </w:tc>
      </w:tr>
      <w:tr w14:paraId="07891987">
        <w:tblPrEx>
          <w:tblCellMar>
            <w:top w:w="0" w:type="dxa"/>
            <w:left w:w="108" w:type="dxa"/>
            <w:bottom w:w="0" w:type="dxa"/>
            <w:right w:w="108" w:type="dxa"/>
          </w:tblCellMar>
        </w:tblPrEx>
        <w:trPr>
          <w:trHeight w:val="499" w:hRule="atLeast"/>
          <w:jc w:val="center"/>
        </w:trPr>
        <w:tc>
          <w:tcPr>
            <w:tcW w:w="1427" w:type="dxa"/>
            <w:tcBorders>
              <w:top w:val="nil"/>
              <w:left w:val="single" w:color="auto" w:sz="4" w:space="0"/>
              <w:bottom w:val="single" w:color="auto" w:sz="4" w:space="0"/>
              <w:right w:val="single" w:color="auto" w:sz="4" w:space="0"/>
            </w:tcBorders>
            <w:shd w:val="clear" w:color="auto" w:fill="auto"/>
            <w:noWrap/>
            <w:vAlign w:val="center"/>
          </w:tcPr>
          <w:p w14:paraId="217BEE96">
            <w:pPr>
              <w:keepNext w:val="0"/>
              <w:keepLines w:val="0"/>
              <w:pageBreakBefore w:val="0"/>
              <w:widowControl/>
              <w:kinsoku/>
              <w:wordWrap/>
              <w:overflowPunct/>
              <w:topLinePunct w:val="0"/>
              <w:autoSpaceDE/>
              <w:autoSpaceDN/>
              <w:bidi w:val="0"/>
              <w:adjustRightInd/>
              <w:snapToGrid/>
              <w:spacing w:beforeAutospacing="0" w:afterAutospacing="0" w:line="200" w:lineRule="atLeast"/>
              <w:ind w:right="0" w:firstLine="0" w:firstLineChars="0"/>
              <w:jc w:val="center"/>
              <w:rPr>
                <w:rFonts w:hint="eastAsia" w:ascii="宋体" w:hAnsi="宋体" w:cs="宋体"/>
                <w:color w:val="000000" w:themeColor="text1"/>
                <w:kern w:val="0"/>
                <w:sz w:val="16"/>
                <w:szCs w:val="16"/>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栗子乡金龙寨村陈家岩传统村落地形图测绘</w:t>
            </w:r>
          </w:p>
        </w:tc>
        <w:tc>
          <w:tcPr>
            <w:tcW w:w="616" w:type="dxa"/>
            <w:tcBorders>
              <w:top w:val="nil"/>
              <w:left w:val="nil"/>
              <w:bottom w:val="single" w:color="auto" w:sz="4" w:space="0"/>
              <w:right w:val="single" w:color="auto" w:sz="4" w:space="0"/>
            </w:tcBorders>
            <w:shd w:val="clear" w:color="auto" w:fill="auto"/>
            <w:noWrap/>
            <w:vAlign w:val="center"/>
          </w:tcPr>
          <w:p w14:paraId="4F9664DF">
            <w:pPr>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ind w:right="0" w:firstLine="0" w:firstLineChars="0"/>
              <w:jc w:val="center"/>
              <w:textAlignment w:val="center"/>
              <w:rPr>
                <w:rFonts w:hint="eastAsia"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亩</w:t>
            </w:r>
          </w:p>
        </w:tc>
        <w:tc>
          <w:tcPr>
            <w:tcW w:w="670" w:type="dxa"/>
            <w:tcBorders>
              <w:top w:val="nil"/>
              <w:left w:val="nil"/>
              <w:bottom w:val="single" w:color="auto" w:sz="4" w:space="0"/>
              <w:right w:val="single" w:color="auto" w:sz="4" w:space="0"/>
            </w:tcBorders>
            <w:shd w:val="clear" w:color="auto" w:fill="auto"/>
            <w:noWrap/>
            <w:vAlign w:val="center"/>
          </w:tcPr>
          <w:p w14:paraId="0EBCE56A">
            <w:pPr>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ind w:right="0" w:firstLine="0" w:firstLineChars="0"/>
              <w:jc w:val="center"/>
              <w:textAlignment w:val="center"/>
              <w:rPr>
                <w:rFonts w:hint="eastAsia"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w:t>
            </w:r>
          </w:p>
        </w:tc>
        <w:tc>
          <w:tcPr>
            <w:tcW w:w="992" w:type="dxa"/>
            <w:tcBorders>
              <w:top w:val="nil"/>
              <w:left w:val="nil"/>
              <w:bottom w:val="single" w:color="auto" w:sz="4" w:space="0"/>
              <w:right w:val="single" w:color="auto" w:sz="4" w:space="0"/>
            </w:tcBorders>
            <w:shd w:val="clear" w:color="auto" w:fill="auto"/>
            <w:noWrap/>
            <w:vAlign w:val="center"/>
          </w:tcPr>
          <w:p w14:paraId="78BFD1E6">
            <w:pPr>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ind w:right="0" w:firstLine="0" w:firstLineChars="0"/>
              <w:jc w:val="center"/>
              <w:textAlignment w:val="center"/>
              <w:rPr>
                <w:rFonts w:hint="eastAsia"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285</w:t>
            </w:r>
          </w:p>
        </w:tc>
        <w:tc>
          <w:tcPr>
            <w:tcW w:w="1149" w:type="dxa"/>
            <w:tcBorders>
              <w:top w:val="nil"/>
              <w:left w:val="nil"/>
              <w:bottom w:val="single" w:color="auto" w:sz="4" w:space="0"/>
              <w:right w:val="single" w:color="auto" w:sz="4" w:space="0"/>
            </w:tcBorders>
            <w:shd w:val="clear" w:color="auto" w:fill="auto"/>
            <w:noWrap/>
            <w:vAlign w:val="center"/>
          </w:tcPr>
          <w:p w14:paraId="3105DFD4">
            <w:pPr>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ind w:right="0" w:firstLine="0" w:firstLineChars="0"/>
              <w:jc w:val="center"/>
              <w:textAlignment w:val="center"/>
              <w:rPr>
                <w:rFonts w:hint="eastAsia"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285</w:t>
            </w:r>
          </w:p>
        </w:tc>
        <w:tc>
          <w:tcPr>
            <w:tcW w:w="957" w:type="dxa"/>
            <w:tcBorders>
              <w:top w:val="nil"/>
              <w:left w:val="nil"/>
              <w:bottom w:val="single" w:color="auto" w:sz="4" w:space="0"/>
              <w:right w:val="single" w:color="auto" w:sz="4" w:space="0"/>
            </w:tcBorders>
            <w:shd w:val="clear" w:color="auto" w:fill="auto"/>
            <w:noWrap/>
            <w:vAlign w:val="center"/>
          </w:tcPr>
          <w:p w14:paraId="5EA5032F">
            <w:pPr>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ind w:right="0" w:firstLine="0" w:firstLineChars="0"/>
              <w:jc w:val="center"/>
              <w:textAlignment w:val="center"/>
              <w:rPr>
                <w:rFonts w:hint="eastAsia"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0</w:t>
            </w:r>
          </w:p>
        </w:tc>
        <w:tc>
          <w:tcPr>
            <w:tcW w:w="1043" w:type="dxa"/>
            <w:tcBorders>
              <w:top w:val="nil"/>
              <w:left w:val="nil"/>
              <w:bottom w:val="single" w:color="auto" w:sz="4" w:space="0"/>
              <w:right w:val="single" w:color="auto" w:sz="4" w:space="0"/>
            </w:tcBorders>
            <w:shd w:val="clear" w:color="auto" w:fill="auto"/>
            <w:noWrap/>
            <w:vAlign w:val="center"/>
          </w:tcPr>
          <w:p w14:paraId="7C596B70">
            <w:pPr>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ind w:right="0" w:firstLine="0" w:firstLineChars="0"/>
              <w:jc w:val="center"/>
              <w:textAlignment w:val="center"/>
              <w:rPr>
                <w:rFonts w:hint="eastAsia"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100</w:t>
            </w:r>
          </w:p>
        </w:tc>
        <w:tc>
          <w:tcPr>
            <w:tcW w:w="709" w:type="dxa"/>
            <w:tcBorders>
              <w:top w:val="nil"/>
              <w:left w:val="nil"/>
              <w:bottom w:val="single" w:color="auto" w:sz="4" w:space="0"/>
              <w:right w:val="single" w:color="auto" w:sz="4" w:space="0"/>
            </w:tcBorders>
            <w:shd w:val="clear" w:color="auto" w:fill="auto"/>
            <w:noWrap/>
            <w:vAlign w:val="center"/>
          </w:tcPr>
          <w:p w14:paraId="6BF815B8">
            <w:pPr>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ind w:right="0" w:firstLine="0" w:firstLineChars="0"/>
              <w:jc w:val="center"/>
              <w:textAlignment w:val="center"/>
              <w:rPr>
                <w:rFonts w:hint="eastAsia"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10</w:t>
            </w:r>
          </w:p>
        </w:tc>
        <w:tc>
          <w:tcPr>
            <w:tcW w:w="799" w:type="dxa"/>
            <w:tcBorders>
              <w:top w:val="nil"/>
              <w:left w:val="nil"/>
              <w:bottom w:val="single" w:color="auto" w:sz="4" w:space="0"/>
              <w:right w:val="single" w:color="auto" w:sz="4" w:space="0"/>
            </w:tcBorders>
            <w:shd w:val="clear" w:color="auto" w:fill="auto"/>
            <w:noWrap/>
            <w:vAlign w:val="center"/>
          </w:tcPr>
          <w:p w14:paraId="2A869672">
            <w:pPr>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ind w:right="0" w:firstLine="0" w:firstLineChars="0"/>
              <w:jc w:val="center"/>
              <w:textAlignment w:val="center"/>
              <w:rPr>
                <w:rFonts w:hint="eastAsia"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10</w:t>
            </w:r>
          </w:p>
        </w:tc>
        <w:tc>
          <w:tcPr>
            <w:tcW w:w="1298" w:type="dxa"/>
            <w:tcBorders>
              <w:top w:val="nil"/>
              <w:left w:val="nil"/>
              <w:bottom w:val="single" w:color="auto" w:sz="4" w:space="0"/>
              <w:right w:val="single" w:color="auto" w:sz="4" w:space="0"/>
            </w:tcBorders>
            <w:shd w:val="clear" w:color="auto" w:fill="auto"/>
            <w:noWrap/>
            <w:vAlign w:val="center"/>
          </w:tcPr>
          <w:p w14:paraId="517C2261">
            <w:pPr>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ind w:right="0" w:firstLine="0" w:firstLineChars="0"/>
              <w:jc w:val="center"/>
              <w:textAlignment w:val="center"/>
              <w:rPr>
                <w:rFonts w:hint="eastAsia" w:ascii="宋体" w:hAnsi="宋体" w:cs="宋体"/>
                <w:color w:val="000000" w:themeColor="text1"/>
                <w:kern w:val="0"/>
                <w:sz w:val="16"/>
                <w:szCs w:val="16"/>
                <w:lang w:val="en-US" w:eastAsia="zh-CN"/>
                <w14:textFill>
                  <w14:solidFill>
                    <w14:schemeClr w14:val="tx1"/>
                  </w14:solidFill>
                </w14:textFill>
              </w:rPr>
            </w:pPr>
          </w:p>
        </w:tc>
        <w:tc>
          <w:tcPr>
            <w:tcW w:w="1588" w:type="dxa"/>
            <w:gridSpan w:val="2"/>
            <w:tcBorders>
              <w:top w:val="single" w:color="auto" w:sz="4" w:space="0"/>
              <w:left w:val="nil"/>
              <w:bottom w:val="single" w:color="auto" w:sz="4" w:space="0"/>
              <w:right w:val="single" w:color="000000" w:sz="4" w:space="0"/>
            </w:tcBorders>
            <w:shd w:val="clear" w:color="auto" w:fill="auto"/>
            <w:noWrap/>
            <w:vAlign w:val="center"/>
          </w:tcPr>
          <w:p w14:paraId="0E01BA38">
            <w:pPr>
              <w:keepNext w:val="0"/>
              <w:keepLines w:val="0"/>
              <w:pageBreakBefore w:val="0"/>
              <w:widowControl/>
              <w:kinsoku/>
              <w:wordWrap/>
              <w:overflowPunct/>
              <w:topLinePunct w:val="0"/>
              <w:autoSpaceDE/>
              <w:autoSpaceDN/>
              <w:bidi w:val="0"/>
              <w:adjustRightInd/>
              <w:snapToGrid/>
              <w:spacing w:beforeAutospacing="0" w:afterAutospacing="0" w:line="200" w:lineRule="atLeast"/>
              <w:ind w:right="0" w:firstLine="0" w:firstLineChars="0"/>
              <w:jc w:val="center"/>
              <w:rPr>
                <w:rFonts w:hint="eastAsia" w:ascii="宋体" w:hAnsi="宋体" w:cs="宋体"/>
                <w:color w:val="000000" w:themeColor="text1"/>
                <w:kern w:val="0"/>
                <w:sz w:val="16"/>
                <w:szCs w:val="16"/>
                <w14:textFill>
                  <w14:solidFill>
                    <w14:schemeClr w14:val="tx1"/>
                  </w14:solidFill>
                </w14:textFill>
              </w:rPr>
            </w:pPr>
          </w:p>
        </w:tc>
      </w:tr>
      <w:tr w14:paraId="020A0D4C">
        <w:tblPrEx>
          <w:tblCellMar>
            <w:top w:w="0" w:type="dxa"/>
            <w:left w:w="108" w:type="dxa"/>
            <w:bottom w:w="0" w:type="dxa"/>
            <w:right w:w="108" w:type="dxa"/>
          </w:tblCellMar>
        </w:tblPrEx>
        <w:trPr>
          <w:trHeight w:val="499" w:hRule="atLeast"/>
          <w:jc w:val="center"/>
        </w:trPr>
        <w:tc>
          <w:tcPr>
            <w:tcW w:w="1427" w:type="dxa"/>
            <w:tcBorders>
              <w:top w:val="nil"/>
              <w:left w:val="single" w:color="auto" w:sz="4" w:space="0"/>
              <w:bottom w:val="single" w:color="auto" w:sz="4" w:space="0"/>
              <w:right w:val="single" w:color="auto" w:sz="4" w:space="0"/>
            </w:tcBorders>
            <w:shd w:val="clear" w:color="auto" w:fill="auto"/>
            <w:noWrap/>
            <w:vAlign w:val="center"/>
          </w:tcPr>
          <w:p w14:paraId="61DC32A9">
            <w:pPr>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ind w:right="0" w:firstLine="0" w:firstLineChars="0"/>
              <w:jc w:val="center"/>
              <w:textAlignment w:val="center"/>
              <w:rPr>
                <w:rFonts w:hint="eastAsia" w:ascii="宋体" w:hAnsi="宋体" w:eastAsia="宋体" w:cs="宋体"/>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仙女湖镇卢家山村山蹬坡人居环境示范地形图测绘</w:t>
            </w:r>
          </w:p>
        </w:tc>
        <w:tc>
          <w:tcPr>
            <w:tcW w:w="616" w:type="dxa"/>
            <w:tcBorders>
              <w:top w:val="nil"/>
              <w:left w:val="nil"/>
              <w:bottom w:val="single" w:color="auto" w:sz="4" w:space="0"/>
              <w:right w:val="single" w:color="auto" w:sz="4" w:space="0"/>
            </w:tcBorders>
            <w:shd w:val="clear" w:color="auto" w:fill="auto"/>
            <w:noWrap/>
            <w:vAlign w:val="center"/>
          </w:tcPr>
          <w:p w14:paraId="4420AAEF">
            <w:pPr>
              <w:keepNext w:val="0"/>
              <w:keepLines w:val="0"/>
              <w:pageBreakBefore w:val="0"/>
              <w:widowControl/>
              <w:kinsoku/>
              <w:wordWrap/>
              <w:overflowPunct/>
              <w:topLinePunct w:val="0"/>
              <w:autoSpaceDE/>
              <w:autoSpaceDN/>
              <w:bidi w:val="0"/>
              <w:adjustRightInd/>
              <w:snapToGrid/>
              <w:spacing w:beforeAutospacing="0" w:afterAutospacing="0" w:line="200" w:lineRule="atLeast"/>
              <w:ind w:right="0" w:firstLine="0" w:firstLineChars="0"/>
              <w:jc w:val="center"/>
              <w:rPr>
                <w:rFonts w:hint="eastAsia" w:ascii="宋体" w:hAnsi="宋体" w:cs="宋体"/>
                <w:color w:val="000000" w:themeColor="text1"/>
                <w:kern w:val="0"/>
                <w:sz w:val="16"/>
                <w:szCs w:val="16"/>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亩</w:t>
            </w:r>
          </w:p>
        </w:tc>
        <w:tc>
          <w:tcPr>
            <w:tcW w:w="670" w:type="dxa"/>
            <w:tcBorders>
              <w:top w:val="nil"/>
              <w:left w:val="nil"/>
              <w:bottom w:val="single" w:color="auto" w:sz="4" w:space="0"/>
              <w:right w:val="single" w:color="auto" w:sz="4" w:space="0"/>
            </w:tcBorders>
            <w:shd w:val="clear" w:color="auto" w:fill="auto"/>
            <w:noWrap/>
            <w:vAlign w:val="center"/>
          </w:tcPr>
          <w:p w14:paraId="795AB7FD">
            <w:pPr>
              <w:keepNext w:val="0"/>
              <w:keepLines w:val="0"/>
              <w:pageBreakBefore w:val="0"/>
              <w:widowControl/>
              <w:kinsoku/>
              <w:wordWrap/>
              <w:overflowPunct/>
              <w:topLinePunct w:val="0"/>
              <w:autoSpaceDE/>
              <w:autoSpaceDN/>
              <w:bidi w:val="0"/>
              <w:adjustRightInd/>
              <w:snapToGrid/>
              <w:spacing w:beforeAutospacing="0" w:afterAutospacing="0" w:line="200" w:lineRule="atLeast"/>
              <w:ind w:right="0" w:firstLine="0" w:firstLineChars="0"/>
              <w:jc w:val="center"/>
              <w:rPr>
                <w:rFonts w:hint="eastAsia" w:ascii="宋体" w:hAnsi="宋体" w:cs="宋体"/>
                <w:color w:val="000000" w:themeColor="text1"/>
                <w:kern w:val="0"/>
                <w:sz w:val="16"/>
                <w:szCs w:val="16"/>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w:t>
            </w:r>
          </w:p>
        </w:tc>
        <w:tc>
          <w:tcPr>
            <w:tcW w:w="992" w:type="dxa"/>
            <w:tcBorders>
              <w:top w:val="nil"/>
              <w:left w:val="nil"/>
              <w:bottom w:val="single" w:color="auto" w:sz="4" w:space="0"/>
              <w:right w:val="single" w:color="auto" w:sz="4" w:space="0"/>
            </w:tcBorders>
            <w:shd w:val="clear" w:color="auto" w:fill="auto"/>
            <w:noWrap/>
            <w:vAlign w:val="center"/>
          </w:tcPr>
          <w:p w14:paraId="06290DF4">
            <w:pPr>
              <w:keepNext w:val="0"/>
              <w:keepLines w:val="0"/>
              <w:pageBreakBefore w:val="0"/>
              <w:widowControl/>
              <w:kinsoku/>
              <w:wordWrap/>
              <w:overflowPunct/>
              <w:topLinePunct w:val="0"/>
              <w:autoSpaceDE/>
              <w:autoSpaceDN/>
              <w:bidi w:val="0"/>
              <w:adjustRightInd/>
              <w:snapToGrid/>
              <w:spacing w:beforeAutospacing="0" w:afterAutospacing="0" w:line="200" w:lineRule="atLeast"/>
              <w:ind w:right="0" w:firstLine="0" w:firstLineChars="0"/>
              <w:jc w:val="center"/>
              <w:rPr>
                <w:rFonts w:hint="default" w:ascii="宋体" w:hAnsi="宋体" w:cs="宋体" w:eastAsiaTheme="minorEastAsia"/>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38</w:t>
            </w:r>
          </w:p>
        </w:tc>
        <w:tc>
          <w:tcPr>
            <w:tcW w:w="1149" w:type="dxa"/>
            <w:tcBorders>
              <w:top w:val="nil"/>
              <w:left w:val="nil"/>
              <w:bottom w:val="single" w:color="auto" w:sz="4" w:space="0"/>
              <w:right w:val="single" w:color="auto" w:sz="4" w:space="0"/>
            </w:tcBorders>
            <w:shd w:val="clear" w:color="auto" w:fill="auto"/>
            <w:noWrap/>
            <w:vAlign w:val="center"/>
          </w:tcPr>
          <w:p w14:paraId="3B9057CB">
            <w:pPr>
              <w:keepNext w:val="0"/>
              <w:keepLines w:val="0"/>
              <w:pageBreakBefore w:val="0"/>
              <w:widowControl/>
              <w:kinsoku/>
              <w:wordWrap/>
              <w:overflowPunct/>
              <w:topLinePunct w:val="0"/>
              <w:autoSpaceDE/>
              <w:autoSpaceDN/>
              <w:bidi w:val="0"/>
              <w:adjustRightInd/>
              <w:snapToGrid/>
              <w:spacing w:beforeAutospacing="0" w:afterAutospacing="0" w:line="200" w:lineRule="atLeast"/>
              <w:ind w:right="0" w:firstLine="0" w:firstLineChars="0"/>
              <w:jc w:val="center"/>
              <w:rPr>
                <w:rFonts w:hint="default" w:ascii="宋体" w:hAnsi="宋体" w:cs="宋体" w:eastAsiaTheme="minorEastAsia"/>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38</w:t>
            </w:r>
          </w:p>
        </w:tc>
        <w:tc>
          <w:tcPr>
            <w:tcW w:w="957" w:type="dxa"/>
            <w:tcBorders>
              <w:top w:val="nil"/>
              <w:left w:val="nil"/>
              <w:bottom w:val="single" w:color="auto" w:sz="4" w:space="0"/>
              <w:right w:val="single" w:color="auto" w:sz="4" w:space="0"/>
            </w:tcBorders>
            <w:shd w:val="clear" w:color="auto" w:fill="auto"/>
            <w:noWrap/>
            <w:vAlign w:val="center"/>
          </w:tcPr>
          <w:p w14:paraId="21AFCC64">
            <w:pPr>
              <w:keepNext w:val="0"/>
              <w:keepLines w:val="0"/>
              <w:pageBreakBefore w:val="0"/>
              <w:widowControl/>
              <w:kinsoku/>
              <w:wordWrap/>
              <w:overflowPunct/>
              <w:topLinePunct w:val="0"/>
              <w:autoSpaceDE/>
              <w:autoSpaceDN/>
              <w:bidi w:val="0"/>
              <w:adjustRightInd/>
              <w:snapToGrid/>
              <w:spacing w:beforeAutospacing="0" w:afterAutospacing="0" w:line="200" w:lineRule="atLeast"/>
              <w:ind w:right="0" w:firstLine="0" w:firstLineChars="0"/>
              <w:jc w:val="center"/>
              <w:rPr>
                <w:rFonts w:hint="eastAsia" w:ascii="宋体" w:hAnsi="宋体" w:cs="宋体" w:eastAsiaTheme="minorEastAsia"/>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0</w:t>
            </w:r>
          </w:p>
        </w:tc>
        <w:tc>
          <w:tcPr>
            <w:tcW w:w="1043" w:type="dxa"/>
            <w:tcBorders>
              <w:top w:val="nil"/>
              <w:left w:val="nil"/>
              <w:bottom w:val="single" w:color="auto" w:sz="4" w:space="0"/>
              <w:right w:val="single" w:color="auto" w:sz="4" w:space="0"/>
            </w:tcBorders>
            <w:shd w:val="clear" w:color="auto" w:fill="auto"/>
            <w:noWrap/>
            <w:vAlign w:val="center"/>
          </w:tcPr>
          <w:p w14:paraId="6BE15FD9">
            <w:pPr>
              <w:keepNext w:val="0"/>
              <w:keepLines w:val="0"/>
              <w:pageBreakBefore w:val="0"/>
              <w:widowControl/>
              <w:kinsoku/>
              <w:wordWrap/>
              <w:overflowPunct/>
              <w:topLinePunct w:val="0"/>
              <w:autoSpaceDE/>
              <w:autoSpaceDN/>
              <w:bidi w:val="0"/>
              <w:adjustRightInd/>
              <w:snapToGrid/>
              <w:spacing w:beforeAutospacing="0" w:afterAutospacing="0" w:line="200" w:lineRule="atLeast"/>
              <w:ind w:right="0" w:firstLine="0" w:firstLineChars="0"/>
              <w:jc w:val="center"/>
              <w:rPr>
                <w:rFonts w:hint="default" w:ascii="宋体" w:hAnsi="宋体" w:cs="宋体" w:eastAsiaTheme="minorEastAsia"/>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100</w:t>
            </w:r>
          </w:p>
        </w:tc>
        <w:tc>
          <w:tcPr>
            <w:tcW w:w="709" w:type="dxa"/>
            <w:tcBorders>
              <w:top w:val="nil"/>
              <w:left w:val="nil"/>
              <w:bottom w:val="single" w:color="auto" w:sz="4" w:space="0"/>
              <w:right w:val="single" w:color="auto" w:sz="4" w:space="0"/>
            </w:tcBorders>
            <w:shd w:val="clear" w:color="auto" w:fill="auto"/>
            <w:noWrap/>
            <w:vAlign w:val="center"/>
          </w:tcPr>
          <w:p w14:paraId="79F5BC9D">
            <w:pPr>
              <w:keepNext w:val="0"/>
              <w:keepLines w:val="0"/>
              <w:pageBreakBefore w:val="0"/>
              <w:widowControl/>
              <w:kinsoku/>
              <w:wordWrap/>
              <w:overflowPunct/>
              <w:topLinePunct w:val="0"/>
              <w:autoSpaceDE/>
              <w:autoSpaceDN/>
              <w:bidi w:val="0"/>
              <w:adjustRightInd/>
              <w:snapToGrid/>
              <w:spacing w:beforeAutospacing="0" w:afterAutospacing="0" w:line="200" w:lineRule="atLeast"/>
              <w:ind w:right="0" w:firstLine="0" w:firstLineChars="0"/>
              <w:jc w:val="center"/>
              <w:rPr>
                <w:rFonts w:hint="default" w:ascii="宋体" w:hAnsi="宋体" w:cs="宋体" w:eastAsiaTheme="minorEastAsia"/>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10</w:t>
            </w:r>
          </w:p>
        </w:tc>
        <w:tc>
          <w:tcPr>
            <w:tcW w:w="799" w:type="dxa"/>
            <w:tcBorders>
              <w:top w:val="nil"/>
              <w:left w:val="nil"/>
              <w:bottom w:val="single" w:color="auto" w:sz="4" w:space="0"/>
              <w:right w:val="single" w:color="auto" w:sz="4" w:space="0"/>
            </w:tcBorders>
            <w:shd w:val="clear" w:color="auto" w:fill="auto"/>
            <w:noWrap/>
            <w:vAlign w:val="center"/>
          </w:tcPr>
          <w:p w14:paraId="4F740226">
            <w:pPr>
              <w:keepNext w:val="0"/>
              <w:keepLines w:val="0"/>
              <w:pageBreakBefore w:val="0"/>
              <w:widowControl/>
              <w:kinsoku/>
              <w:wordWrap/>
              <w:overflowPunct/>
              <w:topLinePunct w:val="0"/>
              <w:autoSpaceDE/>
              <w:autoSpaceDN/>
              <w:bidi w:val="0"/>
              <w:adjustRightInd/>
              <w:snapToGrid/>
              <w:spacing w:beforeAutospacing="0" w:afterAutospacing="0" w:line="200" w:lineRule="atLeast"/>
              <w:ind w:right="0" w:firstLine="0" w:firstLineChars="0"/>
              <w:jc w:val="center"/>
              <w:rPr>
                <w:rFonts w:hint="default" w:ascii="宋体" w:hAnsi="宋体" w:cs="宋体" w:eastAsiaTheme="minorEastAsia"/>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10</w:t>
            </w:r>
          </w:p>
        </w:tc>
        <w:tc>
          <w:tcPr>
            <w:tcW w:w="1298" w:type="dxa"/>
            <w:tcBorders>
              <w:top w:val="nil"/>
              <w:left w:val="nil"/>
              <w:bottom w:val="single" w:color="auto" w:sz="4" w:space="0"/>
              <w:right w:val="single" w:color="auto" w:sz="4" w:space="0"/>
            </w:tcBorders>
            <w:shd w:val="clear" w:color="auto" w:fill="auto"/>
            <w:noWrap/>
            <w:vAlign w:val="center"/>
          </w:tcPr>
          <w:p w14:paraId="500ACF5F">
            <w:pPr>
              <w:keepNext w:val="0"/>
              <w:keepLines w:val="0"/>
              <w:pageBreakBefore w:val="0"/>
              <w:widowControl/>
              <w:kinsoku/>
              <w:wordWrap/>
              <w:overflowPunct/>
              <w:topLinePunct w:val="0"/>
              <w:autoSpaceDE/>
              <w:autoSpaceDN/>
              <w:bidi w:val="0"/>
              <w:adjustRightInd/>
              <w:snapToGrid/>
              <w:spacing w:beforeAutospacing="0" w:afterAutospacing="0" w:line="200" w:lineRule="atLeast"/>
              <w:ind w:right="0" w:firstLine="0" w:firstLineChars="0"/>
              <w:jc w:val="center"/>
              <w:rPr>
                <w:rFonts w:hint="eastAsia" w:ascii="宋体" w:hAnsi="宋体" w:cs="宋体"/>
                <w:color w:val="000000" w:themeColor="text1"/>
                <w:kern w:val="0"/>
                <w:sz w:val="16"/>
                <w:szCs w:val="16"/>
                <w14:textFill>
                  <w14:solidFill>
                    <w14:schemeClr w14:val="tx1"/>
                  </w14:solidFill>
                </w14:textFill>
              </w:rPr>
            </w:pPr>
          </w:p>
        </w:tc>
        <w:tc>
          <w:tcPr>
            <w:tcW w:w="1588" w:type="dxa"/>
            <w:gridSpan w:val="2"/>
            <w:tcBorders>
              <w:top w:val="single" w:color="auto" w:sz="4" w:space="0"/>
              <w:left w:val="nil"/>
              <w:bottom w:val="single" w:color="auto" w:sz="4" w:space="0"/>
              <w:right w:val="single" w:color="000000" w:sz="4" w:space="0"/>
            </w:tcBorders>
            <w:shd w:val="clear" w:color="auto" w:fill="auto"/>
            <w:noWrap/>
            <w:vAlign w:val="center"/>
          </w:tcPr>
          <w:p w14:paraId="1D54D942">
            <w:pPr>
              <w:keepNext w:val="0"/>
              <w:keepLines w:val="0"/>
              <w:pageBreakBefore w:val="0"/>
              <w:widowControl/>
              <w:kinsoku/>
              <w:wordWrap/>
              <w:overflowPunct/>
              <w:topLinePunct w:val="0"/>
              <w:autoSpaceDE/>
              <w:autoSpaceDN/>
              <w:bidi w:val="0"/>
              <w:adjustRightInd/>
              <w:snapToGrid/>
              <w:spacing w:beforeAutospacing="0" w:afterAutospacing="0" w:line="200" w:lineRule="atLeast"/>
              <w:ind w:right="0" w:firstLine="0" w:firstLineChars="0"/>
              <w:jc w:val="center"/>
              <w:rPr>
                <w:rFonts w:hint="eastAsia" w:ascii="宋体" w:hAnsi="宋体" w:cs="宋体"/>
                <w:color w:val="000000" w:themeColor="text1"/>
                <w:kern w:val="0"/>
                <w:sz w:val="16"/>
                <w:szCs w:val="16"/>
                <w14:textFill>
                  <w14:solidFill>
                    <w14:schemeClr w14:val="tx1"/>
                  </w14:solidFill>
                </w14:textFill>
              </w:rPr>
            </w:pPr>
          </w:p>
        </w:tc>
      </w:tr>
      <w:tr w14:paraId="37E4EF92">
        <w:tblPrEx>
          <w:tblCellMar>
            <w:top w:w="0" w:type="dxa"/>
            <w:left w:w="108" w:type="dxa"/>
            <w:bottom w:w="0" w:type="dxa"/>
            <w:right w:w="108" w:type="dxa"/>
          </w:tblCellMar>
        </w:tblPrEx>
        <w:trPr>
          <w:trHeight w:val="499" w:hRule="atLeast"/>
          <w:jc w:val="center"/>
        </w:trPr>
        <w:tc>
          <w:tcPr>
            <w:tcW w:w="1427" w:type="dxa"/>
            <w:tcBorders>
              <w:top w:val="nil"/>
              <w:left w:val="single" w:color="auto" w:sz="4" w:space="0"/>
              <w:bottom w:val="single" w:color="auto" w:sz="4" w:space="0"/>
              <w:right w:val="single" w:color="auto" w:sz="4" w:space="0"/>
            </w:tcBorders>
            <w:shd w:val="clear" w:color="auto" w:fill="auto"/>
            <w:noWrap/>
            <w:vAlign w:val="center"/>
          </w:tcPr>
          <w:p w14:paraId="53956367">
            <w:pPr>
              <w:keepNext w:val="0"/>
              <w:keepLines w:val="0"/>
              <w:pageBreakBefore w:val="0"/>
              <w:widowControl/>
              <w:kinsoku/>
              <w:wordWrap/>
              <w:overflowPunct/>
              <w:topLinePunct w:val="0"/>
              <w:autoSpaceDE/>
              <w:autoSpaceDN/>
              <w:bidi w:val="0"/>
              <w:adjustRightInd/>
              <w:snapToGrid/>
              <w:spacing w:beforeAutospacing="0" w:afterAutospacing="0" w:line="200" w:lineRule="atLeast"/>
              <w:ind w:right="0" w:firstLine="0" w:firstLineChars="0"/>
              <w:jc w:val="center"/>
              <w:rPr>
                <w:rFonts w:hint="eastAsia" w:ascii="宋体" w:hAnsi="宋体" w:cs="宋体"/>
                <w:color w:val="000000" w:themeColor="text1"/>
                <w:kern w:val="0"/>
                <w:sz w:val="16"/>
                <w:szCs w:val="16"/>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地形图测绘、农房建图集设计合格率</w:t>
            </w:r>
          </w:p>
        </w:tc>
        <w:tc>
          <w:tcPr>
            <w:tcW w:w="616" w:type="dxa"/>
            <w:tcBorders>
              <w:top w:val="nil"/>
              <w:left w:val="nil"/>
              <w:bottom w:val="single" w:color="auto" w:sz="4" w:space="0"/>
              <w:right w:val="single" w:color="auto" w:sz="4" w:space="0"/>
            </w:tcBorders>
            <w:shd w:val="clear" w:color="auto" w:fill="auto"/>
            <w:noWrap/>
            <w:vAlign w:val="center"/>
          </w:tcPr>
          <w:p w14:paraId="47CE555C">
            <w:pPr>
              <w:keepNext w:val="0"/>
              <w:keepLines w:val="0"/>
              <w:pageBreakBefore w:val="0"/>
              <w:widowControl/>
              <w:kinsoku/>
              <w:wordWrap/>
              <w:overflowPunct/>
              <w:topLinePunct w:val="0"/>
              <w:autoSpaceDE/>
              <w:autoSpaceDN/>
              <w:bidi w:val="0"/>
              <w:adjustRightInd/>
              <w:snapToGrid/>
              <w:spacing w:beforeAutospacing="0" w:afterAutospacing="0" w:line="200" w:lineRule="atLeast"/>
              <w:ind w:right="0" w:firstLine="0" w:firstLineChars="0"/>
              <w:jc w:val="center"/>
              <w:rPr>
                <w:rFonts w:hint="eastAsia" w:ascii="宋体" w:hAnsi="宋体" w:cs="宋体"/>
                <w:color w:val="000000" w:themeColor="text1"/>
                <w:kern w:val="0"/>
                <w:sz w:val="16"/>
                <w:szCs w:val="16"/>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w:t>
            </w:r>
          </w:p>
        </w:tc>
        <w:tc>
          <w:tcPr>
            <w:tcW w:w="670" w:type="dxa"/>
            <w:tcBorders>
              <w:top w:val="nil"/>
              <w:left w:val="nil"/>
              <w:bottom w:val="single" w:color="auto" w:sz="4" w:space="0"/>
              <w:right w:val="single" w:color="auto" w:sz="4" w:space="0"/>
            </w:tcBorders>
            <w:shd w:val="clear" w:color="auto" w:fill="auto"/>
            <w:noWrap/>
            <w:vAlign w:val="center"/>
          </w:tcPr>
          <w:p w14:paraId="2AF9B404">
            <w:pPr>
              <w:keepNext w:val="0"/>
              <w:keepLines w:val="0"/>
              <w:pageBreakBefore w:val="0"/>
              <w:widowControl/>
              <w:kinsoku/>
              <w:wordWrap/>
              <w:overflowPunct/>
              <w:topLinePunct w:val="0"/>
              <w:autoSpaceDE/>
              <w:autoSpaceDN/>
              <w:bidi w:val="0"/>
              <w:adjustRightInd/>
              <w:snapToGrid/>
              <w:spacing w:beforeAutospacing="0" w:afterAutospacing="0" w:line="200" w:lineRule="atLeast"/>
              <w:ind w:right="0" w:firstLine="0" w:firstLineChars="0"/>
              <w:jc w:val="center"/>
              <w:rPr>
                <w:rFonts w:hint="eastAsia" w:ascii="宋体" w:hAnsi="宋体" w:cs="宋体" w:eastAsiaTheme="minorEastAsia"/>
                <w:color w:val="000000" w:themeColor="text1"/>
                <w:kern w:val="0"/>
                <w:sz w:val="16"/>
                <w:szCs w:val="16"/>
                <w:lang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w:t>
            </w:r>
          </w:p>
        </w:tc>
        <w:tc>
          <w:tcPr>
            <w:tcW w:w="992" w:type="dxa"/>
            <w:tcBorders>
              <w:top w:val="nil"/>
              <w:left w:val="nil"/>
              <w:bottom w:val="single" w:color="auto" w:sz="4" w:space="0"/>
              <w:right w:val="single" w:color="auto" w:sz="4" w:space="0"/>
            </w:tcBorders>
            <w:shd w:val="clear" w:color="auto" w:fill="auto"/>
            <w:noWrap/>
            <w:vAlign w:val="center"/>
          </w:tcPr>
          <w:p w14:paraId="2FDE72BB">
            <w:pPr>
              <w:keepNext w:val="0"/>
              <w:keepLines w:val="0"/>
              <w:pageBreakBefore w:val="0"/>
              <w:widowControl/>
              <w:kinsoku/>
              <w:wordWrap/>
              <w:overflowPunct/>
              <w:topLinePunct w:val="0"/>
              <w:autoSpaceDE/>
              <w:autoSpaceDN/>
              <w:bidi w:val="0"/>
              <w:adjustRightInd/>
              <w:snapToGrid/>
              <w:spacing w:beforeAutospacing="0" w:afterAutospacing="0" w:line="200" w:lineRule="atLeast"/>
              <w:ind w:right="0" w:firstLine="0" w:firstLineChars="0"/>
              <w:jc w:val="center"/>
              <w:rPr>
                <w:rFonts w:hint="default" w:ascii="宋体" w:hAnsi="宋体" w:cs="宋体" w:eastAsiaTheme="minorEastAsia"/>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100</w:t>
            </w:r>
          </w:p>
        </w:tc>
        <w:tc>
          <w:tcPr>
            <w:tcW w:w="1149" w:type="dxa"/>
            <w:tcBorders>
              <w:top w:val="nil"/>
              <w:left w:val="nil"/>
              <w:bottom w:val="single" w:color="auto" w:sz="4" w:space="0"/>
              <w:right w:val="single" w:color="auto" w:sz="4" w:space="0"/>
            </w:tcBorders>
            <w:shd w:val="clear" w:color="auto" w:fill="auto"/>
            <w:noWrap/>
            <w:vAlign w:val="center"/>
          </w:tcPr>
          <w:p w14:paraId="782BED5E">
            <w:pPr>
              <w:keepNext w:val="0"/>
              <w:keepLines w:val="0"/>
              <w:pageBreakBefore w:val="0"/>
              <w:widowControl/>
              <w:kinsoku/>
              <w:wordWrap/>
              <w:overflowPunct/>
              <w:topLinePunct w:val="0"/>
              <w:autoSpaceDE/>
              <w:autoSpaceDN/>
              <w:bidi w:val="0"/>
              <w:adjustRightInd/>
              <w:snapToGrid/>
              <w:spacing w:beforeAutospacing="0" w:afterAutospacing="0" w:line="200" w:lineRule="atLeast"/>
              <w:ind w:right="0" w:firstLine="0" w:firstLineChars="0"/>
              <w:jc w:val="center"/>
              <w:rPr>
                <w:rFonts w:hint="default" w:ascii="宋体" w:hAnsi="宋体" w:cs="宋体" w:eastAsiaTheme="minorEastAsia"/>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100</w:t>
            </w:r>
          </w:p>
        </w:tc>
        <w:tc>
          <w:tcPr>
            <w:tcW w:w="957" w:type="dxa"/>
            <w:tcBorders>
              <w:top w:val="nil"/>
              <w:left w:val="nil"/>
              <w:bottom w:val="single" w:color="auto" w:sz="4" w:space="0"/>
              <w:right w:val="single" w:color="auto" w:sz="4" w:space="0"/>
            </w:tcBorders>
            <w:shd w:val="clear" w:color="auto" w:fill="auto"/>
            <w:noWrap/>
            <w:vAlign w:val="center"/>
          </w:tcPr>
          <w:p w14:paraId="68DCAE7A">
            <w:pPr>
              <w:keepNext w:val="0"/>
              <w:keepLines w:val="0"/>
              <w:pageBreakBefore w:val="0"/>
              <w:widowControl/>
              <w:kinsoku/>
              <w:wordWrap/>
              <w:overflowPunct/>
              <w:topLinePunct w:val="0"/>
              <w:autoSpaceDE/>
              <w:autoSpaceDN/>
              <w:bidi w:val="0"/>
              <w:adjustRightInd/>
              <w:snapToGrid/>
              <w:spacing w:beforeAutospacing="0" w:afterAutospacing="0" w:line="200" w:lineRule="atLeast"/>
              <w:ind w:right="0" w:firstLine="0" w:firstLineChars="0"/>
              <w:jc w:val="center"/>
              <w:rPr>
                <w:rFonts w:hint="eastAsia" w:ascii="宋体" w:hAnsi="宋体" w:cs="宋体" w:eastAsiaTheme="minorEastAsia"/>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0</w:t>
            </w:r>
          </w:p>
        </w:tc>
        <w:tc>
          <w:tcPr>
            <w:tcW w:w="1043" w:type="dxa"/>
            <w:tcBorders>
              <w:top w:val="nil"/>
              <w:left w:val="nil"/>
              <w:bottom w:val="single" w:color="auto" w:sz="4" w:space="0"/>
              <w:right w:val="single" w:color="auto" w:sz="4" w:space="0"/>
            </w:tcBorders>
            <w:shd w:val="clear" w:color="auto" w:fill="auto"/>
            <w:noWrap/>
            <w:vAlign w:val="center"/>
          </w:tcPr>
          <w:p w14:paraId="4611A46B">
            <w:pPr>
              <w:keepNext w:val="0"/>
              <w:keepLines w:val="0"/>
              <w:pageBreakBefore w:val="0"/>
              <w:widowControl/>
              <w:kinsoku/>
              <w:wordWrap/>
              <w:overflowPunct/>
              <w:topLinePunct w:val="0"/>
              <w:autoSpaceDE/>
              <w:autoSpaceDN/>
              <w:bidi w:val="0"/>
              <w:adjustRightInd/>
              <w:snapToGrid/>
              <w:spacing w:beforeAutospacing="0" w:afterAutospacing="0" w:line="200" w:lineRule="atLeast"/>
              <w:ind w:right="0" w:firstLine="0" w:firstLineChars="0"/>
              <w:jc w:val="center"/>
              <w:rPr>
                <w:rFonts w:hint="default" w:ascii="宋体" w:hAnsi="宋体" w:cs="宋体" w:eastAsiaTheme="minorEastAsia"/>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100</w:t>
            </w:r>
          </w:p>
        </w:tc>
        <w:tc>
          <w:tcPr>
            <w:tcW w:w="709" w:type="dxa"/>
            <w:tcBorders>
              <w:top w:val="nil"/>
              <w:left w:val="nil"/>
              <w:bottom w:val="single" w:color="auto" w:sz="4" w:space="0"/>
              <w:right w:val="single" w:color="auto" w:sz="4" w:space="0"/>
            </w:tcBorders>
            <w:shd w:val="clear" w:color="auto" w:fill="auto"/>
            <w:noWrap/>
            <w:vAlign w:val="center"/>
          </w:tcPr>
          <w:p w14:paraId="2479E5B1">
            <w:pPr>
              <w:keepNext w:val="0"/>
              <w:keepLines w:val="0"/>
              <w:pageBreakBefore w:val="0"/>
              <w:widowControl/>
              <w:kinsoku/>
              <w:wordWrap/>
              <w:overflowPunct/>
              <w:topLinePunct w:val="0"/>
              <w:autoSpaceDE/>
              <w:autoSpaceDN/>
              <w:bidi w:val="0"/>
              <w:adjustRightInd/>
              <w:snapToGrid/>
              <w:spacing w:beforeAutospacing="0" w:afterAutospacing="0" w:line="200" w:lineRule="atLeast"/>
              <w:ind w:right="0" w:firstLine="0" w:firstLineChars="0"/>
              <w:jc w:val="center"/>
              <w:rPr>
                <w:rFonts w:hint="default" w:ascii="宋体" w:hAnsi="宋体" w:cs="宋体" w:eastAsiaTheme="minorEastAsia"/>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10</w:t>
            </w:r>
          </w:p>
        </w:tc>
        <w:tc>
          <w:tcPr>
            <w:tcW w:w="799" w:type="dxa"/>
            <w:tcBorders>
              <w:top w:val="nil"/>
              <w:left w:val="nil"/>
              <w:bottom w:val="single" w:color="auto" w:sz="4" w:space="0"/>
              <w:right w:val="single" w:color="auto" w:sz="4" w:space="0"/>
            </w:tcBorders>
            <w:shd w:val="clear" w:color="auto" w:fill="auto"/>
            <w:noWrap/>
            <w:vAlign w:val="center"/>
          </w:tcPr>
          <w:p w14:paraId="5EEA69EA">
            <w:pPr>
              <w:keepNext w:val="0"/>
              <w:keepLines w:val="0"/>
              <w:pageBreakBefore w:val="0"/>
              <w:widowControl/>
              <w:kinsoku/>
              <w:wordWrap/>
              <w:overflowPunct/>
              <w:topLinePunct w:val="0"/>
              <w:autoSpaceDE/>
              <w:autoSpaceDN/>
              <w:bidi w:val="0"/>
              <w:adjustRightInd/>
              <w:snapToGrid/>
              <w:spacing w:beforeAutospacing="0" w:afterAutospacing="0" w:line="200" w:lineRule="atLeast"/>
              <w:ind w:right="0" w:firstLine="0" w:firstLineChars="0"/>
              <w:jc w:val="center"/>
              <w:rPr>
                <w:rFonts w:hint="default" w:ascii="宋体" w:hAnsi="宋体" w:cs="宋体" w:eastAsiaTheme="minorEastAsia"/>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10</w:t>
            </w:r>
          </w:p>
        </w:tc>
        <w:tc>
          <w:tcPr>
            <w:tcW w:w="1298" w:type="dxa"/>
            <w:tcBorders>
              <w:top w:val="nil"/>
              <w:left w:val="nil"/>
              <w:bottom w:val="single" w:color="auto" w:sz="4" w:space="0"/>
              <w:right w:val="single" w:color="auto" w:sz="4" w:space="0"/>
            </w:tcBorders>
            <w:shd w:val="clear" w:color="auto" w:fill="auto"/>
            <w:noWrap/>
            <w:vAlign w:val="center"/>
          </w:tcPr>
          <w:p w14:paraId="2104880C">
            <w:pPr>
              <w:keepNext w:val="0"/>
              <w:keepLines w:val="0"/>
              <w:pageBreakBefore w:val="0"/>
              <w:widowControl/>
              <w:kinsoku/>
              <w:wordWrap/>
              <w:overflowPunct/>
              <w:topLinePunct w:val="0"/>
              <w:autoSpaceDE/>
              <w:autoSpaceDN/>
              <w:bidi w:val="0"/>
              <w:adjustRightInd/>
              <w:snapToGrid/>
              <w:spacing w:beforeAutospacing="0" w:afterAutospacing="0" w:line="200" w:lineRule="atLeast"/>
              <w:ind w:right="0" w:firstLine="0" w:firstLineChars="0"/>
              <w:jc w:val="center"/>
              <w:rPr>
                <w:rFonts w:hint="eastAsia" w:ascii="宋体" w:hAnsi="宋体" w:cs="宋体"/>
                <w:color w:val="000000" w:themeColor="text1"/>
                <w:kern w:val="0"/>
                <w:sz w:val="16"/>
                <w:szCs w:val="16"/>
                <w14:textFill>
                  <w14:solidFill>
                    <w14:schemeClr w14:val="tx1"/>
                  </w14:solidFill>
                </w14:textFill>
              </w:rPr>
            </w:pPr>
          </w:p>
        </w:tc>
        <w:tc>
          <w:tcPr>
            <w:tcW w:w="1588" w:type="dxa"/>
            <w:gridSpan w:val="2"/>
            <w:tcBorders>
              <w:top w:val="single" w:color="auto" w:sz="4" w:space="0"/>
              <w:left w:val="nil"/>
              <w:bottom w:val="single" w:color="auto" w:sz="4" w:space="0"/>
              <w:right w:val="single" w:color="000000" w:sz="4" w:space="0"/>
            </w:tcBorders>
            <w:shd w:val="clear" w:color="auto" w:fill="auto"/>
            <w:noWrap/>
            <w:vAlign w:val="center"/>
          </w:tcPr>
          <w:p w14:paraId="53DB6769">
            <w:pPr>
              <w:keepNext w:val="0"/>
              <w:keepLines w:val="0"/>
              <w:pageBreakBefore w:val="0"/>
              <w:widowControl/>
              <w:kinsoku/>
              <w:wordWrap/>
              <w:overflowPunct/>
              <w:topLinePunct w:val="0"/>
              <w:autoSpaceDE/>
              <w:autoSpaceDN/>
              <w:bidi w:val="0"/>
              <w:adjustRightInd/>
              <w:snapToGrid/>
              <w:spacing w:beforeAutospacing="0" w:afterAutospacing="0" w:line="200" w:lineRule="atLeast"/>
              <w:ind w:right="0" w:firstLine="0" w:firstLineChars="0"/>
              <w:jc w:val="center"/>
              <w:rPr>
                <w:rFonts w:hint="eastAsia" w:ascii="宋体" w:hAnsi="宋体" w:cs="宋体"/>
                <w:color w:val="000000" w:themeColor="text1"/>
                <w:kern w:val="0"/>
                <w:sz w:val="16"/>
                <w:szCs w:val="16"/>
                <w14:textFill>
                  <w14:solidFill>
                    <w14:schemeClr w14:val="tx1"/>
                  </w14:solidFill>
                </w14:textFill>
              </w:rPr>
            </w:pPr>
          </w:p>
        </w:tc>
      </w:tr>
      <w:tr w14:paraId="74CB6D86">
        <w:tblPrEx>
          <w:tblCellMar>
            <w:top w:w="0" w:type="dxa"/>
            <w:left w:w="108" w:type="dxa"/>
            <w:bottom w:w="0" w:type="dxa"/>
            <w:right w:w="108" w:type="dxa"/>
          </w:tblCellMar>
        </w:tblPrEx>
        <w:trPr>
          <w:trHeight w:val="499" w:hRule="atLeast"/>
          <w:jc w:val="center"/>
        </w:trPr>
        <w:tc>
          <w:tcPr>
            <w:tcW w:w="1427" w:type="dxa"/>
            <w:tcBorders>
              <w:top w:val="nil"/>
              <w:left w:val="single" w:color="auto" w:sz="4" w:space="0"/>
              <w:bottom w:val="single" w:color="auto" w:sz="4" w:space="0"/>
              <w:right w:val="single" w:color="auto" w:sz="4" w:space="0"/>
            </w:tcBorders>
            <w:shd w:val="clear" w:color="auto" w:fill="auto"/>
            <w:noWrap/>
            <w:vAlign w:val="center"/>
          </w:tcPr>
          <w:p w14:paraId="3BAEC226">
            <w:pPr>
              <w:keepNext w:val="0"/>
              <w:keepLines w:val="0"/>
              <w:pageBreakBefore w:val="0"/>
              <w:widowControl/>
              <w:tabs>
                <w:tab w:val="left" w:pos="589"/>
              </w:tabs>
              <w:kinsoku/>
              <w:wordWrap/>
              <w:overflowPunct/>
              <w:topLinePunct w:val="0"/>
              <w:autoSpaceDE/>
              <w:autoSpaceDN/>
              <w:bidi w:val="0"/>
              <w:adjustRightInd/>
              <w:snapToGrid/>
              <w:spacing w:beforeAutospacing="0" w:afterAutospacing="0" w:line="200" w:lineRule="atLeast"/>
              <w:ind w:right="0" w:firstLine="0" w:firstLineChars="0"/>
              <w:jc w:val="center"/>
              <w:rPr>
                <w:rFonts w:hint="eastAsia" w:ascii="宋体" w:hAnsi="宋体" w:cs="宋体" w:eastAsiaTheme="minorEastAsia"/>
                <w:color w:val="000000" w:themeColor="text1"/>
                <w:kern w:val="0"/>
                <w:sz w:val="16"/>
                <w:szCs w:val="16"/>
                <w:lang w:eastAsia="zh-CN"/>
                <w14:textFill>
                  <w14:solidFill>
                    <w14:schemeClr w14:val="tx1"/>
                  </w14:solidFill>
                </w14:textFill>
              </w:rPr>
            </w:pPr>
            <w:r>
              <w:rPr>
                <w:rFonts w:hint="eastAsia" w:ascii="宋体" w:hAnsi="宋体" w:cs="宋体"/>
                <w:color w:val="000000" w:themeColor="text1"/>
                <w:kern w:val="0"/>
                <w:sz w:val="16"/>
                <w:szCs w:val="16"/>
                <w:lang w:eastAsia="zh-CN"/>
                <w14:textFill>
                  <w14:solidFill>
                    <w14:schemeClr w14:val="tx1"/>
                  </w14:solidFill>
                </w14:textFill>
              </w:rPr>
              <w:t>项目完成及时率</w:t>
            </w:r>
          </w:p>
        </w:tc>
        <w:tc>
          <w:tcPr>
            <w:tcW w:w="616" w:type="dxa"/>
            <w:tcBorders>
              <w:top w:val="nil"/>
              <w:left w:val="nil"/>
              <w:bottom w:val="single" w:color="auto" w:sz="4" w:space="0"/>
              <w:right w:val="single" w:color="auto" w:sz="4" w:space="0"/>
            </w:tcBorders>
            <w:shd w:val="clear" w:color="auto" w:fill="auto"/>
            <w:noWrap/>
            <w:vAlign w:val="center"/>
          </w:tcPr>
          <w:p w14:paraId="16D33AF8">
            <w:pPr>
              <w:keepNext w:val="0"/>
              <w:keepLines w:val="0"/>
              <w:pageBreakBefore w:val="0"/>
              <w:widowControl/>
              <w:kinsoku/>
              <w:wordWrap/>
              <w:overflowPunct/>
              <w:topLinePunct w:val="0"/>
              <w:autoSpaceDE/>
              <w:autoSpaceDN/>
              <w:bidi w:val="0"/>
              <w:adjustRightInd/>
              <w:snapToGrid/>
              <w:spacing w:beforeAutospacing="0" w:afterAutospacing="0" w:line="200" w:lineRule="atLeast"/>
              <w:ind w:right="0" w:firstLine="0" w:firstLineChars="0"/>
              <w:jc w:val="center"/>
              <w:rPr>
                <w:rFonts w:hint="eastAsia" w:ascii="宋体" w:hAnsi="宋体" w:cs="宋体"/>
                <w:color w:val="000000" w:themeColor="text1"/>
                <w:kern w:val="0"/>
                <w:sz w:val="16"/>
                <w:szCs w:val="16"/>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w:t>
            </w:r>
          </w:p>
        </w:tc>
        <w:tc>
          <w:tcPr>
            <w:tcW w:w="670" w:type="dxa"/>
            <w:tcBorders>
              <w:top w:val="nil"/>
              <w:left w:val="nil"/>
              <w:bottom w:val="single" w:color="auto" w:sz="4" w:space="0"/>
              <w:right w:val="single" w:color="auto" w:sz="4" w:space="0"/>
            </w:tcBorders>
            <w:shd w:val="clear" w:color="auto" w:fill="auto"/>
            <w:noWrap/>
            <w:vAlign w:val="center"/>
          </w:tcPr>
          <w:p w14:paraId="0B26E38F">
            <w:pPr>
              <w:keepNext w:val="0"/>
              <w:keepLines w:val="0"/>
              <w:pageBreakBefore w:val="0"/>
              <w:widowControl/>
              <w:kinsoku/>
              <w:wordWrap/>
              <w:overflowPunct/>
              <w:topLinePunct w:val="0"/>
              <w:autoSpaceDE/>
              <w:autoSpaceDN/>
              <w:bidi w:val="0"/>
              <w:adjustRightInd/>
              <w:snapToGrid/>
              <w:spacing w:beforeAutospacing="0" w:afterAutospacing="0" w:line="200" w:lineRule="atLeast"/>
              <w:ind w:right="0" w:firstLine="0" w:firstLineChars="0"/>
              <w:jc w:val="center"/>
              <w:rPr>
                <w:rFonts w:hint="eastAsia" w:ascii="宋体" w:hAnsi="宋体" w:cs="宋体"/>
                <w:color w:val="000000" w:themeColor="text1"/>
                <w:kern w:val="0"/>
                <w:sz w:val="16"/>
                <w:szCs w:val="16"/>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w:t>
            </w:r>
          </w:p>
        </w:tc>
        <w:tc>
          <w:tcPr>
            <w:tcW w:w="992" w:type="dxa"/>
            <w:tcBorders>
              <w:top w:val="nil"/>
              <w:left w:val="nil"/>
              <w:bottom w:val="single" w:color="auto" w:sz="4" w:space="0"/>
              <w:right w:val="single" w:color="auto" w:sz="4" w:space="0"/>
            </w:tcBorders>
            <w:shd w:val="clear" w:color="auto" w:fill="auto"/>
            <w:noWrap/>
            <w:vAlign w:val="center"/>
          </w:tcPr>
          <w:p w14:paraId="53933354">
            <w:pPr>
              <w:keepNext w:val="0"/>
              <w:keepLines w:val="0"/>
              <w:pageBreakBefore w:val="0"/>
              <w:widowControl/>
              <w:kinsoku/>
              <w:wordWrap/>
              <w:overflowPunct/>
              <w:topLinePunct w:val="0"/>
              <w:autoSpaceDE/>
              <w:autoSpaceDN/>
              <w:bidi w:val="0"/>
              <w:adjustRightInd/>
              <w:snapToGrid/>
              <w:spacing w:beforeAutospacing="0" w:afterAutospacing="0" w:line="200" w:lineRule="atLeast"/>
              <w:ind w:right="0" w:firstLine="0" w:firstLineChars="0"/>
              <w:jc w:val="center"/>
              <w:rPr>
                <w:rFonts w:hint="default" w:ascii="宋体" w:hAnsi="宋体" w:cs="宋体" w:eastAsiaTheme="minorEastAsia"/>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98</w:t>
            </w:r>
          </w:p>
        </w:tc>
        <w:tc>
          <w:tcPr>
            <w:tcW w:w="1149" w:type="dxa"/>
            <w:tcBorders>
              <w:top w:val="nil"/>
              <w:left w:val="nil"/>
              <w:bottom w:val="single" w:color="auto" w:sz="4" w:space="0"/>
              <w:right w:val="single" w:color="auto" w:sz="4" w:space="0"/>
            </w:tcBorders>
            <w:shd w:val="clear" w:color="auto" w:fill="auto"/>
            <w:noWrap/>
            <w:vAlign w:val="center"/>
          </w:tcPr>
          <w:p w14:paraId="502A1829">
            <w:pPr>
              <w:keepNext w:val="0"/>
              <w:keepLines w:val="0"/>
              <w:pageBreakBefore w:val="0"/>
              <w:widowControl/>
              <w:kinsoku/>
              <w:wordWrap/>
              <w:overflowPunct/>
              <w:topLinePunct w:val="0"/>
              <w:autoSpaceDE/>
              <w:autoSpaceDN/>
              <w:bidi w:val="0"/>
              <w:adjustRightInd/>
              <w:snapToGrid/>
              <w:spacing w:beforeAutospacing="0" w:afterAutospacing="0" w:line="200" w:lineRule="atLeast"/>
              <w:ind w:right="0" w:firstLine="0" w:firstLineChars="0"/>
              <w:jc w:val="center"/>
              <w:rPr>
                <w:rFonts w:hint="default" w:ascii="宋体" w:hAnsi="宋体" w:cs="宋体" w:eastAsiaTheme="minorEastAsia"/>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98</w:t>
            </w:r>
          </w:p>
        </w:tc>
        <w:tc>
          <w:tcPr>
            <w:tcW w:w="957" w:type="dxa"/>
            <w:tcBorders>
              <w:top w:val="nil"/>
              <w:left w:val="nil"/>
              <w:bottom w:val="single" w:color="auto" w:sz="4" w:space="0"/>
              <w:right w:val="single" w:color="auto" w:sz="4" w:space="0"/>
            </w:tcBorders>
            <w:shd w:val="clear" w:color="auto" w:fill="auto"/>
            <w:noWrap/>
            <w:vAlign w:val="center"/>
          </w:tcPr>
          <w:p w14:paraId="40682AE0">
            <w:pPr>
              <w:keepNext w:val="0"/>
              <w:keepLines w:val="0"/>
              <w:pageBreakBefore w:val="0"/>
              <w:widowControl/>
              <w:kinsoku/>
              <w:wordWrap/>
              <w:overflowPunct/>
              <w:topLinePunct w:val="0"/>
              <w:autoSpaceDE/>
              <w:autoSpaceDN/>
              <w:bidi w:val="0"/>
              <w:adjustRightInd/>
              <w:snapToGrid/>
              <w:spacing w:beforeAutospacing="0" w:afterAutospacing="0" w:line="200" w:lineRule="atLeast"/>
              <w:ind w:right="0" w:firstLine="0" w:firstLineChars="0"/>
              <w:jc w:val="center"/>
              <w:rPr>
                <w:rFonts w:hint="eastAsia" w:ascii="宋体" w:hAnsi="宋体" w:cs="宋体" w:eastAsiaTheme="minorEastAsia"/>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0</w:t>
            </w:r>
          </w:p>
        </w:tc>
        <w:tc>
          <w:tcPr>
            <w:tcW w:w="1043" w:type="dxa"/>
            <w:tcBorders>
              <w:top w:val="nil"/>
              <w:left w:val="nil"/>
              <w:bottom w:val="single" w:color="auto" w:sz="4" w:space="0"/>
              <w:right w:val="single" w:color="auto" w:sz="4" w:space="0"/>
            </w:tcBorders>
            <w:shd w:val="clear" w:color="auto" w:fill="auto"/>
            <w:noWrap/>
            <w:vAlign w:val="center"/>
          </w:tcPr>
          <w:p w14:paraId="0C8149DF">
            <w:pPr>
              <w:keepNext w:val="0"/>
              <w:keepLines w:val="0"/>
              <w:pageBreakBefore w:val="0"/>
              <w:widowControl/>
              <w:kinsoku/>
              <w:wordWrap/>
              <w:overflowPunct/>
              <w:topLinePunct w:val="0"/>
              <w:autoSpaceDE/>
              <w:autoSpaceDN/>
              <w:bidi w:val="0"/>
              <w:adjustRightInd/>
              <w:snapToGrid/>
              <w:spacing w:beforeAutospacing="0" w:afterAutospacing="0" w:line="200" w:lineRule="atLeast"/>
              <w:ind w:right="0" w:firstLine="0" w:firstLineChars="0"/>
              <w:jc w:val="center"/>
              <w:rPr>
                <w:rFonts w:hint="default" w:ascii="宋体" w:hAnsi="宋体" w:cs="宋体" w:eastAsiaTheme="minorEastAsia"/>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100</w:t>
            </w:r>
          </w:p>
        </w:tc>
        <w:tc>
          <w:tcPr>
            <w:tcW w:w="709" w:type="dxa"/>
            <w:tcBorders>
              <w:top w:val="nil"/>
              <w:left w:val="nil"/>
              <w:bottom w:val="single" w:color="auto" w:sz="4" w:space="0"/>
              <w:right w:val="single" w:color="auto" w:sz="4" w:space="0"/>
            </w:tcBorders>
            <w:shd w:val="clear" w:color="auto" w:fill="auto"/>
            <w:noWrap/>
            <w:vAlign w:val="center"/>
          </w:tcPr>
          <w:p w14:paraId="4FDAFBA2">
            <w:pPr>
              <w:keepNext w:val="0"/>
              <w:keepLines w:val="0"/>
              <w:pageBreakBefore w:val="0"/>
              <w:widowControl/>
              <w:kinsoku/>
              <w:wordWrap/>
              <w:overflowPunct/>
              <w:topLinePunct w:val="0"/>
              <w:autoSpaceDE/>
              <w:autoSpaceDN/>
              <w:bidi w:val="0"/>
              <w:adjustRightInd/>
              <w:snapToGrid/>
              <w:spacing w:beforeAutospacing="0" w:afterAutospacing="0" w:line="200" w:lineRule="atLeast"/>
              <w:ind w:right="0" w:firstLine="0" w:firstLineChars="0"/>
              <w:jc w:val="center"/>
              <w:rPr>
                <w:rFonts w:hint="default" w:ascii="宋体" w:hAnsi="宋体" w:cs="宋体" w:eastAsiaTheme="minorEastAsia"/>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10</w:t>
            </w:r>
          </w:p>
        </w:tc>
        <w:tc>
          <w:tcPr>
            <w:tcW w:w="799" w:type="dxa"/>
            <w:tcBorders>
              <w:top w:val="nil"/>
              <w:left w:val="nil"/>
              <w:bottom w:val="single" w:color="auto" w:sz="4" w:space="0"/>
              <w:right w:val="single" w:color="auto" w:sz="4" w:space="0"/>
            </w:tcBorders>
            <w:shd w:val="clear" w:color="auto" w:fill="auto"/>
            <w:noWrap/>
            <w:vAlign w:val="center"/>
          </w:tcPr>
          <w:p w14:paraId="674DBA95">
            <w:pPr>
              <w:keepNext w:val="0"/>
              <w:keepLines w:val="0"/>
              <w:pageBreakBefore w:val="0"/>
              <w:widowControl/>
              <w:kinsoku/>
              <w:wordWrap/>
              <w:overflowPunct/>
              <w:topLinePunct w:val="0"/>
              <w:autoSpaceDE/>
              <w:autoSpaceDN/>
              <w:bidi w:val="0"/>
              <w:adjustRightInd/>
              <w:snapToGrid/>
              <w:spacing w:beforeAutospacing="0" w:afterAutospacing="0" w:line="200" w:lineRule="atLeast"/>
              <w:ind w:right="0" w:firstLine="0" w:firstLineChars="0"/>
              <w:jc w:val="center"/>
              <w:rPr>
                <w:rFonts w:hint="default" w:ascii="宋体" w:hAnsi="宋体" w:cs="宋体" w:eastAsiaTheme="minorEastAsia"/>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10</w:t>
            </w:r>
          </w:p>
        </w:tc>
        <w:tc>
          <w:tcPr>
            <w:tcW w:w="1298" w:type="dxa"/>
            <w:tcBorders>
              <w:top w:val="nil"/>
              <w:left w:val="nil"/>
              <w:bottom w:val="single" w:color="auto" w:sz="4" w:space="0"/>
              <w:right w:val="single" w:color="auto" w:sz="4" w:space="0"/>
            </w:tcBorders>
            <w:shd w:val="clear" w:color="auto" w:fill="auto"/>
            <w:noWrap/>
            <w:vAlign w:val="center"/>
          </w:tcPr>
          <w:p w14:paraId="781272C6">
            <w:pPr>
              <w:keepNext w:val="0"/>
              <w:keepLines w:val="0"/>
              <w:pageBreakBefore w:val="0"/>
              <w:widowControl/>
              <w:kinsoku/>
              <w:wordWrap/>
              <w:overflowPunct/>
              <w:topLinePunct w:val="0"/>
              <w:autoSpaceDE/>
              <w:autoSpaceDN/>
              <w:bidi w:val="0"/>
              <w:adjustRightInd/>
              <w:snapToGrid/>
              <w:spacing w:beforeAutospacing="0" w:afterAutospacing="0" w:line="200" w:lineRule="atLeast"/>
              <w:ind w:right="0" w:firstLine="0" w:firstLineChars="0"/>
              <w:jc w:val="center"/>
              <w:rPr>
                <w:rFonts w:hint="eastAsia" w:ascii="宋体" w:hAnsi="宋体" w:cs="宋体"/>
                <w:color w:val="000000" w:themeColor="text1"/>
                <w:kern w:val="0"/>
                <w:sz w:val="16"/>
                <w:szCs w:val="16"/>
                <w14:textFill>
                  <w14:solidFill>
                    <w14:schemeClr w14:val="tx1"/>
                  </w14:solidFill>
                </w14:textFill>
              </w:rPr>
            </w:pPr>
          </w:p>
        </w:tc>
        <w:tc>
          <w:tcPr>
            <w:tcW w:w="1588" w:type="dxa"/>
            <w:gridSpan w:val="2"/>
            <w:tcBorders>
              <w:top w:val="single" w:color="auto" w:sz="4" w:space="0"/>
              <w:left w:val="nil"/>
              <w:bottom w:val="single" w:color="auto" w:sz="4" w:space="0"/>
              <w:right w:val="single" w:color="000000" w:sz="4" w:space="0"/>
            </w:tcBorders>
            <w:shd w:val="clear" w:color="auto" w:fill="auto"/>
            <w:noWrap/>
            <w:vAlign w:val="center"/>
          </w:tcPr>
          <w:p w14:paraId="58BAB7B1">
            <w:pPr>
              <w:keepNext w:val="0"/>
              <w:keepLines w:val="0"/>
              <w:pageBreakBefore w:val="0"/>
              <w:widowControl/>
              <w:kinsoku/>
              <w:wordWrap/>
              <w:overflowPunct/>
              <w:topLinePunct w:val="0"/>
              <w:autoSpaceDE/>
              <w:autoSpaceDN/>
              <w:bidi w:val="0"/>
              <w:adjustRightInd/>
              <w:snapToGrid/>
              <w:spacing w:beforeAutospacing="0" w:afterAutospacing="0" w:line="200" w:lineRule="atLeast"/>
              <w:ind w:right="0" w:firstLine="0" w:firstLineChars="0"/>
              <w:jc w:val="center"/>
              <w:rPr>
                <w:rFonts w:hint="eastAsia" w:ascii="宋体" w:hAnsi="宋体" w:cs="宋体"/>
                <w:color w:val="000000" w:themeColor="text1"/>
                <w:kern w:val="0"/>
                <w:sz w:val="16"/>
                <w:szCs w:val="16"/>
                <w14:textFill>
                  <w14:solidFill>
                    <w14:schemeClr w14:val="tx1"/>
                  </w14:solidFill>
                </w14:textFill>
              </w:rPr>
            </w:pPr>
          </w:p>
        </w:tc>
      </w:tr>
      <w:tr w14:paraId="113D2650">
        <w:tblPrEx>
          <w:tblCellMar>
            <w:top w:w="0" w:type="dxa"/>
            <w:left w:w="108" w:type="dxa"/>
            <w:bottom w:w="0" w:type="dxa"/>
            <w:right w:w="108" w:type="dxa"/>
          </w:tblCellMar>
        </w:tblPrEx>
        <w:trPr>
          <w:trHeight w:val="499" w:hRule="atLeast"/>
          <w:jc w:val="center"/>
        </w:trPr>
        <w:tc>
          <w:tcPr>
            <w:tcW w:w="1427" w:type="dxa"/>
            <w:tcBorders>
              <w:top w:val="nil"/>
              <w:left w:val="single" w:color="auto" w:sz="4" w:space="0"/>
              <w:bottom w:val="single" w:color="auto" w:sz="4" w:space="0"/>
              <w:right w:val="single" w:color="auto" w:sz="4" w:space="0"/>
            </w:tcBorders>
            <w:shd w:val="clear" w:color="auto" w:fill="auto"/>
            <w:noWrap/>
            <w:vAlign w:val="center"/>
          </w:tcPr>
          <w:p w14:paraId="0F8FBC5B">
            <w:pPr>
              <w:keepNext w:val="0"/>
              <w:keepLines w:val="0"/>
              <w:pageBreakBefore w:val="0"/>
              <w:widowControl/>
              <w:kinsoku/>
              <w:wordWrap/>
              <w:overflowPunct/>
              <w:topLinePunct w:val="0"/>
              <w:autoSpaceDE/>
              <w:autoSpaceDN/>
              <w:bidi w:val="0"/>
              <w:adjustRightInd/>
              <w:snapToGrid/>
              <w:spacing w:beforeAutospacing="0" w:afterAutospacing="0" w:line="200" w:lineRule="atLeast"/>
              <w:ind w:right="0" w:firstLine="0" w:firstLineChars="0"/>
              <w:jc w:val="center"/>
              <w:rPr>
                <w:rFonts w:hint="eastAsia" w:ascii="宋体" w:hAnsi="宋体" w:cs="宋体"/>
                <w:color w:val="000000" w:themeColor="text1"/>
                <w:kern w:val="0"/>
                <w:sz w:val="16"/>
                <w:szCs w:val="16"/>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地形图测绘、农房图集设计</w:t>
            </w:r>
          </w:p>
        </w:tc>
        <w:tc>
          <w:tcPr>
            <w:tcW w:w="616" w:type="dxa"/>
            <w:tcBorders>
              <w:top w:val="nil"/>
              <w:left w:val="nil"/>
              <w:bottom w:val="single" w:color="auto" w:sz="4" w:space="0"/>
              <w:right w:val="single" w:color="auto" w:sz="4" w:space="0"/>
            </w:tcBorders>
            <w:shd w:val="clear" w:color="auto" w:fill="auto"/>
            <w:noWrap/>
            <w:vAlign w:val="center"/>
          </w:tcPr>
          <w:p w14:paraId="29863DDC">
            <w:pPr>
              <w:keepNext w:val="0"/>
              <w:keepLines w:val="0"/>
              <w:pageBreakBefore w:val="0"/>
              <w:widowControl/>
              <w:kinsoku/>
              <w:wordWrap/>
              <w:overflowPunct/>
              <w:topLinePunct w:val="0"/>
              <w:autoSpaceDE/>
              <w:autoSpaceDN/>
              <w:bidi w:val="0"/>
              <w:adjustRightInd/>
              <w:snapToGrid/>
              <w:spacing w:beforeAutospacing="0" w:afterAutospacing="0" w:line="200" w:lineRule="atLeast"/>
              <w:ind w:right="0" w:firstLine="0" w:firstLineChars="0"/>
              <w:jc w:val="center"/>
              <w:rPr>
                <w:rFonts w:hint="eastAsia" w:ascii="宋体" w:hAnsi="宋体" w:cs="宋体"/>
                <w:color w:val="000000" w:themeColor="text1"/>
                <w:kern w:val="0"/>
                <w:sz w:val="16"/>
                <w:szCs w:val="16"/>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万元</w:t>
            </w:r>
          </w:p>
        </w:tc>
        <w:tc>
          <w:tcPr>
            <w:tcW w:w="670" w:type="dxa"/>
            <w:tcBorders>
              <w:top w:val="nil"/>
              <w:left w:val="nil"/>
              <w:bottom w:val="single" w:color="auto" w:sz="4" w:space="0"/>
              <w:right w:val="single" w:color="auto" w:sz="4" w:space="0"/>
            </w:tcBorders>
            <w:shd w:val="clear" w:color="auto" w:fill="auto"/>
            <w:noWrap/>
            <w:vAlign w:val="center"/>
          </w:tcPr>
          <w:p w14:paraId="28E5BBE1">
            <w:pPr>
              <w:keepNext w:val="0"/>
              <w:keepLines w:val="0"/>
              <w:pageBreakBefore w:val="0"/>
              <w:widowControl/>
              <w:kinsoku/>
              <w:wordWrap/>
              <w:overflowPunct/>
              <w:topLinePunct w:val="0"/>
              <w:autoSpaceDE/>
              <w:autoSpaceDN/>
              <w:bidi w:val="0"/>
              <w:adjustRightInd/>
              <w:snapToGrid/>
              <w:spacing w:beforeAutospacing="0" w:afterAutospacing="0" w:line="200" w:lineRule="atLeast"/>
              <w:ind w:right="0" w:firstLine="0" w:firstLineChars="0"/>
              <w:jc w:val="center"/>
              <w:rPr>
                <w:rFonts w:hint="eastAsia" w:ascii="宋体" w:hAnsi="宋体" w:cs="宋体" w:eastAsiaTheme="minorEastAsia"/>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w:t>
            </w:r>
          </w:p>
        </w:tc>
        <w:tc>
          <w:tcPr>
            <w:tcW w:w="992" w:type="dxa"/>
            <w:tcBorders>
              <w:top w:val="nil"/>
              <w:left w:val="nil"/>
              <w:bottom w:val="single" w:color="auto" w:sz="4" w:space="0"/>
              <w:right w:val="single" w:color="auto" w:sz="4" w:space="0"/>
            </w:tcBorders>
            <w:shd w:val="clear" w:color="auto" w:fill="auto"/>
            <w:noWrap/>
            <w:vAlign w:val="center"/>
          </w:tcPr>
          <w:p w14:paraId="1741AA5F">
            <w:pPr>
              <w:keepNext w:val="0"/>
              <w:keepLines w:val="0"/>
              <w:pageBreakBefore w:val="0"/>
              <w:widowControl/>
              <w:kinsoku/>
              <w:wordWrap/>
              <w:overflowPunct/>
              <w:topLinePunct w:val="0"/>
              <w:autoSpaceDE/>
              <w:autoSpaceDN/>
              <w:bidi w:val="0"/>
              <w:adjustRightInd/>
              <w:snapToGrid/>
              <w:spacing w:beforeAutospacing="0" w:afterAutospacing="0" w:line="200" w:lineRule="atLeast"/>
              <w:ind w:right="0" w:firstLine="0" w:firstLineChars="0"/>
              <w:jc w:val="center"/>
              <w:rPr>
                <w:rFonts w:hint="eastAsia" w:ascii="宋体" w:hAnsi="宋体" w:cs="宋体"/>
                <w:color w:val="000000" w:themeColor="text1"/>
                <w:kern w:val="0"/>
                <w:sz w:val="16"/>
                <w:szCs w:val="16"/>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10</w:t>
            </w:r>
          </w:p>
        </w:tc>
        <w:tc>
          <w:tcPr>
            <w:tcW w:w="1149" w:type="dxa"/>
            <w:tcBorders>
              <w:top w:val="nil"/>
              <w:left w:val="nil"/>
              <w:bottom w:val="single" w:color="auto" w:sz="4" w:space="0"/>
              <w:right w:val="single" w:color="auto" w:sz="4" w:space="0"/>
            </w:tcBorders>
            <w:shd w:val="clear" w:color="auto" w:fill="auto"/>
            <w:noWrap/>
            <w:vAlign w:val="center"/>
          </w:tcPr>
          <w:p w14:paraId="01A1B40C">
            <w:pPr>
              <w:keepNext w:val="0"/>
              <w:keepLines w:val="0"/>
              <w:pageBreakBefore w:val="0"/>
              <w:widowControl/>
              <w:kinsoku/>
              <w:wordWrap/>
              <w:overflowPunct/>
              <w:topLinePunct w:val="0"/>
              <w:autoSpaceDE/>
              <w:autoSpaceDN/>
              <w:bidi w:val="0"/>
              <w:adjustRightInd/>
              <w:snapToGrid/>
              <w:spacing w:beforeAutospacing="0" w:afterAutospacing="0" w:line="200" w:lineRule="atLeast"/>
              <w:ind w:right="0" w:firstLine="0" w:firstLineChars="0"/>
              <w:jc w:val="center"/>
              <w:rPr>
                <w:rFonts w:hint="eastAsia" w:ascii="宋体" w:hAnsi="宋体" w:cs="宋体"/>
                <w:color w:val="000000" w:themeColor="text1"/>
                <w:kern w:val="0"/>
                <w:sz w:val="16"/>
                <w:szCs w:val="16"/>
                <w14:textFill>
                  <w14:solidFill>
                    <w14:schemeClr w14:val="tx1"/>
                  </w14:solidFill>
                </w14:textFill>
              </w:rPr>
            </w:pPr>
            <w:r>
              <w:rPr>
                <w:rFonts w:hint="eastAsia" w:ascii="宋体" w:hAnsi="宋体" w:cs="宋体"/>
                <w:color w:val="000000" w:themeColor="text1"/>
                <w:kern w:val="0"/>
                <w:sz w:val="16"/>
                <w:szCs w:val="16"/>
                <w14:textFill>
                  <w14:solidFill>
                    <w14:schemeClr w14:val="tx1"/>
                  </w14:solidFill>
                </w14:textFill>
              </w:rPr>
              <w:t>10</w:t>
            </w:r>
          </w:p>
        </w:tc>
        <w:tc>
          <w:tcPr>
            <w:tcW w:w="957" w:type="dxa"/>
            <w:tcBorders>
              <w:top w:val="nil"/>
              <w:left w:val="nil"/>
              <w:bottom w:val="single" w:color="auto" w:sz="4" w:space="0"/>
              <w:right w:val="single" w:color="auto" w:sz="4" w:space="0"/>
            </w:tcBorders>
            <w:shd w:val="clear" w:color="auto" w:fill="auto"/>
            <w:noWrap/>
            <w:vAlign w:val="center"/>
          </w:tcPr>
          <w:p w14:paraId="17D470C4">
            <w:pPr>
              <w:keepNext w:val="0"/>
              <w:keepLines w:val="0"/>
              <w:pageBreakBefore w:val="0"/>
              <w:widowControl/>
              <w:kinsoku/>
              <w:wordWrap/>
              <w:overflowPunct/>
              <w:topLinePunct w:val="0"/>
              <w:autoSpaceDE/>
              <w:autoSpaceDN/>
              <w:bidi w:val="0"/>
              <w:adjustRightInd/>
              <w:snapToGrid/>
              <w:spacing w:beforeAutospacing="0" w:afterAutospacing="0" w:line="200" w:lineRule="atLeast"/>
              <w:ind w:right="0" w:firstLine="0" w:firstLineChars="0"/>
              <w:jc w:val="center"/>
              <w:rPr>
                <w:rFonts w:hint="eastAsia" w:ascii="宋体" w:hAnsi="宋体" w:cs="宋体" w:eastAsiaTheme="minorEastAsia"/>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0</w:t>
            </w:r>
          </w:p>
        </w:tc>
        <w:tc>
          <w:tcPr>
            <w:tcW w:w="1043" w:type="dxa"/>
            <w:tcBorders>
              <w:top w:val="nil"/>
              <w:left w:val="nil"/>
              <w:bottom w:val="single" w:color="auto" w:sz="4" w:space="0"/>
              <w:right w:val="single" w:color="auto" w:sz="4" w:space="0"/>
            </w:tcBorders>
            <w:shd w:val="clear" w:color="auto" w:fill="auto"/>
            <w:noWrap/>
            <w:vAlign w:val="center"/>
          </w:tcPr>
          <w:p w14:paraId="04FA598F">
            <w:pPr>
              <w:keepNext w:val="0"/>
              <w:keepLines w:val="0"/>
              <w:pageBreakBefore w:val="0"/>
              <w:widowControl/>
              <w:kinsoku/>
              <w:wordWrap/>
              <w:overflowPunct/>
              <w:topLinePunct w:val="0"/>
              <w:autoSpaceDE/>
              <w:autoSpaceDN/>
              <w:bidi w:val="0"/>
              <w:adjustRightInd/>
              <w:snapToGrid/>
              <w:spacing w:beforeAutospacing="0" w:afterAutospacing="0" w:line="200" w:lineRule="atLeast"/>
              <w:ind w:right="0" w:firstLine="0" w:firstLineChars="0"/>
              <w:jc w:val="center"/>
              <w:rPr>
                <w:rFonts w:hint="default" w:ascii="宋体" w:hAnsi="宋体" w:cs="宋体" w:eastAsiaTheme="minorEastAsia"/>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100</w:t>
            </w:r>
          </w:p>
        </w:tc>
        <w:tc>
          <w:tcPr>
            <w:tcW w:w="709" w:type="dxa"/>
            <w:tcBorders>
              <w:top w:val="nil"/>
              <w:left w:val="nil"/>
              <w:bottom w:val="single" w:color="auto" w:sz="4" w:space="0"/>
              <w:right w:val="single" w:color="auto" w:sz="4" w:space="0"/>
            </w:tcBorders>
            <w:shd w:val="clear" w:color="auto" w:fill="auto"/>
            <w:noWrap/>
            <w:vAlign w:val="center"/>
          </w:tcPr>
          <w:p w14:paraId="5147624F">
            <w:pPr>
              <w:keepNext w:val="0"/>
              <w:keepLines w:val="0"/>
              <w:pageBreakBefore w:val="0"/>
              <w:widowControl/>
              <w:kinsoku/>
              <w:wordWrap/>
              <w:overflowPunct/>
              <w:topLinePunct w:val="0"/>
              <w:autoSpaceDE/>
              <w:autoSpaceDN/>
              <w:bidi w:val="0"/>
              <w:adjustRightInd/>
              <w:snapToGrid/>
              <w:spacing w:beforeAutospacing="0" w:afterAutospacing="0" w:line="200" w:lineRule="atLeast"/>
              <w:ind w:right="0" w:firstLine="0" w:firstLineChars="0"/>
              <w:jc w:val="center"/>
              <w:rPr>
                <w:rFonts w:hint="default" w:ascii="宋体" w:hAnsi="宋体" w:cs="宋体" w:eastAsiaTheme="minorEastAsia"/>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10</w:t>
            </w:r>
          </w:p>
        </w:tc>
        <w:tc>
          <w:tcPr>
            <w:tcW w:w="799" w:type="dxa"/>
            <w:tcBorders>
              <w:top w:val="nil"/>
              <w:left w:val="nil"/>
              <w:bottom w:val="single" w:color="auto" w:sz="4" w:space="0"/>
              <w:right w:val="single" w:color="auto" w:sz="4" w:space="0"/>
            </w:tcBorders>
            <w:shd w:val="clear" w:color="auto" w:fill="auto"/>
            <w:noWrap/>
            <w:vAlign w:val="center"/>
          </w:tcPr>
          <w:p w14:paraId="0C4A4E79">
            <w:pPr>
              <w:keepNext w:val="0"/>
              <w:keepLines w:val="0"/>
              <w:pageBreakBefore w:val="0"/>
              <w:widowControl/>
              <w:kinsoku/>
              <w:wordWrap/>
              <w:overflowPunct/>
              <w:topLinePunct w:val="0"/>
              <w:autoSpaceDE/>
              <w:autoSpaceDN/>
              <w:bidi w:val="0"/>
              <w:adjustRightInd/>
              <w:snapToGrid/>
              <w:spacing w:beforeAutospacing="0" w:afterAutospacing="0" w:line="200" w:lineRule="atLeast"/>
              <w:ind w:right="0" w:firstLine="0" w:firstLineChars="0"/>
              <w:jc w:val="center"/>
              <w:rPr>
                <w:rFonts w:hint="default" w:ascii="宋体" w:hAnsi="宋体" w:cs="宋体" w:eastAsiaTheme="minorEastAsia"/>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10</w:t>
            </w:r>
          </w:p>
        </w:tc>
        <w:tc>
          <w:tcPr>
            <w:tcW w:w="1298" w:type="dxa"/>
            <w:tcBorders>
              <w:top w:val="nil"/>
              <w:left w:val="nil"/>
              <w:bottom w:val="single" w:color="auto" w:sz="4" w:space="0"/>
              <w:right w:val="single" w:color="auto" w:sz="4" w:space="0"/>
            </w:tcBorders>
            <w:shd w:val="clear" w:color="auto" w:fill="auto"/>
            <w:noWrap/>
            <w:vAlign w:val="center"/>
          </w:tcPr>
          <w:p w14:paraId="50C1B45B">
            <w:pPr>
              <w:keepNext w:val="0"/>
              <w:keepLines w:val="0"/>
              <w:pageBreakBefore w:val="0"/>
              <w:widowControl/>
              <w:kinsoku/>
              <w:wordWrap/>
              <w:overflowPunct/>
              <w:topLinePunct w:val="0"/>
              <w:autoSpaceDE/>
              <w:autoSpaceDN/>
              <w:bidi w:val="0"/>
              <w:adjustRightInd/>
              <w:snapToGrid/>
              <w:spacing w:beforeAutospacing="0" w:afterAutospacing="0" w:line="200" w:lineRule="atLeast"/>
              <w:ind w:right="0" w:firstLine="0" w:firstLineChars="0"/>
              <w:jc w:val="center"/>
              <w:rPr>
                <w:rFonts w:hint="eastAsia" w:ascii="宋体" w:hAnsi="宋体" w:cs="宋体"/>
                <w:color w:val="000000" w:themeColor="text1"/>
                <w:kern w:val="0"/>
                <w:sz w:val="16"/>
                <w:szCs w:val="16"/>
                <w14:textFill>
                  <w14:solidFill>
                    <w14:schemeClr w14:val="tx1"/>
                  </w14:solidFill>
                </w14:textFill>
              </w:rPr>
            </w:pPr>
          </w:p>
        </w:tc>
        <w:tc>
          <w:tcPr>
            <w:tcW w:w="1588" w:type="dxa"/>
            <w:gridSpan w:val="2"/>
            <w:tcBorders>
              <w:top w:val="single" w:color="auto" w:sz="4" w:space="0"/>
              <w:left w:val="nil"/>
              <w:bottom w:val="single" w:color="auto" w:sz="4" w:space="0"/>
              <w:right w:val="single" w:color="000000" w:sz="4" w:space="0"/>
            </w:tcBorders>
            <w:shd w:val="clear" w:color="auto" w:fill="auto"/>
            <w:noWrap/>
            <w:vAlign w:val="center"/>
          </w:tcPr>
          <w:p w14:paraId="4FCC372C">
            <w:pPr>
              <w:keepNext w:val="0"/>
              <w:keepLines w:val="0"/>
              <w:pageBreakBefore w:val="0"/>
              <w:widowControl/>
              <w:kinsoku/>
              <w:wordWrap/>
              <w:overflowPunct/>
              <w:topLinePunct w:val="0"/>
              <w:autoSpaceDE/>
              <w:autoSpaceDN/>
              <w:bidi w:val="0"/>
              <w:adjustRightInd/>
              <w:snapToGrid/>
              <w:spacing w:beforeAutospacing="0" w:afterAutospacing="0" w:line="200" w:lineRule="atLeast"/>
              <w:ind w:right="0" w:firstLine="0" w:firstLineChars="0"/>
              <w:jc w:val="center"/>
              <w:rPr>
                <w:rFonts w:hint="eastAsia" w:ascii="宋体" w:hAnsi="宋体" w:cs="宋体"/>
                <w:color w:val="000000" w:themeColor="text1"/>
                <w:kern w:val="0"/>
                <w:sz w:val="16"/>
                <w:szCs w:val="16"/>
                <w14:textFill>
                  <w14:solidFill>
                    <w14:schemeClr w14:val="tx1"/>
                  </w14:solidFill>
                </w14:textFill>
              </w:rPr>
            </w:pPr>
          </w:p>
        </w:tc>
      </w:tr>
      <w:tr w14:paraId="1973570D">
        <w:tblPrEx>
          <w:tblCellMar>
            <w:top w:w="0" w:type="dxa"/>
            <w:left w:w="108" w:type="dxa"/>
            <w:bottom w:w="0" w:type="dxa"/>
            <w:right w:w="108" w:type="dxa"/>
          </w:tblCellMar>
        </w:tblPrEx>
        <w:trPr>
          <w:trHeight w:val="499" w:hRule="atLeast"/>
          <w:jc w:val="center"/>
        </w:trPr>
        <w:tc>
          <w:tcPr>
            <w:tcW w:w="1427" w:type="dxa"/>
            <w:tcBorders>
              <w:top w:val="nil"/>
              <w:left w:val="single" w:color="auto" w:sz="4" w:space="0"/>
              <w:bottom w:val="single" w:color="auto" w:sz="4" w:space="0"/>
              <w:right w:val="single" w:color="auto" w:sz="4" w:space="0"/>
            </w:tcBorders>
            <w:shd w:val="clear" w:color="auto" w:fill="auto"/>
            <w:noWrap/>
            <w:vAlign w:val="center"/>
          </w:tcPr>
          <w:p w14:paraId="6C48F283">
            <w:pPr>
              <w:keepNext w:val="0"/>
              <w:keepLines w:val="0"/>
              <w:pageBreakBefore w:val="0"/>
              <w:widowControl/>
              <w:kinsoku/>
              <w:wordWrap/>
              <w:overflowPunct/>
              <w:topLinePunct w:val="0"/>
              <w:autoSpaceDE/>
              <w:autoSpaceDN/>
              <w:bidi w:val="0"/>
              <w:adjustRightInd/>
              <w:snapToGrid/>
              <w:spacing w:beforeAutospacing="0" w:afterAutospacing="0" w:line="200" w:lineRule="atLeast"/>
              <w:ind w:right="0" w:firstLine="0" w:firstLineChars="0"/>
              <w:jc w:val="center"/>
              <w:rPr>
                <w:rFonts w:hint="eastAsia"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改善人居环境</w:t>
            </w:r>
          </w:p>
        </w:tc>
        <w:tc>
          <w:tcPr>
            <w:tcW w:w="616" w:type="dxa"/>
            <w:tcBorders>
              <w:top w:val="nil"/>
              <w:left w:val="nil"/>
              <w:bottom w:val="single" w:color="auto" w:sz="4" w:space="0"/>
              <w:right w:val="single" w:color="auto" w:sz="4" w:space="0"/>
            </w:tcBorders>
            <w:shd w:val="clear" w:color="auto" w:fill="auto"/>
            <w:noWrap/>
            <w:vAlign w:val="center"/>
          </w:tcPr>
          <w:p w14:paraId="4741AA88">
            <w:pPr>
              <w:keepNext w:val="0"/>
              <w:keepLines w:val="0"/>
              <w:pageBreakBefore w:val="0"/>
              <w:widowControl/>
              <w:kinsoku/>
              <w:wordWrap/>
              <w:overflowPunct/>
              <w:topLinePunct w:val="0"/>
              <w:autoSpaceDE/>
              <w:autoSpaceDN/>
              <w:bidi w:val="0"/>
              <w:adjustRightInd/>
              <w:snapToGrid/>
              <w:spacing w:beforeAutospacing="0" w:afterAutospacing="0" w:line="200" w:lineRule="atLeast"/>
              <w:ind w:right="0" w:firstLine="0" w:firstLineChars="0"/>
              <w:jc w:val="center"/>
              <w:rPr>
                <w:rFonts w:hint="eastAsia" w:ascii="宋体" w:hAnsi="宋体" w:cs="宋体"/>
                <w:color w:val="000000" w:themeColor="text1"/>
                <w:kern w:val="0"/>
                <w:sz w:val="16"/>
                <w:szCs w:val="16"/>
                <w:lang w:val="en-US" w:eastAsia="zh-CN"/>
                <w14:textFill>
                  <w14:solidFill>
                    <w14:schemeClr w14:val="tx1"/>
                  </w14:solidFill>
                </w14:textFill>
              </w:rPr>
            </w:pPr>
          </w:p>
        </w:tc>
        <w:tc>
          <w:tcPr>
            <w:tcW w:w="670" w:type="dxa"/>
            <w:tcBorders>
              <w:top w:val="nil"/>
              <w:left w:val="nil"/>
              <w:bottom w:val="single" w:color="auto" w:sz="4" w:space="0"/>
              <w:right w:val="single" w:color="auto" w:sz="4" w:space="0"/>
            </w:tcBorders>
            <w:shd w:val="clear" w:color="auto" w:fill="auto"/>
            <w:noWrap/>
            <w:vAlign w:val="center"/>
          </w:tcPr>
          <w:p w14:paraId="0D41B1A3">
            <w:pPr>
              <w:keepNext w:val="0"/>
              <w:keepLines w:val="0"/>
              <w:pageBreakBefore w:val="0"/>
              <w:widowControl/>
              <w:kinsoku/>
              <w:wordWrap/>
              <w:overflowPunct/>
              <w:topLinePunct w:val="0"/>
              <w:autoSpaceDE/>
              <w:autoSpaceDN/>
              <w:bidi w:val="0"/>
              <w:adjustRightInd/>
              <w:snapToGrid/>
              <w:spacing w:beforeAutospacing="0" w:afterAutospacing="0" w:line="200" w:lineRule="atLeast"/>
              <w:ind w:right="0" w:firstLine="0" w:firstLineChars="0"/>
              <w:jc w:val="center"/>
              <w:rPr>
                <w:rFonts w:hint="eastAsia"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定性</w:t>
            </w:r>
          </w:p>
        </w:tc>
        <w:tc>
          <w:tcPr>
            <w:tcW w:w="992" w:type="dxa"/>
            <w:tcBorders>
              <w:top w:val="nil"/>
              <w:left w:val="nil"/>
              <w:bottom w:val="single" w:color="auto" w:sz="4" w:space="0"/>
              <w:right w:val="single" w:color="auto" w:sz="4" w:space="0"/>
            </w:tcBorders>
            <w:shd w:val="clear" w:color="auto" w:fill="auto"/>
            <w:noWrap/>
            <w:vAlign w:val="center"/>
          </w:tcPr>
          <w:p w14:paraId="1527594B">
            <w:pPr>
              <w:keepNext w:val="0"/>
              <w:keepLines w:val="0"/>
              <w:pageBreakBefore w:val="0"/>
              <w:widowControl/>
              <w:kinsoku/>
              <w:wordWrap/>
              <w:overflowPunct/>
              <w:topLinePunct w:val="0"/>
              <w:autoSpaceDE/>
              <w:autoSpaceDN/>
              <w:bidi w:val="0"/>
              <w:adjustRightInd/>
              <w:snapToGrid/>
              <w:spacing w:beforeAutospacing="0" w:afterAutospacing="0" w:line="200" w:lineRule="atLeast"/>
              <w:ind w:right="0" w:firstLine="0" w:firstLineChars="0"/>
              <w:jc w:val="center"/>
              <w:rPr>
                <w:rFonts w:hint="eastAsia"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有效改善</w:t>
            </w:r>
          </w:p>
        </w:tc>
        <w:tc>
          <w:tcPr>
            <w:tcW w:w="1149" w:type="dxa"/>
            <w:tcBorders>
              <w:top w:val="nil"/>
              <w:left w:val="nil"/>
              <w:bottom w:val="single" w:color="auto" w:sz="4" w:space="0"/>
              <w:right w:val="single" w:color="auto" w:sz="4" w:space="0"/>
            </w:tcBorders>
            <w:shd w:val="clear" w:color="auto" w:fill="auto"/>
            <w:noWrap/>
            <w:vAlign w:val="center"/>
          </w:tcPr>
          <w:p w14:paraId="3B6FCDE3">
            <w:pPr>
              <w:keepNext w:val="0"/>
              <w:keepLines w:val="0"/>
              <w:pageBreakBefore w:val="0"/>
              <w:widowControl/>
              <w:kinsoku/>
              <w:wordWrap/>
              <w:overflowPunct/>
              <w:topLinePunct w:val="0"/>
              <w:autoSpaceDE/>
              <w:autoSpaceDN/>
              <w:bidi w:val="0"/>
              <w:adjustRightInd/>
              <w:snapToGrid/>
              <w:spacing w:beforeAutospacing="0" w:afterAutospacing="0" w:line="200" w:lineRule="atLeast"/>
              <w:ind w:right="0" w:firstLine="0" w:firstLineChars="0"/>
              <w:jc w:val="center"/>
              <w:rPr>
                <w:rFonts w:hint="eastAsia" w:ascii="宋体" w:hAnsi="宋体" w:cs="宋体"/>
                <w:color w:val="000000" w:themeColor="text1"/>
                <w:kern w:val="0"/>
                <w:sz w:val="16"/>
                <w:szCs w:val="16"/>
                <w:lang w:val="en-US" w:eastAsia="zh-CN"/>
                <w14:textFill>
                  <w14:solidFill>
                    <w14:schemeClr w14:val="tx1"/>
                  </w14:solidFill>
                </w14:textFill>
              </w:rPr>
            </w:pPr>
          </w:p>
        </w:tc>
        <w:tc>
          <w:tcPr>
            <w:tcW w:w="957" w:type="dxa"/>
            <w:tcBorders>
              <w:top w:val="nil"/>
              <w:left w:val="nil"/>
              <w:bottom w:val="single" w:color="auto" w:sz="4" w:space="0"/>
              <w:right w:val="single" w:color="auto" w:sz="4" w:space="0"/>
            </w:tcBorders>
            <w:shd w:val="clear" w:color="auto" w:fill="auto"/>
            <w:noWrap/>
            <w:vAlign w:val="center"/>
          </w:tcPr>
          <w:p w14:paraId="3B261DF8">
            <w:pPr>
              <w:keepNext w:val="0"/>
              <w:keepLines w:val="0"/>
              <w:pageBreakBefore w:val="0"/>
              <w:widowControl/>
              <w:kinsoku/>
              <w:wordWrap/>
              <w:overflowPunct/>
              <w:topLinePunct w:val="0"/>
              <w:autoSpaceDE/>
              <w:autoSpaceDN/>
              <w:bidi w:val="0"/>
              <w:adjustRightInd/>
              <w:snapToGrid/>
              <w:spacing w:beforeAutospacing="0" w:afterAutospacing="0" w:line="200" w:lineRule="atLeast"/>
              <w:ind w:right="0" w:firstLine="0" w:firstLineChars="0"/>
              <w:jc w:val="center"/>
              <w:rPr>
                <w:rFonts w:hint="eastAsia"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0</w:t>
            </w:r>
          </w:p>
        </w:tc>
        <w:tc>
          <w:tcPr>
            <w:tcW w:w="1043" w:type="dxa"/>
            <w:tcBorders>
              <w:top w:val="nil"/>
              <w:left w:val="nil"/>
              <w:bottom w:val="single" w:color="auto" w:sz="4" w:space="0"/>
              <w:right w:val="single" w:color="auto" w:sz="4" w:space="0"/>
            </w:tcBorders>
            <w:shd w:val="clear" w:color="auto" w:fill="auto"/>
            <w:noWrap/>
            <w:vAlign w:val="center"/>
          </w:tcPr>
          <w:p w14:paraId="710CC15D">
            <w:pPr>
              <w:keepNext w:val="0"/>
              <w:keepLines w:val="0"/>
              <w:pageBreakBefore w:val="0"/>
              <w:widowControl/>
              <w:kinsoku/>
              <w:wordWrap/>
              <w:overflowPunct/>
              <w:topLinePunct w:val="0"/>
              <w:autoSpaceDE/>
              <w:autoSpaceDN/>
              <w:bidi w:val="0"/>
              <w:adjustRightInd/>
              <w:snapToGrid/>
              <w:spacing w:beforeAutospacing="0" w:afterAutospacing="0" w:line="200" w:lineRule="atLeast"/>
              <w:ind w:right="0" w:firstLine="0" w:firstLineChars="0"/>
              <w:jc w:val="center"/>
              <w:rPr>
                <w:rFonts w:hint="default"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100</w:t>
            </w:r>
          </w:p>
        </w:tc>
        <w:tc>
          <w:tcPr>
            <w:tcW w:w="709" w:type="dxa"/>
            <w:tcBorders>
              <w:top w:val="nil"/>
              <w:left w:val="nil"/>
              <w:bottom w:val="single" w:color="auto" w:sz="4" w:space="0"/>
              <w:right w:val="single" w:color="auto" w:sz="4" w:space="0"/>
            </w:tcBorders>
            <w:shd w:val="clear" w:color="auto" w:fill="auto"/>
            <w:noWrap/>
            <w:vAlign w:val="center"/>
          </w:tcPr>
          <w:p w14:paraId="3F7B89BE">
            <w:pPr>
              <w:keepNext w:val="0"/>
              <w:keepLines w:val="0"/>
              <w:pageBreakBefore w:val="0"/>
              <w:widowControl/>
              <w:kinsoku/>
              <w:wordWrap/>
              <w:overflowPunct/>
              <w:topLinePunct w:val="0"/>
              <w:autoSpaceDE/>
              <w:autoSpaceDN/>
              <w:bidi w:val="0"/>
              <w:adjustRightInd/>
              <w:snapToGrid/>
              <w:spacing w:beforeAutospacing="0" w:afterAutospacing="0" w:line="200" w:lineRule="atLeast"/>
              <w:ind w:right="0" w:firstLine="0" w:firstLineChars="0"/>
              <w:jc w:val="center"/>
              <w:rPr>
                <w:rFonts w:hint="default"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10</w:t>
            </w:r>
          </w:p>
        </w:tc>
        <w:tc>
          <w:tcPr>
            <w:tcW w:w="799" w:type="dxa"/>
            <w:tcBorders>
              <w:top w:val="nil"/>
              <w:left w:val="nil"/>
              <w:bottom w:val="single" w:color="auto" w:sz="4" w:space="0"/>
              <w:right w:val="single" w:color="auto" w:sz="4" w:space="0"/>
            </w:tcBorders>
            <w:shd w:val="clear" w:color="auto" w:fill="auto"/>
            <w:noWrap/>
            <w:vAlign w:val="center"/>
          </w:tcPr>
          <w:p w14:paraId="6F2580B7">
            <w:pPr>
              <w:keepNext w:val="0"/>
              <w:keepLines w:val="0"/>
              <w:pageBreakBefore w:val="0"/>
              <w:widowControl/>
              <w:kinsoku/>
              <w:wordWrap/>
              <w:overflowPunct/>
              <w:topLinePunct w:val="0"/>
              <w:autoSpaceDE/>
              <w:autoSpaceDN/>
              <w:bidi w:val="0"/>
              <w:adjustRightInd/>
              <w:snapToGrid/>
              <w:spacing w:beforeAutospacing="0" w:afterAutospacing="0" w:line="200" w:lineRule="atLeast"/>
              <w:ind w:right="0" w:firstLine="0" w:firstLineChars="0"/>
              <w:jc w:val="center"/>
              <w:rPr>
                <w:rFonts w:hint="default"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10</w:t>
            </w:r>
          </w:p>
        </w:tc>
        <w:tc>
          <w:tcPr>
            <w:tcW w:w="1298" w:type="dxa"/>
            <w:tcBorders>
              <w:top w:val="nil"/>
              <w:left w:val="nil"/>
              <w:bottom w:val="single" w:color="auto" w:sz="4" w:space="0"/>
              <w:right w:val="single" w:color="auto" w:sz="4" w:space="0"/>
            </w:tcBorders>
            <w:shd w:val="clear" w:color="auto" w:fill="auto"/>
            <w:noWrap/>
            <w:vAlign w:val="center"/>
          </w:tcPr>
          <w:p w14:paraId="1F057622">
            <w:pPr>
              <w:keepNext w:val="0"/>
              <w:keepLines w:val="0"/>
              <w:pageBreakBefore w:val="0"/>
              <w:widowControl/>
              <w:kinsoku/>
              <w:wordWrap/>
              <w:overflowPunct/>
              <w:topLinePunct w:val="0"/>
              <w:autoSpaceDE/>
              <w:autoSpaceDN/>
              <w:bidi w:val="0"/>
              <w:adjustRightInd/>
              <w:snapToGrid/>
              <w:spacing w:beforeAutospacing="0" w:afterAutospacing="0" w:line="200" w:lineRule="atLeast"/>
              <w:ind w:right="0" w:firstLine="0" w:firstLineChars="0"/>
              <w:jc w:val="center"/>
              <w:rPr>
                <w:rFonts w:hint="eastAsia" w:ascii="宋体" w:hAnsi="宋体" w:cs="宋体"/>
                <w:color w:val="000000" w:themeColor="text1"/>
                <w:kern w:val="0"/>
                <w:sz w:val="16"/>
                <w:szCs w:val="16"/>
                <w14:textFill>
                  <w14:solidFill>
                    <w14:schemeClr w14:val="tx1"/>
                  </w14:solidFill>
                </w14:textFill>
              </w:rPr>
            </w:pPr>
          </w:p>
        </w:tc>
        <w:tc>
          <w:tcPr>
            <w:tcW w:w="1588" w:type="dxa"/>
            <w:gridSpan w:val="2"/>
            <w:tcBorders>
              <w:top w:val="single" w:color="auto" w:sz="4" w:space="0"/>
              <w:left w:val="nil"/>
              <w:bottom w:val="single" w:color="auto" w:sz="4" w:space="0"/>
              <w:right w:val="single" w:color="000000" w:sz="4" w:space="0"/>
            </w:tcBorders>
            <w:shd w:val="clear" w:color="auto" w:fill="auto"/>
            <w:noWrap/>
            <w:vAlign w:val="center"/>
          </w:tcPr>
          <w:p w14:paraId="33664230">
            <w:pPr>
              <w:keepNext w:val="0"/>
              <w:keepLines w:val="0"/>
              <w:pageBreakBefore w:val="0"/>
              <w:widowControl/>
              <w:kinsoku/>
              <w:wordWrap/>
              <w:overflowPunct/>
              <w:topLinePunct w:val="0"/>
              <w:autoSpaceDE/>
              <w:autoSpaceDN/>
              <w:bidi w:val="0"/>
              <w:adjustRightInd/>
              <w:snapToGrid/>
              <w:spacing w:beforeAutospacing="0" w:afterAutospacing="0" w:line="200" w:lineRule="atLeast"/>
              <w:ind w:right="0" w:firstLine="0" w:firstLineChars="0"/>
              <w:jc w:val="center"/>
              <w:rPr>
                <w:rFonts w:hint="eastAsia" w:ascii="宋体" w:hAnsi="宋体" w:cs="宋体"/>
                <w:color w:val="000000" w:themeColor="text1"/>
                <w:kern w:val="0"/>
                <w:sz w:val="16"/>
                <w:szCs w:val="16"/>
                <w14:textFill>
                  <w14:solidFill>
                    <w14:schemeClr w14:val="tx1"/>
                  </w14:solidFill>
                </w14:textFill>
              </w:rPr>
            </w:pPr>
          </w:p>
        </w:tc>
      </w:tr>
      <w:tr w14:paraId="1D525856">
        <w:tblPrEx>
          <w:tblCellMar>
            <w:top w:w="0" w:type="dxa"/>
            <w:left w:w="108" w:type="dxa"/>
            <w:bottom w:w="0" w:type="dxa"/>
            <w:right w:w="108" w:type="dxa"/>
          </w:tblCellMar>
        </w:tblPrEx>
        <w:trPr>
          <w:trHeight w:val="499" w:hRule="atLeast"/>
          <w:jc w:val="center"/>
        </w:trPr>
        <w:tc>
          <w:tcPr>
            <w:tcW w:w="1427" w:type="dxa"/>
            <w:tcBorders>
              <w:top w:val="nil"/>
              <w:left w:val="single" w:color="auto" w:sz="4" w:space="0"/>
              <w:bottom w:val="single" w:color="auto" w:sz="4" w:space="0"/>
              <w:right w:val="single" w:color="auto" w:sz="4" w:space="0"/>
            </w:tcBorders>
            <w:shd w:val="clear" w:color="auto" w:fill="auto"/>
            <w:noWrap/>
            <w:vAlign w:val="center"/>
          </w:tcPr>
          <w:p w14:paraId="04D080E8">
            <w:pPr>
              <w:keepNext w:val="0"/>
              <w:keepLines w:val="0"/>
              <w:pageBreakBefore w:val="0"/>
              <w:widowControl/>
              <w:kinsoku/>
              <w:wordWrap/>
              <w:overflowPunct/>
              <w:topLinePunct w:val="0"/>
              <w:autoSpaceDE/>
              <w:autoSpaceDN/>
              <w:bidi w:val="0"/>
              <w:adjustRightInd/>
              <w:snapToGrid/>
              <w:spacing w:beforeAutospacing="0" w:afterAutospacing="0" w:line="200" w:lineRule="atLeast"/>
              <w:ind w:right="0" w:firstLine="0" w:firstLineChars="0"/>
              <w:jc w:val="center"/>
              <w:rPr>
                <w:rFonts w:hint="eastAsia"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项目后期管护延续性</w:t>
            </w:r>
          </w:p>
        </w:tc>
        <w:tc>
          <w:tcPr>
            <w:tcW w:w="616" w:type="dxa"/>
            <w:tcBorders>
              <w:top w:val="nil"/>
              <w:left w:val="nil"/>
              <w:bottom w:val="single" w:color="auto" w:sz="4" w:space="0"/>
              <w:right w:val="single" w:color="auto" w:sz="4" w:space="0"/>
            </w:tcBorders>
            <w:shd w:val="clear" w:color="auto" w:fill="auto"/>
            <w:noWrap/>
            <w:vAlign w:val="center"/>
          </w:tcPr>
          <w:p w14:paraId="5C30FA51">
            <w:pPr>
              <w:keepNext w:val="0"/>
              <w:keepLines w:val="0"/>
              <w:pageBreakBefore w:val="0"/>
              <w:widowControl/>
              <w:kinsoku/>
              <w:wordWrap/>
              <w:overflowPunct/>
              <w:topLinePunct w:val="0"/>
              <w:autoSpaceDE/>
              <w:autoSpaceDN/>
              <w:bidi w:val="0"/>
              <w:adjustRightInd/>
              <w:snapToGrid/>
              <w:spacing w:beforeAutospacing="0" w:afterAutospacing="0" w:line="200" w:lineRule="atLeast"/>
              <w:ind w:right="0" w:firstLine="0" w:firstLineChars="0"/>
              <w:jc w:val="center"/>
              <w:rPr>
                <w:rFonts w:hint="eastAsia"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年</w:t>
            </w:r>
          </w:p>
        </w:tc>
        <w:tc>
          <w:tcPr>
            <w:tcW w:w="670" w:type="dxa"/>
            <w:tcBorders>
              <w:top w:val="nil"/>
              <w:left w:val="nil"/>
              <w:bottom w:val="single" w:color="auto" w:sz="4" w:space="0"/>
              <w:right w:val="single" w:color="auto" w:sz="4" w:space="0"/>
            </w:tcBorders>
            <w:shd w:val="clear" w:color="auto" w:fill="auto"/>
            <w:noWrap/>
            <w:vAlign w:val="center"/>
          </w:tcPr>
          <w:p w14:paraId="786097AF">
            <w:pPr>
              <w:keepNext w:val="0"/>
              <w:keepLines w:val="0"/>
              <w:pageBreakBefore w:val="0"/>
              <w:widowControl/>
              <w:kinsoku/>
              <w:wordWrap/>
              <w:overflowPunct/>
              <w:topLinePunct w:val="0"/>
              <w:autoSpaceDE/>
              <w:autoSpaceDN/>
              <w:bidi w:val="0"/>
              <w:adjustRightInd/>
              <w:snapToGrid/>
              <w:spacing w:beforeAutospacing="0" w:afterAutospacing="0" w:line="200" w:lineRule="atLeast"/>
              <w:ind w:right="0" w:firstLine="0" w:firstLineChars="0"/>
              <w:jc w:val="center"/>
              <w:rPr>
                <w:rFonts w:hint="eastAsia"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w:t>
            </w:r>
          </w:p>
        </w:tc>
        <w:tc>
          <w:tcPr>
            <w:tcW w:w="992" w:type="dxa"/>
            <w:tcBorders>
              <w:top w:val="nil"/>
              <w:left w:val="nil"/>
              <w:bottom w:val="single" w:color="auto" w:sz="4" w:space="0"/>
              <w:right w:val="single" w:color="auto" w:sz="4" w:space="0"/>
            </w:tcBorders>
            <w:shd w:val="clear" w:color="auto" w:fill="auto"/>
            <w:noWrap/>
            <w:vAlign w:val="center"/>
          </w:tcPr>
          <w:p w14:paraId="6CDE1B41">
            <w:pPr>
              <w:keepNext w:val="0"/>
              <w:keepLines w:val="0"/>
              <w:pageBreakBefore w:val="0"/>
              <w:widowControl/>
              <w:kinsoku/>
              <w:wordWrap/>
              <w:overflowPunct/>
              <w:topLinePunct w:val="0"/>
              <w:autoSpaceDE/>
              <w:autoSpaceDN/>
              <w:bidi w:val="0"/>
              <w:adjustRightInd/>
              <w:snapToGrid/>
              <w:spacing w:beforeAutospacing="0" w:afterAutospacing="0" w:line="200" w:lineRule="atLeast"/>
              <w:ind w:right="0" w:firstLine="0" w:firstLineChars="0"/>
              <w:jc w:val="center"/>
              <w:rPr>
                <w:rFonts w:hint="eastAsia"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10</w:t>
            </w:r>
          </w:p>
        </w:tc>
        <w:tc>
          <w:tcPr>
            <w:tcW w:w="1149" w:type="dxa"/>
            <w:tcBorders>
              <w:top w:val="nil"/>
              <w:left w:val="nil"/>
              <w:bottom w:val="single" w:color="auto" w:sz="4" w:space="0"/>
              <w:right w:val="single" w:color="auto" w:sz="4" w:space="0"/>
            </w:tcBorders>
            <w:shd w:val="clear" w:color="auto" w:fill="auto"/>
            <w:noWrap/>
            <w:vAlign w:val="center"/>
          </w:tcPr>
          <w:p w14:paraId="732BB210">
            <w:pPr>
              <w:keepNext w:val="0"/>
              <w:keepLines w:val="0"/>
              <w:pageBreakBefore w:val="0"/>
              <w:widowControl/>
              <w:kinsoku/>
              <w:wordWrap/>
              <w:overflowPunct/>
              <w:topLinePunct w:val="0"/>
              <w:autoSpaceDE/>
              <w:autoSpaceDN/>
              <w:bidi w:val="0"/>
              <w:adjustRightInd/>
              <w:snapToGrid/>
              <w:spacing w:beforeAutospacing="0" w:afterAutospacing="0" w:line="200" w:lineRule="atLeast"/>
              <w:ind w:right="0" w:firstLine="0" w:firstLineChars="0"/>
              <w:jc w:val="center"/>
              <w:rPr>
                <w:rFonts w:hint="eastAsia"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10</w:t>
            </w:r>
          </w:p>
        </w:tc>
        <w:tc>
          <w:tcPr>
            <w:tcW w:w="957" w:type="dxa"/>
            <w:tcBorders>
              <w:top w:val="nil"/>
              <w:left w:val="nil"/>
              <w:bottom w:val="single" w:color="auto" w:sz="4" w:space="0"/>
              <w:right w:val="single" w:color="auto" w:sz="4" w:space="0"/>
            </w:tcBorders>
            <w:shd w:val="clear" w:color="auto" w:fill="auto"/>
            <w:noWrap/>
            <w:vAlign w:val="center"/>
          </w:tcPr>
          <w:p w14:paraId="1B424389">
            <w:pPr>
              <w:keepNext w:val="0"/>
              <w:keepLines w:val="0"/>
              <w:pageBreakBefore w:val="0"/>
              <w:widowControl/>
              <w:kinsoku/>
              <w:wordWrap/>
              <w:overflowPunct/>
              <w:topLinePunct w:val="0"/>
              <w:autoSpaceDE/>
              <w:autoSpaceDN/>
              <w:bidi w:val="0"/>
              <w:adjustRightInd/>
              <w:snapToGrid/>
              <w:spacing w:beforeAutospacing="0" w:afterAutospacing="0" w:line="200" w:lineRule="atLeast"/>
              <w:ind w:right="0" w:firstLine="0" w:firstLineChars="0"/>
              <w:jc w:val="center"/>
              <w:rPr>
                <w:rFonts w:hint="eastAsia"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0</w:t>
            </w:r>
          </w:p>
        </w:tc>
        <w:tc>
          <w:tcPr>
            <w:tcW w:w="1043" w:type="dxa"/>
            <w:tcBorders>
              <w:top w:val="nil"/>
              <w:left w:val="nil"/>
              <w:bottom w:val="single" w:color="auto" w:sz="4" w:space="0"/>
              <w:right w:val="single" w:color="auto" w:sz="4" w:space="0"/>
            </w:tcBorders>
            <w:shd w:val="clear" w:color="auto" w:fill="auto"/>
            <w:noWrap/>
            <w:vAlign w:val="center"/>
          </w:tcPr>
          <w:p w14:paraId="2EDC7824">
            <w:pPr>
              <w:keepNext w:val="0"/>
              <w:keepLines w:val="0"/>
              <w:pageBreakBefore w:val="0"/>
              <w:widowControl/>
              <w:kinsoku/>
              <w:wordWrap/>
              <w:overflowPunct/>
              <w:topLinePunct w:val="0"/>
              <w:autoSpaceDE/>
              <w:autoSpaceDN/>
              <w:bidi w:val="0"/>
              <w:adjustRightInd/>
              <w:snapToGrid/>
              <w:spacing w:beforeAutospacing="0" w:afterAutospacing="0" w:line="200" w:lineRule="atLeast"/>
              <w:ind w:right="0" w:firstLine="0" w:firstLineChars="0"/>
              <w:jc w:val="center"/>
              <w:rPr>
                <w:rFonts w:hint="default"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100</w:t>
            </w:r>
          </w:p>
        </w:tc>
        <w:tc>
          <w:tcPr>
            <w:tcW w:w="709" w:type="dxa"/>
            <w:tcBorders>
              <w:top w:val="nil"/>
              <w:left w:val="nil"/>
              <w:bottom w:val="single" w:color="auto" w:sz="4" w:space="0"/>
              <w:right w:val="single" w:color="auto" w:sz="4" w:space="0"/>
            </w:tcBorders>
            <w:shd w:val="clear" w:color="auto" w:fill="auto"/>
            <w:noWrap/>
            <w:vAlign w:val="center"/>
          </w:tcPr>
          <w:p w14:paraId="10160FA8">
            <w:pPr>
              <w:keepNext w:val="0"/>
              <w:keepLines w:val="0"/>
              <w:pageBreakBefore w:val="0"/>
              <w:widowControl/>
              <w:kinsoku/>
              <w:wordWrap/>
              <w:overflowPunct/>
              <w:topLinePunct w:val="0"/>
              <w:autoSpaceDE/>
              <w:autoSpaceDN/>
              <w:bidi w:val="0"/>
              <w:adjustRightInd/>
              <w:snapToGrid/>
              <w:spacing w:beforeAutospacing="0" w:afterAutospacing="0" w:line="200" w:lineRule="atLeast"/>
              <w:ind w:right="0" w:firstLine="0" w:firstLineChars="0"/>
              <w:jc w:val="center"/>
              <w:rPr>
                <w:rFonts w:hint="default"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10</w:t>
            </w:r>
          </w:p>
        </w:tc>
        <w:tc>
          <w:tcPr>
            <w:tcW w:w="799" w:type="dxa"/>
            <w:tcBorders>
              <w:top w:val="nil"/>
              <w:left w:val="nil"/>
              <w:bottom w:val="single" w:color="auto" w:sz="4" w:space="0"/>
              <w:right w:val="single" w:color="auto" w:sz="4" w:space="0"/>
            </w:tcBorders>
            <w:shd w:val="clear" w:color="auto" w:fill="auto"/>
            <w:noWrap/>
            <w:vAlign w:val="center"/>
          </w:tcPr>
          <w:p w14:paraId="691182BC">
            <w:pPr>
              <w:keepNext w:val="0"/>
              <w:keepLines w:val="0"/>
              <w:pageBreakBefore w:val="0"/>
              <w:widowControl/>
              <w:kinsoku/>
              <w:wordWrap/>
              <w:overflowPunct/>
              <w:topLinePunct w:val="0"/>
              <w:autoSpaceDE/>
              <w:autoSpaceDN/>
              <w:bidi w:val="0"/>
              <w:adjustRightInd/>
              <w:snapToGrid/>
              <w:spacing w:beforeAutospacing="0" w:afterAutospacing="0" w:line="200" w:lineRule="atLeast"/>
              <w:ind w:right="0" w:firstLine="0" w:firstLineChars="0"/>
              <w:jc w:val="center"/>
              <w:rPr>
                <w:rFonts w:hint="default"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10</w:t>
            </w:r>
          </w:p>
        </w:tc>
        <w:tc>
          <w:tcPr>
            <w:tcW w:w="1298" w:type="dxa"/>
            <w:tcBorders>
              <w:top w:val="nil"/>
              <w:left w:val="nil"/>
              <w:bottom w:val="single" w:color="auto" w:sz="4" w:space="0"/>
              <w:right w:val="single" w:color="auto" w:sz="4" w:space="0"/>
            </w:tcBorders>
            <w:shd w:val="clear" w:color="auto" w:fill="auto"/>
            <w:noWrap/>
            <w:vAlign w:val="center"/>
          </w:tcPr>
          <w:p w14:paraId="51DE1D89">
            <w:pPr>
              <w:keepNext w:val="0"/>
              <w:keepLines w:val="0"/>
              <w:pageBreakBefore w:val="0"/>
              <w:widowControl/>
              <w:kinsoku/>
              <w:wordWrap/>
              <w:overflowPunct/>
              <w:topLinePunct w:val="0"/>
              <w:autoSpaceDE/>
              <w:autoSpaceDN/>
              <w:bidi w:val="0"/>
              <w:adjustRightInd/>
              <w:snapToGrid/>
              <w:spacing w:beforeAutospacing="0" w:afterAutospacing="0" w:line="200" w:lineRule="atLeast"/>
              <w:ind w:right="0" w:firstLine="0" w:firstLineChars="0"/>
              <w:jc w:val="center"/>
              <w:rPr>
                <w:rFonts w:hint="eastAsia" w:ascii="宋体" w:hAnsi="宋体" w:cs="宋体"/>
                <w:color w:val="000000" w:themeColor="text1"/>
                <w:kern w:val="0"/>
                <w:sz w:val="16"/>
                <w:szCs w:val="16"/>
                <w14:textFill>
                  <w14:solidFill>
                    <w14:schemeClr w14:val="tx1"/>
                  </w14:solidFill>
                </w14:textFill>
              </w:rPr>
            </w:pPr>
          </w:p>
        </w:tc>
        <w:tc>
          <w:tcPr>
            <w:tcW w:w="1588" w:type="dxa"/>
            <w:gridSpan w:val="2"/>
            <w:tcBorders>
              <w:top w:val="single" w:color="auto" w:sz="4" w:space="0"/>
              <w:left w:val="nil"/>
              <w:bottom w:val="single" w:color="auto" w:sz="4" w:space="0"/>
              <w:right w:val="single" w:color="000000" w:sz="4" w:space="0"/>
            </w:tcBorders>
            <w:shd w:val="clear" w:color="auto" w:fill="auto"/>
            <w:noWrap/>
            <w:vAlign w:val="center"/>
          </w:tcPr>
          <w:p w14:paraId="48FE3DEB">
            <w:pPr>
              <w:keepNext w:val="0"/>
              <w:keepLines w:val="0"/>
              <w:pageBreakBefore w:val="0"/>
              <w:widowControl/>
              <w:kinsoku/>
              <w:wordWrap/>
              <w:overflowPunct/>
              <w:topLinePunct w:val="0"/>
              <w:autoSpaceDE/>
              <w:autoSpaceDN/>
              <w:bidi w:val="0"/>
              <w:adjustRightInd/>
              <w:snapToGrid/>
              <w:spacing w:beforeAutospacing="0" w:afterAutospacing="0" w:line="200" w:lineRule="atLeast"/>
              <w:ind w:right="0" w:firstLine="0" w:firstLineChars="0"/>
              <w:jc w:val="center"/>
              <w:rPr>
                <w:rFonts w:hint="eastAsia" w:ascii="宋体" w:hAnsi="宋体" w:cs="宋体"/>
                <w:color w:val="000000" w:themeColor="text1"/>
                <w:kern w:val="0"/>
                <w:sz w:val="16"/>
                <w:szCs w:val="16"/>
                <w14:textFill>
                  <w14:solidFill>
                    <w14:schemeClr w14:val="tx1"/>
                  </w14:solidFill>
                </w14:textFill>
              </w:rPr>
            </w:pPr>
          </w:p>
        </w:tc>
      </w:tr>
      <w:tr w14:paraId="4712222B">
        <w:tblPrEx>
          <w:tblCellMar>
            <w:top w:w="0" w:type="dxa"/>
            <w:left w:w="108" w:type="dxa"/>
            <w:bottom w:w="0" w:type="dxa"/>
            <w:right w:w="108" w:type="dxa"/>
          </w:tblCellMar>
        </w:tblPrEx>
        <w:trPr>
          <w:trHeight w:val="499" w:hRule="atLeast"/>
          <w:jc w:val="center"/>
        </w:trPr>
        <w:tc>
          <w:tcPr>
            <w:tcW w:w="1427" w:type="dxa"/>
            <w:tcBorders>
              <w:top w:val="nil"/>
              <w:left w:val="single" w:color="auto" w:sz="4" w:space="0"/>
              <w:bottom w:val="single" w:color="auto" w:sz="4" w:space="0"/>
              <w:right w:val="single" w:color="auto" w:sz="4" w:space="0"/>
            </w:tcBorders>
            <w:shd w:val="clear" w:color="auto" w:fill="auto"/>
            <w:noWrap/>
            <w:vAlign w:val="center"/>
          </w:tcPr>
          <w:p w14:paraId="7220FC27">
            <w:pPr>
              <w:keepNext w:val="0"/>
              <w:keepLines w:val="0"/>
              <w:pageBreakBefore w:val="0"/>
              <w:widowControl/>
              <w:kinsoku/>
              <w:wordWrap/>
              <w:overflowPunct/>
              <w:topLinePunct w:val="0"/>
              <w:autoSpaceDE/>
              <w:autoSpaceDN/>
              <w:bidi w:val="0"/>
              <w:adjustRightInd/>
              <w:snapToGrid/>
              <w:spacing w:beforeAutospacing="0" w:afterAutospacing="0" w:line="200" w:lineRule="atLeast"/>
              <w:ind w:right="0" w:firstLine="0" w:firstLineChars="0"/>
              <w:jc w:val="center"/>
              <w:rPr>
                <w:rFonts w:hint="eastAsia"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受益群众满意度</w:t>
            </w:r>
          </w:p>
        </w:tc>
        <w:tc>
          <w:tcPr>
            <w:tcW w:w="616" w:type="dxa"/>
            <w:tcBorders>
              <w:top w:val="nil"/>
              <w:left w:val="nil"/>
              <w:bottom w:val="single" w:color="auto" w:sz="4" w:space="0"/>
              <w:right w:val="single" w:color="auto" w:sz="4" w:space="0"/>
            </w:tcBorders>
            <w:shd w:val="clear" w:color="auto" w:fill="auto"/>
            <w:noWrap/>
            <w:vAlign w:val="center"/>
          </w:tcPr>
          <w:p w14:paraId="21BBEB87">
            <w:pPr>
              <w:keepNext w:val="0"/>
              <w:keepLines w:val="0"/>
              <w:pageBreakBefore w:val="0"/>
              <w:widowControl/>
              <w:kinsoku/>
              <w:wordWrap/>
              <w:overflowPunct/>
              <w:topLinePunct w:val="0"/>
              <w:autoSpaceDE/>
              <w:autoSpaceDN/>
              <w:bidi w:val="0"/>
              <w:adjustRightInd/>
              <w:snapToGrid/>
              <w:spacing w:beforeAutospacing="0" w:afterAutospacing="0" w:line="200" w:lineRule="atLeast"/>
              <w:ind w:right="0" w:firstLine="0" w:firstLineChars="0"/>
              <w:jc w:val="center"/>
              <w:rPr>
                <w:rFonts w:hint="eastAsia"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w:t>
            </w:r>
          </w:p>
        </w:tc>
        <w:tc>
          <w:tcPr>
            <w:tcW w:w="670" w:type="dxa"/>
            <w:tcBorders>
              <w:top w:val="nil"/>
              <w:left w:val="nil"/>
              <w:bottom w:val="single" w:color="auto" w:sz="4" w:space="0"/>
              <w:right w:val="single" w:color="auto" w:sz="4" w:space="0"/>
            </w:tcBorders>
            <w:shd w:val="clear" w:color="auto" w:fill="auto"/>
            <w:noWrap/>
            <w:vAlign w:val="center"/>
          </w:tcPr>
          <w:p w14:paraId="075846D8">
            <w:pPr>
              <w:keepNext w:val="0"/>
              <w:keepLines w:val="0"/>
              <w:pageBreakBefore w:val="0"/>
              <w:widowControl/>
              <w:kinsoku/>
              <w:wordWrap/>
              <w:overflowPunct/>
              <w:topLinePunct w:val="0"/>
              <w:autoSpaceDE/>
              <w:autoSpaceDN/>
              <w:bidi w:val="0"/>
              <w:adjustRightInd/>
              <w:snapToGrid/>
              <w:spacing w:beforeAutospacing="0" w:afterAutospacing="0" w:line="200" w:lineRule="atLeast"/>
              <w:ind w:right="0" w:firstLine="0" w:firstLineChars="0"/>
              <w:jc w:val="center"/>
              <w:rPr>
                <w:rFonts w:hint="eastAsia"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w:t>
            </w:r>
          </w:p>
        </w:tc>
        <w:tc>
          <w:tcPr>
            <w:tcW w:w="992" w:type="dxa"/>
            <w:tcBorders>
              <w:top w:val="nil"/>
              <w:left w:val="nil"/>
              <w:bottom w:val="single" w:color="auto" w:sz="4" w:space="0"/>
              <w:right w:val="single" w:color="auto" w:sz="4" w:space="0"/>
            </w:tcBorders>
            <w:shd w:val="clear" w:color="auto" w:fill="auto"/>
            <w:noWrap/>
            <w:vAlign w:val="center"/>
          </w:tcPr>
          <w:p w14:paraId="139FA665">
            <w:pPr>
              <w:keepNext w:val="0"/>
              <w:keepLines w:val="0"/>
              <w:pageBreakBefore w:val="0"/>
              <w:widowControl/>
              <w:kinsoku/>
              <w:wordWrap/>
              <w:overflowPunct/>
              <w:topLinePunct w:val="0"/>
              <w:autoSpaceDE/>
              <w:autoSpaceDN/>
              <w:bidi w:val="0"/>
              <w:adjustRightInd/>
              <w:snapToGrid/>
              <w:spacing w:beforeAutospacing="0" w:afterAutospacing="0" w:line="200" w:lineRule="atLeast"/>
              <w:ind w:right="0" w:firstLine="0" w:firstLineChars="0"/>
              <w:jc w:val="center"/>
              <w:rPr>
                <w:rFonts w:hint="eastAsia"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92</w:t>
            </w:r>
          </w:p>
        </w:tc>
        <w:tc>
          <w:tcPr>
            <w:tcW w:w="1149" w:type="dxa"/>
            <w:tcBorders>
              <w:top w:val="nil"/>
              <w:left w:val="nil"/>
              <w:bottom w:val="single" w:color="auto" w:sz="4" w:space="0"/>
              <w:right w:val="single" w:color="auto" w:sz="4" w:space="0"/>
            </w:tcBorders>
            <w:shd w:val="clear" w:color="auto" w:fill="auto"/>
            <w:noWrap/>
            <w:vAlign w:val="center"/>
          </w:tcPr>
          <w:p w14:paraId="39EB5C8F">
            <w:pPr>
              <w:keepNext w:val="0"/>
              <w:keepLines w:val="0"/>
              <w:pageBreakBefore w:val="0"/>
              <w:widowControl/>
              <w:kinsoku/>
              <w:wordWrap/>
              <w:overflowPunct/>
              <w:topLinePunct w:val="0"/>
              <w:autoSpaceDE/>
              <w:autoSpaceDN/>
              <w:bidi w:val="0"/>
              <w:adjustRightInd/>
              <w:snapToGrid/>
              <w:spacing w:beforeAutospacing="0" w:afterAutospacing="0" w:line="200" w:lineRule="atLeast"/>
              <w:ind w:right="0" w:firstLine="0" w:firstLineChars="0"/>
              <w:jc w:val="center"/>
              <w:rPr>
                <w:rFonts w:hint="eastAsia"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92</w:t>
            </w:r>
          </w:p>
        </w:tc>
        <w:tc>
          <w:tcPr>
            <w:tcW w:w="957" w:type="dxa"/>
            <w:tcBorders>
              <w:top w:val="nil"/>
              <w:left w:val="nil"/>
              <w:bottom w:val="single" w:color="auto" w:sz="4" w:space="0"/>
              <w:right w:val="single" w:color="auto" w:sz="4" w:space="0"/>
            </w:tcBorders>
            <w:shd w:val="clear" w:color="auto" w:fill="auto"/>
            <w:noWrap/>
            <w:vAlign w:val="center"/>
          </w:tcPr>
          <w:p w14:paraId="53186284">
            <w:pPr>
              <w:keepNext w:val="0"/>
              <w:keepLines w:val="0"/>
              <w:pageBreakBefore w:val="0"/>
              <w:widowControl/>
              <w:kinsoku/>
              <w:wordWrap/>
              <w:overflowPunct/>
              <w:topLinePunct w:val="0"/>
              <w:autoSpaceDE/>
              <w:autoSpaceDN/>
              <w:bidi w:val="0"/>
              <w:adjustRightInd/>
              <w:snapToGrid/>
              <w:spacing w:beforeAutospacing="0" w:afterAutospacing="0" w:line="200" w:lineRule="atLeast"/>
              <w:ind w:right="0" w:firstLine="0" w:firstLineChars="0"/>
              <w:jc w:val="center"/>
              <w:rPr>
                <w:rFonts w:hint="eastAsia"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0</w:t>
            </w:r>
          </w:p>
        </w:tc>
        <w:tc>
          <w:tcPr>
            <w:tcW w:w="1043" w:type="dxa"/>
            <w:tcBorders>
              <w:top w:val="nil"/>
              <w:left w:val="nil"/>
              <w:bottom w:val="single" w:color="auto" w:sz="4" w:space="0"/>
              <w:right w:val="single" w:color="auto" w:sz="4" w:space="0"/>
            </w:tcBorders>
            <w:shd w:val="clear" w:color="auto" w:fill="auto"/>
            <w:noWrap/>
            <w:vAlign w:val="center"/>
          </w:tcPr>
          <w:p w14:paraId="77F45BB2">
            <w:pPr>
              <w:keepNext w:val="0"/>
              <w:keepLines w:val="0"/>
              <w:pageBreakBefore w:val="0"/>
              <w:widowControl/>
              <w:kinsoku/>
              <w:wordWrap/>
              <w:overflowPunct/>
              <w:topLinePunct w:val="0"/>
              <w:autoSpaceDE/>
              <w:autoSpaceDN/>
              <w:bidi w:val="0"/>
              <w:adjustRightInd/>
              <w:snapToGrid/>
              <w:spacing w:beforeAutospacing="0" w:afterAutospacing="0" w:line="200" w:lineRule="atLeast"/>
              <w:ind w:right="0" w:firstLine="0" w:firstLineChars="0"/>
              <w:jc w:val="center"/>
              <w:rPr>
                <w:rFonts w:hint="default"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100</w:t>
            </w:r>
          </w:p>
        </w:tc>
        <w:tc>
          <w:tcPr>
            <w:tcW w:w="709" w:type="dxa"/>
            <w:tcBorders>
              <w:top w:val="nil"/>
              <w:left w:val="nil"/>
              <w:bottom w:val="single" w:color="auto" w:sz="4" w:space="0"/>
              <w:right w:val="single" w:color="auto" w:sz="4" w:space="0"/>
            </w:tcBorders>
            <w:shd w:val="clear" w:color="auto" w:fill="auto"/>
            <w:noWrap/>
            <w:vAlign w:val="center"/>
          </w:tcPr>
          <w:p w14:paraId="28421AAF">
            <w:pPr>
              <w:keepNext w:val="0"/>
              <w:keepLines w:val="0"/>
              <w:pageBreakBefore w:val="0"/>
              <w:widowControl/>
              <w:kinsoku/>
              <w:wordWrap/>
              <w:overflowPunct/>
              <w:topLinePunct w:val="0"/>
              <w:autoSpaceDE/>
              <w:autoSpaceDN/>
              <w:bidi w:val="0"/>
              <w:adjustRightInd/>
              <w:snapToGrid/>
              <w:spacing w:beforeAutospacing="0" w:afterAutospacing="0" w:line="200" w:lineRule="atLeast"/>
              <w:ind w:right="0" w:firstLine="0" w:firstLineChars="0"/>
              <w:jc w:val="center"/>
              <w:rPr>
                <w:rFonts w:hint="default"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10</w:t>
            </w:r>
          </w:p>
        </w:tc>
        <w:tc>
          <w:tcPr>
            <w:tcW w:w="799" w:type="dxa"/>
            <w:tcBorders>
              <w:top w:val="nil"/>
              <w:left w:val="nil"/>
              <w:bottom w:val="single" w:color="auto" w:sz="4" w:space="0"/>
              <w:right w:val="single" w:color="auto" w:sz="4" w:space="0"/>
            </w:tcBorders>
            <w:shd w:val="clear" w:color="auto" w:fill="auto"/>
            <w:noWrap/>
            <w:vAlign w:val="center"/>
          </w:tcPr>
          <w:p w14:paraId="0EB18801">
            <w:pPr>
              <w:keepNext w:val="0"/>
              <w:keepLines w:val="0"/>
              <w:pageBreakBefore w:val="0"/>
              <w:widowControl/>
              <w:kinsoku/>
              <w:wordWrap/>
              <w:overflowPunct/>
              <w:topLinePunct w:val="0"/>
              <w:autoSpaceDE/>
              <w:autoSpaceDN/>
              <w:bidi w:val="0"/>
              <w:adjustRightInd/>
              <w:snapToGrid/>
              <w:spacing w:beforeAutospacing="0" w:afterAutospacing="0" w:line="200" w:lineRule="atLeast"/>
              <w:ind w:right="0" w:firstLine="0" w:firstLineChars="0"/>
              <w:jc w:val="center"/>
              <w:rPr>
                <w:rFonts w:hint="default" w:ascii="宋体" w:hAnsi="宋体" w:cs="宋体"/>
                <w:color w:val="000000" w:themeColor="text1"/>
                <w:kern w:val="0"/>
                <w:sz w:val="16"/>
                <w:szCs w:val="16"/>
                <w:lang w:val="en-US" w:eastAsia="zh-CN"/>
                <w14:textFill>
                  <w14:solidFill>
                    <w14:schemeClr w14:val="tx1"/>
                  </w14:solidFill>
                </w14:textFill>
              </w:rPr>
            </w:pPr>
            <w:r>
              <w:rPr>
                <w:rFonts w:hint="eastAsia" w:ascii="宋体" w:hAnsi="宋体" w:cs="宋体"/>
                <w:color w:val="000000" w:themeColor="text1"/>
                <w:kern w:val="0"/>
                <w:sz w:val="16"/>
                <w:szCs w:val="16"/>
                <w:lang w:val="en-US" w:eastAsia="zh-CN"/>
                <w14:textFill>
                  <w14:solidFill>
                    <w14:schemeClr w14:val="tx1"/>
                  </w14:solidFill>
                </w14:textFill>
              </w:rPr>
              <w:t>10</w:t>
            </w:r>
          </w:p>
        </w:tc>
        <w:tc>
          <w:tcPr>
            <w:tcW w:w="1298" w:type="dxa"/>
            <w:tcBorders>
              <w:top w:val="nil"/>
              <w:left w:val="nil"/>
              <w:bottom w:val="single" w:color="auto" w:sz="4" w:space="0"/>
              <w:right w:val="single" w:color="auto" w:sz="4" w:space="0"/>
            </w:tcBorders>
            <w:shd w:val="clear" w:color="auto" w:fill="auto"/>
            <w:noWrap/>
            <w:vAlign w:val="center"/>
          </w:tcPr>
          <w:p w14:paraId="2CDEDF49">
            <w:pPr>
              <w:keepNext w:val="0"/>
              <w:keepLines w:val="0"/>
              <w:pageBreakBefore w:val="0"/>
              <w:widowControl/>
              <w:kinsoku/>
              <w:wordWrap/>
              <w:overflowPunct/>
              <w:topLinePunct w:val="0"/>
              <w:autoSpaceDE/>
              <w:autoSpaceDN/>
              <w:bidi w:val="0"/>
              <w:adjustRightInd/>
              <w:snapToGrid/>
              <w:spacing w:beforeAutospacing="0" w:afterAutospacing="0" w:line="200" w:lineRule="atLeast"/>
              <w:ind w:right="0" w:firstLine="0" w:firstLineChars="0"/>
              <w:jc w:val="center"/>
              <w:rPr>
                <w:rFonts w:hint="eastAsia" w:ascii="宋体" w:hAnsi="宋体" w:cs="宋体"/>
                <w:color w:val="000000" w:themeColor="text1"/>
                <w:kern w:val="0"/>
                <w:sz w:val="16"/>
                <w:szCs w:val="16"/>
                <w14:textFill>
                  <w14:solidFill>
                    <w14:schemeClr w14:val="tx1"/>
                  </w14:solidFill>
                </w14:textFill>
              </w:rPr>
            </w:pPr>
          </w:p>
        </w:tc>
        <w:tc>
          <w:tcPr>
            <w:tcW w:w="1588" w:type="dxa"/>
            <w:gridSpan w:val="2"/>
            <w:tcBorders>
              <w:top w:val="single" w:color="auto" w:sz="4" w:space="0"/>
              <w:left w:val="nil"/>
              <w:bottom w:val="single" w:color="auto" w:sz="4" w:space="0"/>
              <w:right w:val="single" w:color="000000" w:sz="4" w:space="0"/>
            </w:tcBorders>
            <w:shd w:val="clear" w:color="auto" w:fill="auto"/>
            <w:noWrap/>
            <w:vAlign w:val="center"/>
          </w:tcPr>
          <w:p w14:paraId="17AA6BEC">
            <w:pPr>
              <w:keepNext w:val="0"/>
              <w:keepLines w:val="0"/>
              <w:pageBreakBefore w:val="0"/>
              <w:widowControl/>
              <w:kinsoku/>
              <w:wordWrap/>
              <w:overflowPunct/>
              <w:topLinePunct w:val="0"/>
              <w:autoSpaceDE/>
              <w:autoSpaceDN/>
              <w:bidi w:val="0"/>
              <w:adjustRightInd/>
              <w:snapToGrid/>
              <w:spacing w:beforeAutospacing="0" w:afterAutospacing="0" w:line="200" w:lineRule="atLeast"/>
              <w:ind w:right="0" w:firstLine="0" w:firstLineChars="0"/>
              <w:jc w:val="center"/>
              <w:rPr>
                <w:rFonts w:hint="eastAsia" w:ascii="宋体" w:hAnsi="宋体" w:cs="宋体"/>
                <w:color w:val="000000" w:themeColor="text1"/>
                <w:kern w:val="0"/>
                <w:sz w:val="16"/>
                <w:szCs w:val="16"/>
                <w14:textFill>
                  <w14:solidFill>
                    <w14:schemeClr w14:val="tx1"/>
                  </w14:solidFill>
                </w14:textFill>
              </w:rPr>
            </w:pPr>
          </w:p>
        </w:tc>
      </w:tr>
    </w:tbl>
    <w:p w14:paraId="50911FA3">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firstLine="640" w:firstLineChars="200"/>
        <w:jc w:val="both"/>
        <w:rPr>
          <w:rFonts w:hint="eastAsia" w:ascii="Times New Roman" w:hAnsi="Times New Roman" w:eastAsia="方正楷体_GBK" w:cs="Times New Roman"/>
          <w:color w:val="000000" w:themeColor="text1"/>
          <w:kern w:val="2"/>
          <w:sz w:val="32"/>
          <w:szCs w:val="32"/>
          <w:lang w:eastAsia="zh-Hans"/>
          <w14:textFill>
            <w14:solidFill>
              <w14:schemeClr w14:val="tx1"/>
            </w14:solidFill>
          </w14:textFill>
        </w:rPr>
      </w:pPr>
    </w:p>
    <w:p w14:paraId="65C2F493">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firstLine="640" w:firstLineChars="200"/>
        <w:jc w:val="both"/>
        <w:rPr>
          <w:rFonts w:hint="eastAsia" w:ascii="Times New Roman" w:hAnsi="Times New Roman" w:eastAsia="方正仿宋_GBK" w:cs="Times New Roman"/>
          <w:color w:val="000000" w:themeColor="text1"/>
          <w:kern w:val="2"/>
          <w:sz w:val="32"/>
          <w:szCs w:val="32"/>
          <w:lang w:val="en-US" w:eastAsia="zh-Hans"/>
          <w14:textFill>
            <w14:solidFill>
              <w14:schemeClr w14:val="tx1"/>
            </w14:solidFill>
          </w14:textFill>
        </w:rPr>
      </w:pPr>
      <w:r>
        <w:rPr>
          <w:rFonts w:hint="eastAsia" w:ascii="Times New Roman" w:hAnsi="Times New Roman" w:eastAsia="方正仿宋_GBK" w:cs="Times New Roman"/>
          <w:color w:val="000000" w:themeColor="text1"/>
          <w:kern w:val="2"/>
          <w:sz w:val="32"/>
          <w:szCs w:val="32"/>
          <w:lang w:val="en-US" w:eastAsia="zh-Hans"/>
          <w14:textFill>
            <w14:solidFill>
              <w14:schemeClr w14:val="tx1"/>
            </w14:solidFill>
          </w14:textFill>
        </w:rPr>
        <w:t>2.绩效自评报告或案例。</w:t>
      </w:r>
    </w:p>
    <w:p w14:paraId="32C0B35C">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firstLine="640" w:firstLineChars="200"/>
        <w:jc w:val="both"/>
        <w:rPr>
          <w:rFonts w:hint="eastAsia" w:ascii="Times New Roman" w:hAnsi="Times New Roman" w:eastAsia="方正仿宋_GBK" w:cs="Times New Roman"/>
          <w:color w:val="000000" w:themeColor="text1"/>
          <w:kern w:val="2"/>
          <w:sz w:val="32"/>
          <w:szCs w:val="32"/>
          <w14:textFill>
            <w14:solidFill>
              <w14:schemeClr w14:val="tx1"/>
            </w14:solidFill>
          </w14:textFill>
        </w:rPr>
      </w:pPr>
      <w:r>
        <w:rPr>
          <w:rFonts w:hint="eastAsia" w:ascii="Times New Roman" w:hAnsi="Times New Roman" w:eastAsia="方正仿宋_GBK" w:cs="Times New Roman"/>
          <w:color w:val="000000" w:themeColor="text1"/>
          <w:kern w:val="2"/>
          <w:sz w:val="32"/>
          <w:szCs w:val="32"/>
          <w14:textFill>
            <w14:solidFill>
              <w14:schemeClr w14:val="tx1"/>
            </w14:solidFill>
          </w14:textFill>
        </w:rPr>
        <w:t>我单位未委托第三方开展绩效自评。</w:t>
      </w:r>
    </w:p>
    <w:p w14:paraId="0001DED2">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firstLine="640" w:firstLineChars="200"/>
        <w:jc w:val="both"/>
        <w:rPr>
          <w:rFonts w:hint="eastAsia" w:ascii="Times New Roman" w:hAnsi="Times New Roman" w:eastAsia="方正仿宋_GBK" w:cs="Times New Roman"/>
          <w:color w:val="000000" w:themeColor="text1"/>
          <w:kern w:val="2"/>
          <w:sz w:val="32"/>
          <w:szCs w:val="32"/>
          <w:lang w:val="en-US" w:eastAsia="zh-Hans"/>
          <w14:textFill>
            <w14:solidFill>
              <w14:schemeClr w14:val="tx1"/>
            </w14:solidFill>
          </w14:textFill>
        </w:rPr>
      </w:pPr>
      <w:r>
        <w:rPr>
          <w:rFonts w:hint="eastAsia" w:ascii="Times New Roman" w:hAnsi="Times New Roman" w:eastAsia="方正仿宋_GBK" w:cs="Times New Roman"/>
          <w:color w:val="000000" w:themeColor="text1"/>
          <w:kern w:val="2"/>
          <w:sz w:val="32"/>
          <w:szCs w:val="32"/>
          <w:lang w:val="en-US" w:eastAsia="zh-Hans"/>
          <w14:textFill>
            <w14:solidFill>
              <w14:schemeClr w14:val="tx1"/>
            </w14:solidFill>
          </w14:textFill>
        </w:rPr>
        <w:t>3.关于绩效自评结果的说明。</w:t>
      </w:r>
    </w:p>
    <w:p w14:paraId="588650B5">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firstLine="640" w:firstLineChars="200"/>
        <w:jc w:val="both"/>
        <w:rPr>
          <w:rFonts w:hint="eastAsia" w:ascii="Times New Roman" w:hAnsi="Times New Roman" w:eastAsia="方正仿宋_GBK" w:cs="Times New Roman"/>
          <w:color w:val="000000" w:themeColor="text1"/>
          <w:kern w:val="2"/>
          <w:sz w:val="32"/>
          <w:szCs w:val="32"/>
          <w14:textFill>
            <w14:solidFill>
              <w14:schemeClr w14:val="tx1"/>
            </w14:solidFill>
          </w14:textFill>
        </w:rPr>
      </w:pPr>
      <w:r>
        <w:rPr>
          <w:rFonts w:hint="eastAsia" w:ascii="Times New Roman" w:hAnsi="Times New Roman" w:eastAsia="方正仿宋_GBK" w:cs="Times New Roman"/>
          <w:color w:val="000000" w:themeColor="text1"/>
          <w:kern w:val="2"/>
          <w:sz w:val="32"/>
          <w:szCs w:val="32"/>
          <w:lang w:val="en-US" w:eastAsia="zh-CN"/>
          <w14:textFill>
            <w14:solidFill>
              <w14:schemeClr w14:val="tx1"/>
            </w14:solidFill>
          </w14:textFill>
        </w:rPr>
        <w:t>我单位绩效自评均已完成年度绩效目标。</w:t>
      </w:r>
    </w:p>
    <w:p w14:paraId="18441D78">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firstLine="640" w:firstLineChars="200"/>
        <w:jc w:val="both"/>
        <w:rPr>
          <w:rFonts w:hint="eastAsia" w:ascii="Times New Roman" w:hAnsi="Times New Roman" w:eastAsia="方正楷体_GBK" w:cs="Times New Roman"/>
          <w:color w:val="000000" w:themeColor="text1"/>
          <w:kern w:val="2"/>
          <w:sz w:val="32"/>
          <w:szCs w:val="32"/>
          <w:lang w:eastAsia="zh-Hans"/>
          <w14:textFill>
            <w14:solidFill>
              <w14:schemeClr w14:val="tx1"/>
            </w14:solidFill>
          </w14:textFill>
        </w:rPr>
      </w:pPr>
      <w:r>
        <w:rPr>
          <w:rFonts w:hint="eastAsia" w:ascii="Times New Roman" w:hAnsi="Times New Roman" w:eastAsia="方正楷体_GBK" w:cs="Times New Roman"/>
          <w:color w:val="000000" w:themeColor="text1"/>
          <w:kern w:val="2"/>
          <w:sz w:val="32"/>
          <w:szCs w:val="32"/>
          <w:lang w:eastAsia="zh-Hans"/>
          <w14:textFill>
            <w14:solidFill>
              <w14:schemeClr w14:val="tx1"/>
            </w14:solidFill>
          </w14:textFill>
        </w:rPr>
        <w:t>（三）重点绩效评价结果。</w:t>
      </w:r>
    </w:p>
    <w:p w14:paraId="04221E32">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firstLine="640" w:firstLineChars="200"/>
        <w:jc w:val="both"/>
        <w:rPr>
          <w:rFonts w:hint="eastAsia" w:ascii="Times New Roman" w:hAnsi="Times New Roman" w:eastAsia="方正仿宋_GBK" w:cs="Times New Roman"/>
          <w:color w:val="000000" w:themeColor="text1"/>
          <w:kern w:val="2"/>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kern w:val="2"/>
          <w:sz w:val="32"/>
          <w:szCs w:val="32"/>
          <w:lang w:val="en-US" w:eastAsia="zh-CN"/>
          <w14:textFill>
            <w14:solidFill>
              <w14:schemeClr w14:val="tx1"/>
            </w14:solidFill>
          </w14:textFill>
        </w:rPr>
        <w:t>我单位未委托第三方开展重点绩效评价。</w:t>
      </w:r>
    </w:p>
    <w:p w14:paraId="0389F7A8">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firstLine="640" w:firstLineChars="200"/>
        <w:jc w:val="both"/>
        <w:rPr>
          <w:rFonts w:hint="eastAsia" w:ascii="Times New Roman" w:hAnsi="Times New Roman" w:eastAsia="方正黑体_GBK" w:cs="Times New Roman"/>
          <w:color w:val="000000" w:themeColor="text1"/>
          <w:kern w:val="2"/>
          <w:sz w:val="32"/>
          <w:szCs w:val="32"/>
          <w:lang w:eastAsia="zh-Hans"/>
          <w14:textFill>
            <w14:solidFill>
              <w14:schemeClr w14:val="tx1"/>
            </w14:solidFill>
          </w14:textFill>
        </w:rPr>
      </w:pPr>
      <w:r>
        <w:rPr>
          <w:rFonts w:hint="eastAsia" w:ascii="Times New Roman" w:hAnsi="Times New Roman" w:eastAsia="方正黑体_GBK" w:cs="Times New Roman"/>
          <w:color w:val="000000" w:themeColor="text1"/>
          <w:kern w:val="2"/>
          <w:sz w:val="32"/>
          <w:szCs w:val="32"/>
          <w:lang w:eastAsia="zh-Hans"/>
          <w14:textFill>
            <w14:solidFill>
              <w14:schemeClr w14:val="tx1"/>
            </w14:solidFill>
          </w14:textFill>
        </w:rPr>
        <w:t>六、专业名词解释</w:t>
      </w:r>
    </w:p>
    <w:p w14:paraId="19BACBC5">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rPr>
          <w:color w:val="000000" w:themeColor="text1"/>
          <w14:textFill>
            <w14:solidFill>
              <w14:schemeClr w14:val="tx1"/>
            </w14:solidFill>
          </w14:textFill>
        </w:rPr>
      </w:pPr>
      <w:r>
        <w:rPr>
          <w:rFonts w:ascii="Times New Roman" w:hAnsi="Times New Roman" w:eastAsia="方正楷体_GBK" w:cs="Times New Roman"/>
          <w:color w:val="000000" w:themeColor="text1"/>
          <w:kern w:val="2"/>
          <w:sz w:val="32"/>
          <w:szCs w:val="32"/>
          <w:lang w:val="en-US" w:eastAsia="zh-CN" w:bidi="ar-SA"/>
          <w14:textFill>
            <w14:solidFill>
              <w14:schemeClr w14:val="tx1"/>
            </w14:solidFill>
          </w14:textFill>
        </w:rPr>
        <w:t>（一）财政拨款收入：</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指本年度从本级财政部门取得的财政拨款，包括一般公共预算财政拨款和政府性基金预算财政拨款。</w:t>
      </w:r>
    </w:p>
    <w:p w14:paraId="421F5F43">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rPr>
          <w:color w:val="000000" w:themeColor="text1"/>
          <w:sz w:val="27"/>
          <w:szCs w:val="27"/>
          <w14:textFill>
            <w14:solidFill>
              <w14:schemeClr w14:val="tx1"/>
            </w14:solidFill>
          </w14:textFill>
        </w:rPr>
      </w:pPr>
      <w:r>
        <w:rPr>
          <w:rFonts w:ascii="Times New Roman" w:hAnsi="Times New Roman" w:eastAsia="方正楷体_GBK" w:cs="Times New Roman"/>
          <w:color w:val="000000" w:themeColor="text1"/>
          <w:kern w:val="2"/>
          <w:sz w:val="32"/>
          <w:szCs w:val="32"/>
          <w:lang w:val="en-US" w:eastAsia="zh-CN" w:bidi="ar-SA"/>
          <w14:textFill>
            <w14:solidFill>
              <w14:schemeClr w14:val="tx1"/>
            </w14:solidFill>
          </w14:textFill>
        </w:rPr>
        <w:t>（二）事业收入：</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指事业单位开展专业业务活动及其辅助活动取得的现金流入；事业单位收到的财政专户实际核拨的教育收费等资金在此反映。</w:t>
      </w:r>
    </w:p>
    <w:p w14:paraId="4E79A505">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rPr>
          <w:color w:val="000000" w:themeColor="text1"/>
          <w:sz w:val="27"/>
          <w:szCs w:val="27"/>
          <w14:textFill>
            <w14:solidFill>
              <w14:schemeClr w14:val="tx1"/>
            </w14:solidFill>
          </w14:textFill>
        </w:rPr>
      </w:pPr>
      <w:r>
        <w:rPr>
          <w:rFonts w:ascii="Times New Roman" w:hAnsi="Times New Roman" w:eastAsia="方正楷体_GBK" w:cs="Times New Roman"/>
          <w:color w:val="000000" w:themeColor="text1"/>
          <w:kern w:val="2"/>
          <w:sz w:val="32"/>
          <w:szCs w:val="32"/>
          <w:lang w:val="en-US" w:eastAsia="zh-CN" w:bidi="ar-SA"/>
          <w14:textFill>
            <w14:solidFill>
              <w14:schemeClr w14:val="tx1"/>
            </w14:solidFill>
          </w14:textFill>
        </w:rPr>
        <w:t>（三）经营收入：</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指事业单位在专业业务活动及其辅助活动之外开展非独立核算经营活动取得的现金流入。</w:t>
      </w:r>
    </w:p>
    <w:p w14:paraId="4E48C2F9">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ascii="Times New Roman" w:hAnsi="Times New Roman" w:eastAsia="方正楷体_GBK" w:cs="Times New Roman"/>
          <w:color w:val="000000" w:themeColor="text1"/>
          <w:kern w:val="2"/>
          <w:sz w:val="32"/>
          <w:szCs w:val="32"/>
          <w:lang w:val="en-US" w:eastAsia="zh-CN" w:bidi="ar-SA"/>
          <w14:textFill>
            <w14:solidFill>
              <w14:schemeClr w14:val="tx1"/>
            </w14:solidFill>
          </w14:textFill>
        </w:rPr>
        <w:t>（四）其他收入：</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246D4661">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rPr>
          <w:color w:val="000000" w:themeColor="text1"/>
          <w:sz w:val="27"/>
          <w:szCs w:val="27"/>
          <w14:textFill>
            <w14:solidFill>
              <w14:schemeClr w14:val="tx1"/>
            </w14:solidFill>
          </w14:textFill>
        </w:rPr>
      </w:pPr>
      <w:r>
        <w:rPr>
          <w:rFonts w:ascii="Times New Roman" w:hAnsi="Times New Roman" w:eastAsia="方正楷体_GBK" w:cs="Times New Roman"/>
          <w:color w:val="000000" w:themeColor="text1"/>
          <w:kern w:val="2"/>
          <w:sz w:val="32"/>
          <w:szCs w:val="32"/>
          <w:lang w:val="en-US" w:eastAsia="zh-CN" w:bidi="ar-SA"/>
          <w14:textFill>
            <w14:solidFill>
              <w14:schemeClr w14:val="tx1"/>
            </w14:solidFill>
          </w14:textFill>
        </w:rPr>
        <w:t>（</w:t>
      </w:r>
      <w:r>
        <w:rPr>
          <w:rFonts w:hint="eastAsia" w:ascii="Times New Roman" w:hAnsi="Times New Roman" w:eastAsia="方正楷体_GBK" w:cs="Times New Roman"/>
          <w:color w:val="000000" w:themeColor="text1"/>
          <w:kern w:val="2"/>
          <w:sz w:val="32"/>
          <w:szCs w:val="32"/>
          <w:lang w:val="en-US" w:eastAsia="zh-CN" w:bidi="ar-SA"/>
          <w14:textFill>
            <w14:solidFill>
              <w14:schemeClr w14:val="tx1"/>
            </w14:solidFill>
          </w14:textFill>
        </w:rPr>
        <w:t>五</w:t>
      </w:r>
      <w:r>
        <w:rPr>
          <w:rFonts w:ascii="Times New Roman" w:hAnsi="Times New Roman" w:eastAsia="方正楷体_GBK" w:cs="Times New Roman"/>
          <w:color w:val="000000" w:themeColor="text1"/>
          <w:kern w:val="2"/>
          <w:sz w:val="32"/>
          <w:szCs w:val="32"/>
          <w:lang w:val="en-US" w:eastAsia="zh-CN" w:bidi="ar-SA"/>
          <w14:textFill>
            <w14:solidFill>
              <w14:schemeClr w14:val="tx1"/>
            </w14:solidFill>
          </w14:textFill>
        </w:rPr>
        <w:t>）年初结转和结余：</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指单位上年结转本年使用的基本支出结转、项目支出结转和结余、经营结余。</w:t>
      </w:r>
    </w:p>
    <w:p w14:paraId="491A4210">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rPr>
          <w:color w:val="000000" w:themeColor="text1"/>
          <w:sz w:val="27"/>
          <w:szCs w:val="27"/>
          <w14:textFill>
            <w14:solidFill>
              <w14:schemeClr w14:val="tx1"/>
            </w14:solidFill>
          </w14:textFill>
        </w:rPr>
      </w:pPr>
      <w:r>
        <w:rPr>
          <w:rFonts w:ascii="Times New Roman" w:hAnsi="Times New Roman" w:eastAsia="方正楷体_GBK" w:cs="Times New Roman"/>
          <w:color w:val="000000" w:themeColor="text1"/>
          <w:kern w:val="2"/>
          <w:sz w:val="32"/>
          <w:szCs w:val="32"/>
          <w:lang w:val="en-US" w:eastAsia="zh-CN" w:bidi="ar-SA"/>
          <w14:textFill>
            <w14:solidFill>
              <w14:schemeClr w14:val="tx1"/>
            </w14:solidFill>
          </w14:textFill>
        </w:rPr>
        <w:t>（</w:t>
      </w:r>
      <w:r>
        <w:rPr>
          <w:rFonts w:hint="eastAsia" w:ascii="Times New Roman" w:hAnsi="Times New Roman" w:eastAsia="方正楷体_GBK" w:cs="Times New Roman"/>
          <w:color w:val="000000" w:themeColor="text1"/>
          <w:kern w:val="2"/>
          <w:sz w:val="32"/>
          <w:szCs w:val="32"/>
          <w:lang w:val="en-US" w:eastAsia="zh-CN" w:bidi="ar-SA"/>
          <w14:textFill>
            <w14:solidFill>
              <w14:schemeClr w14:val="tx1"/>
            </w14:solidFill>
          </w14:textFill>
        </w:rPr>
        <w:t>六</w:t>
      </w:r>
      <w:r>
        <w:rPr>
          <w:rFonts w:ascii="Times New Roman" w:hAnsi="Times New Roman" w:eastAsia="方正楷体_GBK" w:cs="Times New Roman"/>
          <w:color w:val="000000" w:themeColor="text1"/>
          <w:kern w:val="2"/>
          <w:sz w:val="32"/>
          <w:szCs w:val="32"/>
          <w:lang w:val="en-US" w:eastAsia="zh-CN" w:bidi="ar-SA"/>
          <w14:textFill>
            <w14:solidFill>
              <w14:schemeClr w14:val="tx1"/>
            </w14:solidFill>
          </w14:textFill>
        </w:rPr>
        <w:t>）结余分配：</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指单位按照国家有关规定，缴纳所得税、提取专用基金、转入非财政拨款结余等当年结余的分配情况。</w:t>
      </w:r>
    </w:p>
    <w:p w14:paraId="63A375D3">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rPr>
          <w:color w:val="000000" w:themeColor="text1"/>
          <w:sz w:val="27"/>
          <w:szCs w:val="27"/>
          <w14:textFill>
            <w14:solidFill>
              <w14:schemeClr w14:val="tx1"/>
            </w14:solidFill>
          </w14:textFill>
        </w:rPr>
      </w:pPr>
      <w:r>
        <w:rPr>
          <w:rFonts w:ascii="Times New Roman" w:hAnsi="Times New Roman" w:eastAsia="方正楷体_GBK" w:cs="Times New Roman"/>
          <w:color w:val="000000" w:themeColor="text1"/>
          <w:kern w:val="2"/>
          <w:sz w:val="32"/>
          <w:szCs w:val="32"/>
          <w:lang w:val="en-US" w:eastAsia="zh-CN" w:bidi="ar-SA"/>
          <w14:textFill>
            <w14:solidFill>
              <w14:schemeClr w14:val="tx1"/>
            </w14:solidFill>
          </w14:textFill>
        </w:rPr>
        <w:t>（</w:t>
      </w:r>
      <w:r>
        <w:rPr>
          <w:rFonts w:hint="eastAsia" w:ascii="Times New Roman" w:hAnsi="Times New Roman" w:eastAsia="方正楷体_GBK" w:cs="Times New Roman"/>
          <w:color w:val="000000" w:themeColor="text1"/>
          <w:kern w:val="2"/>
          <w:sz w:val="32"/>
          <w:szCs w:val="32"/>
          <w:lang w:val="en-US" w:eastAsia="zh-CN" w:bidi="ar-SA"/>
          <w14:textFill>
            <w14:solidFill>
              <w14:schemeClr w14:val="tx1"/>
            </w14:solidFill>
          </w14:textFill>
        </w:rPr>
        <w:t>七</w:t>
      </w:r>
      <w:r>
        <w:rPr>
          <w:rFonts w:ascii="Times New Roman" w:hAnsi="Times New Roman" w:eastAsia="方正楷体_GBK" w:cs="Times New Roman"/>
          <w:color w:val="000000" w:themeColor="text1"/>
          <w:kern w:val="2"/>
          <w:sz w:val="32"/>
          <w:szCs w:val="32"/>
          <w:lang w:val="en-US" w:eastAsia="zh-CN" w:bidi="ar-SA"/>
          <w14:textFill>
            <w14:solidFill>
              <w14:schemeClr w14:val="tx1"/>
            </w14:solidFill>
          </w14:textFill>
        </w:rPr>
        <w:t>）年末结转和结余：</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指单位结转下年的基本支出结转、项目支出结转和结余、经营结余。</w:t>
      </w:r>
    </w:p>
    <w:p w14:paraId="669E8C0A">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rPr>
          <w:color w:val="000000" w:themeColor="text1"/>
          <w:sz w:val="27"/>
          <w:szCs w:val="27"/>
          <w14:textFill>
            <w14:solidFill>
              <w14:schemeClr w14:val="tx1"/>
            </w14:solidFill>
          </w14:textFill>
        </w:rPr>
      </w:pPr>
      <w:r>
        <w:rPr>
          <w:rFonts w:ascii="Times New Roman" w:hAnsi="Times New Roman" w:eastAsia="方正楷体_GBK" w:cs="Times New Roman"/>
          <w:color w:val="000000" w:themeColor="text1"/>
          <w:kern w:val="2"/>
          <w:sz w:val="32"/>
          <w:szCs w:val="32"/>
          <w:lang w:val="en-US" w:eastAsia="zh-CN" w:bidi="ar-SA"/>
          <w14:textFill>
            <w14:solidFill>
              <w14:schemeClr w14:val="tx1"/>
            </w14:solidFill>
          </w14:textFill>
        </w:rPr>
        <w:t>（</w:t>
      </w:r>
      <w:r>
        <w:rPr>
          <w:rFonts w:hint="eastAsia" w:ascii="Times New Roman" w:hAnsi="Times New Roman" w:eastAsia="方正楷体_GBK" w:cs="Times New Roman"/>
          <w:color w:val="000000" w:themeColor="text1"/>
          <w:kern w:val="2"/>
          <w:sz w:val="32"/>
          <w:szCs w:val="32"/>
          <w:lang w:val="en-US" w:eastAsia="zh-CN" w:bidi="ar-SA"/>
          <w14:textFill>
            <w14:solidFill>
              <w14:schemeClr w14:val="tx1"/>
            </w14:solidFill>
          </w14:textFill>
        </w:rPr>
        <w:t>八</w:t>
      </w:r>
      <w:r>
        <w:rPr>
          <w:rFonts w:ascii="Times New Roman" w:hAnsi="Times New Roman" w:eastAsia="方正楷体_GBK" w:cs="Times New Roman"/>
          <w:color w:val="000000" w:themeColor="text1"/>
          <w:kern w:val="2"/>
          <w:sz w:val="32"/>
          <w:szCs w:val="32"/>
          <w:lang w:val="en-US" w:eastAsia="zh-CN" w:bidi="ar-SA"/>
          <w14:textFill>
            <w14:solidFill>
              <w14:schemeClr w14:val="tx1"/>
            </w14:solidFill>
          </w14:textFill>
        </w:rPr>
        <w:t>）基本支出：</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5D687FD4">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rPr>
          <w:color w:val="000000" w:themeColor="text1"/>
          <w:sz w:val="27"/>
          <w:szCs w:val="27"/>
          <w14:textFill>
            <w14:solidFill>
              <w14:schemeClr w14:val="tx1"/>
            </w14:solidFill>
          </w14:textFill>
        </w:rPr>
      </w:pPr>
      <w:r>
        <w:rPr>
          <w:rFonts w:ascii="Times New Roman" w:hAnsi="Times New Roman" w:eastAsia="方正楷体_GBK" w:cs="Times New Roman"/>
          <w:color w:val="000000" w:themeColor="text1"/>
          <w:kern w:val="2"/>
          <w:sz w:val="32"/>
          <w:szCs w:val="32"/>
          <w:lang w:val="en-US" w:eastAsia="zh-CN" w:bidi="ar-SA"/>
          <w14:textFill>
            <w14:solidFill>
              <w14:schemeClr w14:val="tx1"/>
            </w14:solidFill>
          </w14:textFill>
        </w:rPr>
        <w:t>（</w:t>
      </w:r>
      <w:r>
        <w:rPr>
          <w:rFonts w:hint="eastAsia" w:ascii="Times New Roman" w:hAnsi="Times New Roman" w:eastAsia="方正楷体_GBK" w:cs="Times New Roman"/>
          <w:color w:val="000000" w:themeColor="text1"/>
          <w:kern w:val="2"/>
          <w:sz w:val="32"/>
          <w:szCs w:val="32"/>
          <w:lang w:val="en-US" w:eastAsia="zh-CN" w:bidi="ar-SA"/>
          <w14:textFill>
            <w14:solidFill>
              <w14:schemeClr w14:val="tx1"/>
            </w14:solidFill>
          </w14:textFill>
        </w:rPr>
        <w:t>九</w:t>
      </w:r>
      <w:r>
        <w:rPr>
          <w:rFonts w:ascii="Times New Roman" w:hAnsi="Times New Roman" w:eastAsia="方正楷体_GBK" w:cs="Times New Roman"/>
          <w:color w:val="000000" w:themeColor="text1"/>
          <w:kern w:val="2"/>
          <w:sz w:val="32"/>
          <w:szCs w:val="32"/>
          <w:lang w:val="en-US" w:eastAsia="zh-CN" w:bidi="ar-SA"/>
          <w14:textFill>
            <w14:solidFill>
              <w14:schemeClr w14:val="tx1"/>
            </w14:solidFill>
          </w14:textFill>
        </w:rPr>
        <w:t>）项目支出：</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指在基本支出之外为完成特定行政任务和事业发展目标所发生的支出。</w:t>
      </w:r>
    </w:p>
    <w:p w14:paraId="7C50F790">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rPr>
          <w:color w:val="000000" w:themeColor="text1"/>
          <w:sz w:val="27"/>
          <w:szCs w:val="27"/>
          <w14:textFill>
            <w14:solidFill>
              <w14:schemeClr w14:val="tx1"/>
            </w14:solidFill>
          </w14:textFill>
        </w:rPr>
      </w:pPr>
      <w:r>
        <w:rPr>
          <w:rFonts w:ascii="Times New Roman" w:hAnsi="Times New Roman" w:eastAsia="方正楷体_GBK" w:cs="Times New Roman"/>
          <w:color w:val="000000" w:themeColor="text1"/>
          <w:kern w:val="2"/>
          <w:sz w:val="32"/>
          <w:szCs w:val="32"/>
          <w:lang w:val="en-US" w:eastAsia="zh-CN" w:bidi="ar-SA"/>
          <w14:textFill>
            <w14:solidFill>
              <w14:schemeClr w14:val="tx1"/>
            </w14:solidFill>
          </w14:textFill>
        </w:rPr>
        <w:t>（十）经营支出：</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指事业单位在专业业务活动及其辅助活动之外开展非独立核算经营活动发生的支出。</w:t>
      </w:r>
    </w:p>
    <w:p w14:paraId="64B4FD90">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rPr>
          <w:color w:val="000000" w:themeColor="text1"/>
          <w:sz w:val="27"/>
          <w:szCs w:val="27"/>
          <w14:textFill>
            <w14:solidFill>
              <w14:schemeClr w14:val="tx1"/>
            </w14:solidFill>
          </w14:textFill>
        </w:rPr>
      </w:pPr>
      <w:r>
        <w:rPr>
          <w:rFonts w:ascii="Times New Roman" w:hAnsi="Times New Roman" w:eastAsia="方正楷体_GBK" w:cs="Times New Roman"/>
          <w:color w:val="000000" w:themeColor="text1"/>
          <w:kern w:val="2"/>
          <w:sz w:val="32"/>
          <w:szCs w:val="32"/>
          <w:lang w:val="en-US" w:eastAsia="zh-CN" w:bidi="ar-SA"/>
          <w14:textFill>
            <w14:solidFill>
              <w14:schemeClr w14:val="tx1"/>
            </w14:solidFill>
          </w14:textFill>
        </w:rPr>
        <w:t>（十</w:t>
      </w:r>
      <w:r>
        <w:rPr>
          <w:rFonts w:hint="eastAsia" w:ascii="Times New Roman" w:hAnsi="Times New Roman" w:eastAsia="方正楷体_GBK" w:cs="Times New Roman"/>
          <w:color w:val="000000" w:themeColor="text1"/>
          <w:kern w:val="2"/>
          <w:sz w:val="32"/>
          <w:szCs w:val="32"/>
          <w:lang w:val="en-US" w:eastAsia="zh-CN" w:bidi="ar-SA"/>
          <w14:textFill>
            <w14:solidFill>
              <w14:schemeClr w14:val="tx1"/>
            </w14:solidFill>
          </w14:textFill>
        </w:rPr>
        <w:t>一</w:t>
      </w:r>
      <w:r>
        <w:rPr>
          <w:rFonts w:ascii="Times New Roman" w:hAnsi="Times New Roman" w:eastAsia="方正楷体_GBK" w:cs="Times New Roman"/>
          <w:color w:val="000000" w:themeColor="text1"/>
          <w:kern w:val="2"/>
          <w:sz w:val="32"/>
          <w:szCs w:val="32"/>
          <w:lang w:val="en-US" w:eastAsia="zh-CN" w:bidi="ar-SA"/>
          <w14:textFill>
            <w14:solidFill>
              <w14:schemeClr w14:val="tx1"/>
            </w14:solidFill>
          </w14:textFill>
        </w:rPr>
        <w:t>）“三公”经费：</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7986FCE0">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rPr>
          <w:color w:val="000000" w:themeColor="text1"/>
          <w:sz w:val="27"/>
          <w:szCs w:val="27"/>
          <w14:textFill>
            <w14:solidFill>
              <w14:schemeClr w14:val="tx1"/>
            </w14:solidFill>
          </w14:textFill>
        </w:rPr>
      </w:pPr>
      <w:r>
        <w:rPr>
          <w:rFonts w:ascii="Times New Roman" w:hAnsi="Times New Roman" w:eastAsia="方正楷体_GBK" w:cs="Times New Roman"/>
          <w:color w:val="000000" w:themeColor="text1"/>
          <w:kern w:val="2"/>
          <w:sz w:val="32"/>
          <w:szCs w:val="32"/>
          <w:lang w:val="en-US" w:eastAsia="zh-CN" w:bidi="ar-SA"/>
          <w14:textFill>
            <w14:solidFill>
              <w14:schemeClr w14:val="tx1"/>
            </w14:solidFill>
          </w14:textFill>
        </w:rPr>
        <w:t>（十</w:t>
      </w:r>
      <w:r>
        <w:rPr>
          <w:rFonts w:hint="eastAsia" w:ascii="Times New Roman" w:hAnsi="Times New Roman" w:eastAsia="方正楷体_GBK" w:cs="Times New Roman"/>
          <w:color w:val="000000" w:themeColor="text1"/>
          <w:kern w:val="2"/>
          <w:sz w:val="32"/>
          <w:szCs w:val="32"/>
          <w:lang w:val="en-US" w:eastAsia="zh-CN" w:bidi="ar-SA"/>
          <w14:textFill>
            <w14:solidFill>
              <w14:schemeClr w14:val="tx1"/>
            </w14:solidFill>
          </w14:textFill>
        </w:rPr>
        <w:t>二</w:t>
      </w:r>
      <w:r>
        <w:rPr>
          <w:rFonts w:ascii="Times New Roman" w:hAnsi="Times New Roman" w:eastAsia="方正楷体_GBK" w:cs="Times New Roman"/>
          <w:color w:val="000000" w:themeColor="text1"/>
          <w:kern w:val="2"/>
          <w:sz w:val="32"/>
          <w:szCs w:val="32"/>
          <w:lang w:val="en-US" w:eastAsia="zh-CN" w:bidi="ar-SA"/>
          <w14:textFill>
            <w14:solidFill>
              <w14:schemeClr w14:val="tx1"/>
            </w14:solidFill>
          </w14:textFill>
        </w:rPr>
        <w:t>）机关运行经费：</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3FD3707C">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rPr>
          <w:color w:val="000000" w:themeColor="text1"/>
          <w:sz w:val="27"/>
          <w:szCs w:val="27"/>
          <w14:textFill>
            <w14:solidFill>
              <w14:schemeClr w14:val="tx1"/>
            </w14:solidFill>
          </w14:textFill>
        </w:rPr>
      </w:pPr>
      <w:r>
        <w:rPr>
          <w:rFonts w:ascii="Times New Roman" w:hAnsi="Times New Roman" w:eastAsia="方正楷体_GBK" w:cs="Times New Roman"/>
          <w:color w:val="000000" w:themeColor="text1"/>
          <w:kern w:val="2"/>
          <w:sz w:val="32"/>
          <w:szCs w:val="32"/>
          <w:lang w:val="en-US" w:eastAsia="zh-CN" w:bidi="ar-SA"/>
          <w14:textFill>
            <w14:solidFill>
              <w14:schemeClr w14:val="tx1"/>
            </w14:solidFill>
          </w14:textFill>
        </w:rPr>
        <w:t>（十</w:t>
      </w:r>
      <w:r>
        <w:rPr>
          <w:rFonts w:hint="eastAsia" w:ascii="Times New Roman" w:hAnsi="Times New Roman" w:eastAsia="方正楷体_GBK" w:cs="Times New Roman"/>
          <w:color w:val="000000" w:themeColor="text1"/>
          <w:kern w:val="2"/>
          <w:sz w:val="32"/>
          <w:szCs w:val="32"/>
          <w:lang w:val="en-US" w:eastAsia="zh-CN" w:bidi="ar-SA"/>
          <w14:textFill>
            <w14:solidFill>
              <w14:schemeClr w14:val="tx1"/>
            </w14:solidFill>
          </w14:textFill>
        </w:rPr>
        <w:t>三</w:t>
      </w:r>
      <w:r>
        <w:rPr>
          <w:rFonts w:ascii="Times New Roman" w:hAnsi="Times New Roman" w:eastAsia="方正楷体_GBK" w:cs="Times New Roman"/>
          <w:color w:val="000000" w:themeColor="text1"/>
          <w:kern w:val="2"/>
          <w:sz w:val="32"/>
          <w:szCs w:val="32"/>
          <w:lang w:val="en-US" w:eastAsia="zh-CN" w:bidi="ar-SA"/>
          <w14:textFill>
            <w14:solidFill>
              <w14:schemeClr w14:val="tx1"/>
            </w14:solidFill>
          </w14:textFill>
        </w:rPr>
        <w:t>）工资福利支出（支出经济分类科目类级）：</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反映单位开支的在职职工和编制外长期聘用人员的各类劳动报酬，以及为上述人员缴纳的各项社会保险费等。</w:t>
      </w:r>
    </w:p>
    <w:p w14:paraId="08097365">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rPr>
          <w:color w:val="000000" w:themeColor="text1"/>
          <w:sz w:val="27"/>
          <w:szCs w:val="27"/>
          <w14:textFill>
            <w14:solidFill>
              <w14:schemeClr w14:val="tx1"/>
            </w14:solidFill>
          </w14:textFill>
        </w:rPr>
      </w:pPr>
      <w:r>
        <w:rPr>
          <w:rFonts w:ascii="Times New Roman" w:hAnsi="Times New Roman" w:eastAsia="方正楷体_GBK" w:cs="Times New Roman"/>
          <w:color w:val="000000" w:themeColor="text1"/>
          <w:kern w:val="2"/>
          <w:sz w:val="32"/>
          <w:szCs w:val="32"/>
          <w:lang w:val="en-US" w:eastAsia="zh-CN" w:bidi="ar-SA"/>
          <w14:textFill>
            <w14:solidFill>
              <w14:schemeClr w14:val="tx1"/>
            </w14:solidFill>
          </w14:textFill>
        </w:rPr>
        <w:t>（十</w:t>
      </w:r>
      <w:r>
        <w:rPr>
          <w:rFonts w:hint="eastAsia" w:ascii="Times New Roman" w:hAnsi="Times New Roman" w:eastAsia="方正楷体_GBK" w:cs="Times New Roman"/>
          <w:color w:val="000000" w:themeColor="text1"/>
          <w:kern w:val="2"/>
          <w:sz w:val="32"/>
          <w:szCs w:val="32"/>
          <w:lang w:val="en-US" w:eastAsia="zh-CN" w:bidi="ar-SA"/>
          <w14:textFill>
            <w14:solidFill>
              <w14:schemeClr w14:val="tx1"/>
            </w14:solidFill>
          </w14:textFill>
        </w:rPr>
        <w:t>四</w:t>
      </w:r>
      <w:r>
        <w:rPr>
          <w:rFonts w:ascii="Times New Roman" w:hAnsi="Times New Roman" w:eastAsia="方正楷体_GBK" w:cs="Times New Roman"/>
          <w:color w:val="000000" w:themeColor="text1"/>
          <w:kern w:val="2"/>
          <w:sz w:val="32"/>
          <w:szCs w:val="32"/>
          <w:lang w:val="en-US" w:eastAsia="zh-CN" w:bidi="ar-SA"/>
          <w14:textFill>
            <w14:solidFill>
              <w14:schemeClr w14:val="tx1"/>
            </w14:solidFill>
          </w14:textFill>
        </w:rPr>
        <w:t>）商品和服务支出（支出经济分类科目类级）：</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反映单位购买商品和服务的支出（不包括用于购置固定资产的支出、战略性和应急储备支出）。</w:t>
      </w:r>
    </w:p>
    <w:p w14:paraId="28F88DE0">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rPr>
          <w:color w:val="000000" w:themeColor="text1"/>
          <w:sz w:val="27"/>
          <w:szCs w:val="27"/>
          <w14:textFill>
            <w14:solidFill>
              <w14:schemeClr w14:val="tx1"/>
            </w14:solidFill>
          </w14:textFill>
        </w:rPr>
      </w:pPr>
      <w:r>
        <w:rPr>
          <w:rFonts w:ascii="Times New Roman" w:hAnsi="Times New Roman" w:eastAsia="方正楷体_GBK" w:cs="Times New Roman"/>
          <w:color w:val="000000" w:themeColor="text1"/>
          <w:kern w:val="2"/>
          <w:sz w:val="32"/>
          <w:szCs w:val="32"/>
          <w:lang w:val="en-US" w:eastAsia="zh-CN" w:bidi="ar-SA"/>
          <w14:textFill>
            <w14:solidFill>
              <w14:schemeClr w14:val="tx1"/>
            </w14:solidFill>
          </w14:textFill>
        </w:rPr>
        <w:t>（十</w:t>
      </w:r>
      <w:r>
        <w:rPr>
          <w:rFonts w:hint="eastAsia" w:ascii="Times New Roman" w:hAnsi="Times New Roman" w:eastAsia="方正楷体_GBK" w:cs="Times New Roman"/>
          <w:color w:val="000000" w:themeColor="text1"/>
          <w:kern w:val="2"/>
          <w:sz w:val="32"/>
          <w:szCs w:val="32"/>
          <w:lang w:val="en-US" w:eastAsia="zh-CN" w:bidi="ar-SA"/>
          <w14:textFill>
            <w14:solidFill>
              <w14:schemeClr w14:val="tx1"/>
            </w14:solidFill>
          </w14:textFill>
        </w:rPr>
        <w:t>五</w:t>
      </w:r>
      <w:r>
        <w:rPr>
          <w:rFonts w:ascii="Times New Roman" w:hAnsi="Times New Roman" w:eastAsia="方正楷体_GBK" w:cs="Times New Roman"/>
          <w:color w:val="000000" w:themeColor="text1"/>
          <w:kern w:val="2"/>
          <w:sz w:val="32"/>
          <w:szCs w:val="32"/>
          <w:lang w:val="en-US" w:eastAsia="zh-CN" w:bidi="ar-SA"/>
          <w14:textFill>
            <w14:solidFill>
              <w14:schemeClr w14:val="tx1"/>
            </w14:solidFill>
          </w14:textFill>
        </w:rPr>
        <w:t>）对个人和家庭的补助（支出经济分类科目类级）：</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反映用于对个人和家庭的补助支出。</w:t>
      </w:r>
    </w:p>
    <w:p w14:paraId="6399DB35">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rPr>
          <w:color w:val="000000" w:themeColor="text1"/>
          <w:sz w:val="27"/>
          <w:szCs w:val="27"/>
          <w14:textFill>
            <w14:solidFill>
              <w14:schemeClr w14:val="tx1"/>
            </w14:solidFill>
          </w14:textFill>
        </w:rPr>
      </w:pPr>
      <w:r>
        <w:rPr>
          <w:rFonts w:ascii="Times New Roman" w:hAnsi="Times New Roman" w:eastAsia="方正楷体_GBK" w:cs="Times New Roman"/>
          <w:color w:val="000000" w:themeColor="text1"/>
          <w:kern w:val="2"/>
          <w:sz w:val="32"/>
          <w:szCs w:val="32"/>
          <w:lang w:val="en-US" w:eastAsia="zh-CN" w:bidi="ar-SA"/>
          <w14:textFill>
            <w14:solidFill>
              <w14:schemeClr w14:val="tx1"/>
            </w14:solidFill>
          </w14:textFill>
        </w:rPr>
        <w:t>（十</w:t>
      </w:r>
      <w:r>
        <w:rPr>
          <w:rFonts w:hint="eastAsia" w:ascii="Times New Roman" w:hAnsi="Times New Roman" w:eastAsia="方正楷体_GBK" w:cs="Times New Roman"/>
          <w:color w:val="000000" w:themeColor="text1"/>
          <w:kern w:val="2"/>
          <w:sz w:val="32"/>
          <w:szCs w:val="32"/>
          <w:lang w:val="en-US" w:eastAsia="zh-CN" w:bidi="ar-SA"/>
          <w14:textFill>
            <w14:solidFill>
              <w14:schemeClr w14:val="tx1"/>
            </w14:solidFill>
          </w14:textFill>
        </w:rPr>
        <w:t>六</w:t>
      </w:r>
      <w:r>
        <w:rPr>
          <w:rFonts w:ascii="Times New Roman" w:hAnsi="Times New Roman" w:eastAsia="方正楷体_GBK" w:cs="Times New Roman"/>
          <w:color w:val="000000" w:themeColor="text1"/>
          <w:kern w:val="2"/>
          <w:sz w:val="32"/>
          <w:szCs w:val="32"/>
          <w:lang w:val="en-US" w:eastAsia="zh-CN" w:bidi="ar-SA"/>
          <w14:textFill>
            <w14:solidFill>
              <w14:schemeClr w14:val="tx1"/>
            </w14:solidFill>
          </w14:textFill>
        </w:rPr>
        <w:t>）其他资本性支出（支出经济分类科目类级）：</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反映非各级发展与改革部门集中安排的用于购置固定资产、战略性和应急性储备、土地和无形资产，以及构建基础设施、大型修缮和财政支持企业更新改造所发生的支出。</w:t>
      </w:r>
    </w:p>
    <w:p w14:paraId="59B1B32E">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rPr>
          <w:rFonts w:ascii="Times New Roman" w:hAnsi="Times New Roman" w:eastAsia="方正黑体_GBK" w:cs="Times New Roman"/>
          <w:color w:val="000000" w:themeColor="text1"/>
          <w:kern w:val="2"/>
          <w:sz w:val="32"/>
          <w:szCs w:val="32"/>
          <w:lang w:val="en-US" w:eastAsia="zh-CN" w:bidi="ar-SA"/>
          <w14:textFill>
            <w14:solidFill>
              <w14:schemeClr w14:val="tx1"/>
            </w14:solidFill>
          </w14:textFill>
        </w:rPr>
      </w:pPr>
      <w:r>
        <w:rPr>
          <w:rFonts w:ascii="Times New Roman" w:hAnsi="Times New Roman" w:eastAsia="方正黑体_GBK" w:cs="Times New Roman"/>
          <w:color w:val="000000" w:themeColor="text1"/>
          <w:kern w:val="2"/>
          <w:sz w:val="32"/>
          <w:szCs w:val="32"/>
          <w:lang w:val="en-US" w:eastAsia="zh-CN" w:bidi="ar-SA"/>
          <w14:textFill>
            <w14:solidFill>
              <w14:schemeClr w14:val="tx1"/>
            </w14:solidFill>
          </w14:textFill>
        </w:rPr>
        <w:t>七、决算公开联系方式及信息反馈渠道</w:t>
      </w:r>
    </w:p>
    <w:p w14:paraId="1FAB94A6">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firstLine="640" w:firstLineChars="200"/>
        <w:jc w:val="both"/>
        <w:rPr>
          <w:rFonts w:hint="eastAsia" w:ascii="Times New Roman" w:hAnsi="Times New Roman" w:eastAsia="方正仿宋_GBK" w:cs="Times New Roman"/>
          <w:color w:val="000000" w:themeColor="text1"/>
          <w:kern w:val="2"/>
          <w:sz w:val="32"/>
          <w:szCs w:val="32"/>
          <w14:textFill>
            <w14:solidFill>
              <w14:schemeClr w14:val="tx1"/>
            </w14:solidFill>
          </w14:textFill>
        </w:rPr>
      </w:pPr>
      <w:r>
        <w:rPr>
          <w:rFonts w:hint="eastAsia" w:ascii="Times New Roman" w:hAnsi="Times New Roman" w:eastAsia="方正仿宋_GBK" w:cs="Times New Roman"/>
          <w:color w:val="000000" w:themeColor="text1"/>
          <w:kern w:val="2"/>
          <w:sz w:val="32"/>
          <w:szCs w:val="32"/>
          <w14:textFill>
            <w14:solidFill>
              <w14:schemeClr w14:val="tx1"/>
            </w14:solidFill>
          </w14:textFill>
        </w:rPr>
        <w:t>本单位决算公开信息反馈和联系方式：</w:t>
      </w:r>
    </w:p>
    <w:p w14:paraId="0AFF3C6D">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firstLine="640" w:firstLineChars="200"/>
        <w:jc w:val="both"/>
        <w:rPr>
          <w:rFonts w:hint="eastAsia" w:ascii="Times New Roman" w:hAnsi="Times New Roman" w:eastAsia="方正仿宋_GBK" w:cs="Times New Roman"/>
          <w:color w:val="000000" w:themeColor="text1"/>
          <w:kern w:val="2"/>
          <w:sz w:val="32"/>
          <w:szCs w:val="32"/>
          <w14:textFill>
            <w14:solidFill>
              <w14:schemeClr w14:val="tx1"/>
            </w14:solidFill>
          </w14:textFill>
        </w:rPr>
      </w:pPr>
      <w:r>
        <w:rPr>
          <w:rFonts w:hint="eastAsia" w:ascii="Times New Roman" w:hAnsi="Times New Roman" w:eastAsia="方正仿宋_GBK" w:cs="Times New Roman"/>
          <w:color w:val="000000" w:themeColor="text1"/>
          <w:kern w:val="2"/>
          <w:sz w:val="32"/>
          <w:szCs w:val="32"/>
          <w:lang w:val="en-US" w:eastAsia="zh-CN"/>
          <w14:textFill>
            <w14:solidFill>
              <w14:schemeClr w14:val="tx1"/>
            </w14:solidFill>
          </w14:textFill>
        </w:rPr>
        <w:t xml:space="preserve">高敏 </w:t>
      </w:r>
      <w:r>
        <w:rPr>
          <w:rFonts w:hint="eastAsia" w:ascii="Times New Roman" w:hAnsi="Times New Roman" w:eastAsia="方正仿宋_GBK" w:cs="Times New Roman"/>
          <w:color w:val="000000" w:themeColor="text1"/>
          <w:kern w:val="2"/>
          <w:sz w:val="32"/>
          <w:szCs w:val="32"/>
          <w14:textFill>
            <w14:solidFill>
              <w14:schemeClr w14:val="tx1"/>
            </w14:solidFill>
          </w14:textFill>
        </w:rPr>
        <w:t>023-70702811</w:t>
      </w:r>
    </w:p>
    <w:p w14:paraId="53F780B3">
      <w:pPr>
        <w:keepNext w:val="0"/>
        <w:keepLines w:val="0"/>
        <w:pageBreakBefore w:val="0"/>
        <w:kinsoku/>
        <w:wordWrap/>
        <w:overflowPunct/>
        <w:topLinePunct w:val="0"/>
        <w:autoSpaceDE/>
        <w:autoSpaceDN/>
        <w:bidi w:val="0"/>
        <w:adjustRightInd/>
        <w:snapToGrid/>
        <w:spacing w:beforeAutospacing="0" w:afterAutospacing="0" w:line="600" w:lineRule="exact"/>
        <w:ind w:right="0" w:firstLine="420" w:firstLineChars="200"/>
        <w:rPr>
          <w:color w:val="000000" w:themeColor="text1"/>
          <w14:textFill>
            <w14:solidFill>
              <w14:schemeClr w14:val="tx1"/>
            </w14:solidFill>
          </w14:textFill>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63D35B"/>
    <w:multiLevelType w:val="singleLevel"/>
    <w:tmpl w:val="E863D35B"/>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lMTI0ZmZkNWVkNDk2ZTg4NWYwOTQyMjQxMmY4NGEifQ=="/>
  </w:docVars>
  <w:rsids>
    <w:rsidRoot w:val="001F0D95"/>
    <w:rsid w:val="001A24E3"/>
    <w:rsid w:val="001F0D95"/>
    <w:rsid w:val="004D46CB"/>
    <w:rsid w:val="005221F6"/>
    <w:rsid w:val="00621735"/>
    <w:rsid w:val="00672D26"/>
    <w:rsid w:val="02B41DD9"/>
    <w:rsid w:val="034F748D"/>
    <w:rsid w:val="051060E7"/>
    <w:rsid w:val="060A2B37"/>
    <w:rsid w:val="066C3DB9"/>
    <w:rsid w:val="070752C8"/>
    <w:rsid w:val="07B11BC7"/>
    <w:rsid w:val="07B70A9C"/>
    <w:rsid w:val="08171804"/>
    <w:rsid w:val="09F064E7"/>
    <w:rsid w:val="0B6947A3"/>
    <w:rsid w:val="0B73117E"/>
    <w:rsid w:val="0C63281E"/>
    <w:rsid w:val="0D685687"/>
    <w:rsid w:val="0E92444C"/>
    <w:rsid w:val="0F832469"/>
    <w:rsid w:val="0FD63171"/>
    <w:rsid w:val="10436FC7"/>
    <w:rsid w:val="10C50464"/>
    <w:rsid w:val="10CF32FA"/>
    <w:rsid w:val="10EE272A"/>
    <w:rsid w:val="118B4C81"/>
    <w:rsid w:val="11ED020D"/>
    <w:rsid w:val="127B54E8"/>
    <w:rsid w:val="13182D37"/>
    <w:rsid w:val="13294654"/>
    <w:rsid w:val="13533D6F"/>
    <w:rsid w:val="14226B74"/>
    <w:rsid w:val="151E65FF"/>
    <w:rsid w:val="16CD3E38"/>
    <w:rsid w:val="17123F41"/>
    <w:rsid w:val="17E433A5"/>
    <w:rsid w:val="1840126B"/>
    <w:rsid w:val="1855407B"/>
    <w:rsid w:val="199649B5"/>
    <w:rsid w:val="1B9727B5"/>
    <w:rsid w:val="1B9B4505"/>
    <w:rsid w:val="1BCE6400"/>
    <w:rsid w:val="1F152820"/>
    <w:rsid w:val="1F422EEA"/>
    <w:rsid w:val="1FEA5A5B"/>
    <w:rsid w:val="210448FA"/>
    <w:rsid w:val="226D6AB5"/>
    <w:rsid w:val="22AA7723"/>
    <w:rsid w:val="22B40344"/>
    <w:rsid w:val="246062EC"/>
    <w:rsid w:val="252C2672"/>
    <w:rsid w:val="25664405"/>
    <w:rsid w:val="26571970"/>
    <w:rsid w:val="28A54C15"/>
    <w:rsid w:val="296F5B2F"/>
    <w:rsid w:val="2A4247DA"/>
    <w:rsid w:val="2AD30987"/>
    <w:rsid w:val="2B87397A"/>
    <w:rsid w:val="2C7C5C8D"/>
    <w:rsid w:val="2CCE400E"/>
    <w:rsid w:val="2D4F33A1"/>
    <w:rsid w:val="2F317534"/>
    <w:rsid w:val="318B2D58"/>
    <w:rsid w:val="322B2AE5"/>
    <w:rsid w:val="328C29A2"/>
    <w:rsid w:val="329F26D5"/>
    <w:rsid w:val="33FB1B8D"/>
    <w:rsid w:val="345D45F6"/>
    <w:rsid w:val="346E6803"/>
    <w:rsid w:val="377063EE"/>
    <w:rsid w:val="382B67B9"/>
    <w:rsid w:val="387168C2"/>
    <w:rsid w:val="387305DE"/>
    <w:rsid w:val="38BF3C4C"/>
    <w:rsid w:val="3A086DB2"/>
    <w:rsid w:val="3A947191"/>
    <w:rsid w:val="3B0A6B5A"/>
    <w:rsid w:val="3BA762CF"/>
    <w:rsid w:val="3C1A2DCC"/>
    <w:rsid w:val="3C7C5835"/>
    <w:rsid w:val="3F860326"/>
    <w:rsid w:val="3FCD4466"/>
    <w:rsid w:val="418A27A2"/>
    <w:rsid w:val="41E53E7C"/>
    <w:rsid w:val="43BF31BB"/>
    <w:rsid w:val="43DE6DD5"/>
    <w:rsid w:val="4404683C"/>
    <w:rsid w:val="459E4A6E"/>
    <w:rsid w:val="4746716B"/>
    <w:rsid w:val="483B47F6"/>
    <w:rsid w:val="49463453"/>
    <w:rsid w:val="4B5D4A84"/>
    <w:rsid w:val="4C39712A"/>
    <w:rsid w:val="4CA3296A"/>
    <w:rsid w:val="4D275349"/>
    <w:rsid w:val="4D2E492A"/>
    <w:rsid w:val="4E180D60"/>
    <w:rsid w:val="4E1C29D4"/>
    <w:rsid w:val="4E984750"/>
    <w:rsid w:val="509867B9"/>
    <w:rsid w:val="51C55131"/>
    <w:rsid w:val="520D5ABF"/>
    <w:rsid w:val="548811A0"/>
    <w:rsid w:val="54DA7145"/>
    <w:rsid w:val="55284354"/>
    <w:rsid w:val="570514E7"/>
    <w:rsid w:val="570E6CD9"/>
    <w:rsid w:val="58044C05"/>
    <w:rsid w:val="58490869"/>
    <w:rsid w:val="5D2E3846"/>
    <w:rsid w:val="5F0E25B0"/>
    <w:rsid w:val="62312A9A"/>
    <w:rsid w:val="623F2BBF"/>
    <w:rsid w:val="6267026A"/>
    <w:rsid w:val="62CF4061"/>
    <w:rsid w:val="637075F2"/>
    <w:rsid w:val="66B75538"/>
    <w:rsid w:val="67873875"/>
    <w:rsid w:val="6994390F"/>
    <w:rsid w:val="6BAF156B"/>
    <w:rsid w:val="6E5024FA"/>
    <w:rsid w:val="6F280D81"/>
    <w:rsid w:val="6F616FF5"/>
    <w:rsid w:val="6FC211D5"/>
    <w:rsid w:val="71A10450"/>
    <w:rsid w:val="71B219CE"/>
    <w:rsid w:val="71D84CE0"/>
    <w:rsid w:val="735E7467"/>
    <w:rsid w:val="73CB43D1"/>
    <w:rsid w:val="73E21E46"/>
    <w:rsid w:val="759727BC"/>
    <w:rsid w:val="75E0097E"/>
    <w:rsid w:val="767174B1"/>
    <w:rsid w:val="77BE04D4"/>
    <w:rsid w:val="786D3CA8"/>
    <w:rsid w:val="78EA354B"/>
    <w:rsid w:val="7A3031E0"/>
    <w:rsid w:val="7B03459C"/>
    <w:rsid w:val="7B8B4B71"/>
    <w:rsid w:val="7BE671B0"/>
    <w:rsid w:val="7C370855"/>
    <w:rsid w:val="7C9025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XTC</Company>
  <Pages>13</Pages>
  <Words>5748</Words>
  <Characters>6524</Characters>
  <Lines>65</Lines>
  <Paragraphs>18</Paragraphs>
  <TotalTime>12</TotalTime>
  <ScaleCrop>false</ScaleCrop>
  <LinksUpToDate>false</LinksUpToDate>
  <CharactersWithSpaces>6546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2023-09-11T01:32:00Z</dcterms:created>
  <dc:creator>丰都县城乡建设委员会</dc:creator>
  <cp:lastModifiedBy>温星星</cp:lastModifiedBy>
  <dcterms:modified xsi:type="dcterms:W3CDTF">2024-12-26T07:05:55Z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6076F9BCA8154BAE8EFC67E31A61FB3F_13</vt:lpwstr>
  </property>
  <property fmtid="{D5CDD505-2E9C-101B-9397-08002B2CF9AE}" pid="4" name="KSOTemplateDocerSaveRecord">
    <vt:lpwstr>eyJoZGlkIjoiZDRlMTI0ZmZkNWVkNDk2ZTg4NWYwOTQyMjQxMmY4NGEiLCJ1c2VySWQiOiIxMzIzODcwMDMzIn0=</vt:lpwstr>
  </property>
</Properties>
</file>