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_GBK" w:hAnsi="方正小标宋_GBK" w:eastAsia="方正小标宋_GBK" w:cs="方正小标宋_GBK"/>
          <w:color w:val="000000" w:themeColor="text1"/>
          <w:kern w:val="2"/>
          <w:sz w:val="44"/>
          <w:szCs w:val="44"/>
          <w:lang w:eastAsia="zh-Hans"/>
          <w14:textFill>
            <w14:solidFill>
              <w14:schemeClr w14:val="tx1"/>
            </w14:solidFill>
          </w14:textFill>
        </w:rPr>
      </w:pPr>
      <w:r>
        <w:rPr>
          <w:rFonts w:hint="eastAsia" w:ascii="方正小标宋_GBK" w:hAnsi="方正小标宋_GBK" w:eastAsia="方正小标宋_GBK" w:cs="方正小标宋_GBK"/>
          <w:color w:val="000000" w:themeColor="text1"/>
          <w:kern w:val="2"/>
          <w:sz w:val="44"/>
          <w:szCs w:val="44"/>
          <w:lang w:eastAsia="zh-Hans"/>
          <w14:textFill>
            <w14:solidFill>
              <w14:schemeClr w14:val="tx1"/>
            </w14:solidFill>
          </w14:textFill>
        </w:rPr>
        <w:t>重庆市丰都县住房和城乡建设委员会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auto"/>
        <w:rPr>
          <w:rFonts w:hint="eastAsia" w:ascii="方正小标宋_GBK" w:hAnsi="方正小标宋_GBK" w:eastAsia="方正小标宋_GBK" w:cs="方正小标宋_GBK"/>
          <w:color w:val="000000" w:themeColor="text1"/>
          <w:kern w:val="2"/>
          <w:sz w:val="44"/>
          <w:szCs w:val="44"/>
          <w:lang w:eastAsia="zh-Hans"/>
          <w14:textFill>
            <w14:solidFill>
              <w14:schemeClr w14:val="tx1"/>
            </w14:solidFill>
          </w14:textFill>
        </w:rPr>
      </w:pPr>
      <w:r>
        <w:rPr>
          <w:rFonts w:hint="eastAsia" w:ascii="方正小标宋_GBK" w:hAnsi="方正小标宋_GBK" w:eastAsia="方正小标宋_GBK" w:cs="方正小标宋_GBK"/>
          <w:color w:val="000000" w:themeColor="text1"/>
          <w:kern w:val="2"/>
          <w:sz w:val="44"/>
          <w:szCs w:val="44"/>
          <w:lang w:eastAsia="zh-Hans"/>
          <w14:textFill>
            <w14:solidFill>
              <w14:schemeClr w14:val="tx1"/>
            </w14:solidFill>
          </w14:textFill>
        </w:rPr>
        <w:t>2022年度部门决算情况说明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pPr>
      <w:r>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t>一、部门基本情况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方正楷体_GBK" w:hAnsi="方正楷体_GBK" w:eastAsia="方正楷体_GBK" w:cs="方正楷体_GBK"/>
          <w:b w:val="0"/>
          <w:bCs w:val="0"/>
          <w:color w:val="000000" w:themeColor="text1"/>
          <w:sz w:val="32"/>
          <w:szCs w:val="32"/>
          <w:lang w:val="en-US" w:eastAsia="zh-Hans"/>
          <w14:textFill>
            <w14:solidFill>
              <w14:schemeClr w14:val="tx1"/>
            </w14:solidFill>
          </w14:textFill>
        </w:rPr>
      </w:pPr>
      <w:r>
        <w:rPr>
          <w:rStyle w:val="5"/>
          <w:rFonts w:hint="eastAsia" w:ascii="方正楷体_GBK" w:hAnsi="方正楷体_GBK" w:eastAsia="方正楷体_GBK" w:cs="方正楷体_GBK"/>
          <w:b w:val="0"/>
          <w:bCs w:val="0"/>
          <w:color w:val="000000" w:themeColor="text1"/>
          <w:sz w:val="32"/>
          <w:szCs w:val="32"/>
          <w:lang w:val="en-US" w:eastAsia="zh-Hans"/>
          <w14:textFill>
            <w14:solidFill>
              <w14:schemeClr w14:val="tx1"/>
            </w14:solidFill>
          </w14:textFill>
        </w:rPr>
        <w:t>（一）职能职责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丰都县住房和城乡建设委员会是县政府工作部门，为正科级，挂丰都县人民防空办公室牌子。主要职能职责：1．负责推进住房和城乡建设事业改革发展。2．负责住房和城乡建设财政性资金的监督管理。负责城市建设配套费征收和管理。3．负责房地产行业的监督管理。4．负责建筑行业的监督管理。5．负责勘察设计行业的监督管理。6．负责住房保障工作。7．统筹推进城市基础设施建设工作。8．负责城市轨道交通建设管理。9．负责统筹推进城市提升工作。10．统筹城市人居环境改善工作。11．负责城镇排水与污水处理的监督管理。指导乡镇污水处理管理工作。12．负责推进城市修补和有机更新。13．指导村镇建设。14．负责建设科技推广应用。15．负责绿色建筑与建筑节能管理。16．负责建设工程消防设计审查验收相关工作。17．负责住房城乡建设领域行政执法，具体交由相关行政执法队伍承担，并以部门名义统一执法。18．负责住房和城建档案管理，指导行业人才队伍建设，承担建筑工程专业技术资格管理工作。19．承担人民防空工程建设管理的责任。20．负责机关、所属事业单位和行业社会组织的党建、安全监管、信访稳定、住房和城乡建设扶贫工作。21．完成县委、县政府交办的其他任务。22．有关职责分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Style w:val="5"/>
          <w:rFonts w:hint="eastAsia" w:ascii="方正楷体_GBK" w:hAnsi="方正楷体_GBK" w:eastAsia="方正楷体_GBK" w:cs="方正楷体_GBK"/>
          <w:b w:val="0"/>
          <w:bCs w:val="0"/>
          <w:color w:val="000000" w:themeColor="text1"/>
          <w:sz w:val="32"/>
          <w:szCs w:val="32"/>
          <w:lang w:val="en-US" w:eastAsia="zh-Hans"/>
          <w14:textFill>
            <w14:solidFill>
              <w14:schemeClr w14:val="tx1"/>
            </w14:solidFill>
          </w14:textFill>
        </w:rPr>
      </w:pPr>
      <w:r>
        <w:rPr>
          <w:rStyle w:val="5"/>
          <w:rFonts w:hint="eastAsia" w:ascii="方正楷体_GBK" w:hAnsi="方正楷体_GBK" w:eastAsia="方正楷体_GBK" w:cs="方正楷体_GBK"/>
          <w:b w:val="0"/>
          <w:bCs w:val="0"/>
          <w:color w:val="000000" w:themeColor="text1"/>
          <w:sz w:val="32"/>
          <w:szCs w:val="32"/>
          <w:lang w:val="en-US" w:eastAsia="zh-Hans"/>
          <w14:textFill>
            <w14:solidFill>
              <w14:schemeClr w14:val="tx1"/>
            </w14:solidFill>
          </w14:textFill>
        </w:rPr>
        <w:t>（二）机构设置</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丰都县住房和城乡建设委员会内设8个职能科室：即办公室、法规与安全科、设计与绿色发展科（消防科）、建筑业管理科（行政审批服务科）、市政工程科（人防科）、村镇建设科、房地产管理科、住房管理科。共5个直属单位，分别是</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丰都县住房和城乡建设委员会（本级）、丰都县建设工程质量服务中心、重庆市丰都县建设工程安全生产监督管理站、</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重庆市丰都县民防指挥信息保障中心、</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丰都县公共房屋保障中心</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color w:val="000000" w:themeColor="text1"/>
          <w:sz w:val="18"/>
          <w:szCs w:val="18"/>
          <w:lang w:eastAsia="zh-Hans"/>
          <w14:textFill>
            <w14:solidFill>
              <w14:schemeClr w14:val="tx1"/>
            </w14:solidFill>
          </w14:textFill>
        </w:rPr>
      </w:pPr>
      <w:r>
        <w:rPr>
          <w:rStyle w:val="5"/>
          <w:rFonts w:hint="eastAsia" w:ascii="方正楷体_GBK" w:hAnsi="方正楷体_GBK" w:eastAsia="方正楷体_GBK" w:cs="方正楷体_GBK"/>
          <w:b w:val="0"/>
          <w:bCs w:val="0"/>
          <w:color w:val="000000" w:themeColor="text1"/>
          <w:sz w:val="32"/>
          <w:szCs w:val="32"/>
          <w:lang w:val="en-US" w:eastAsia="zh-Hans"/>
          <w14:textFill>
            <w14:solidFill>
              <w14:schemeClr w14:val="tx1"/>
            </w14:solidFill>
          </w14:textFill>
        </w:rPr>
        <w:t>（三）单位构成</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从预算单位构成看，纳入本部门2022年度决算编制的二级预算单位主要包括：丰都县住房和城乡建设委员会（本级）、丰都县建设工程质量服务中心、重庆市丰都县建设工程安全生产监督管理站、</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重庆市丰都县民防指挥信息保障中心、</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丰都县公共房屋保障中心。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pPr>
      <w:r>
        <w:rPr>
          <w:rStyle w:val="5"/>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t>二、部门决算情况说明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（一）收入支出决算总体情况说明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1.总体情况。2022年度收入总计26,262.52万元，支出总计26,262.52万元。收支较上年决算数增加9,214.36万元</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增长54%，主要原因是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项目增加，人员调入、人员职级晋升，养老保险、住房公积金等调基导致。</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2.收入情况。2022年度收入合计18,654.52万元，较上年决算数增加8,229.00万元，增长78.9%，主要原因是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项目增加，人员调入、人员职级晋升，养老保险、住房公积金等调基导致</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。其中：财政拨款收入18,654.52万元，占100%。此外，</w:t>
      </w:r>
      <w:r>
        <w:rPr>
          <w:rFonts w:ascii="Times New Roman" w:hAnsi="Times New Roman" w:eastAsia="方正仿宋_GBK"/>
          <w:sz w:val="32"/>
          <w:szCs w:val="32"/>
          <w:highlight w:val="none"/>
        </w:rPr>
        <w:t>使用非财政拨款结余</w:t>
      </w:r>
      <w:r>
        <w:rPr>
          <w:rFonts w:hint="eastAsia" w:ascii="Times New Roman" w:hAnsi="Times New Roman" w:eastAsia="方正仿宋_GBK"/>
          <w:sz w:val="32"/>
          <w:szCs w:val="32"/>
          <w:highlight w:val="none"/>
          <w:lang w:val="en-US" w:eastAsia="zh-CN"/>
        </w:rPr>
        <w:t>0</w:t>
      </w:r>
      <w:r>
        <w:rPr>
          <w:rFonts w:ascii="Times New Roman" w:hAnsi="Times New Roman" w:eastAsia="方正仿宋_GBK"/>
          <w:sz w:val="32"/>
          <w:szCs w:val="32"/>
          <w:highlight w:val="none"/>
        </w:rPr>
        <w:t>万元，</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年初结转和结余7,608.00万元。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3.支出情况。2022年度支出合计26,262.52万元，较上年决算增加9,214.36万元，增长54%，主要原因是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新修金科小学建设项目、保障性住房建设及基础设施建设投入增加、民防应急工作经费等支出增加</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。其中：基本支出1,843.28万元，占7%；项目支出24,419.24万元，占93%</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此外，结余分配</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0</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万元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4.结转结余情况。2022年度年末结转和结余0.00万元，</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与</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上年决算数持平</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（二）财政拨款收入支出决算总体情况说明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2022年度财政拨款收、支总计26,262.52万元。与2021年相比，财政拨款收、支总计各增加9,214.36万元，增长54%。主要原因是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项目增加，人员调入、人员职级晋升，养老保险、住房公积金等调基导致。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（三）一般公共预算财政拨款收入支出决算情况说明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1.收入情况。2022年度一般公共预算财政拨款收入13,772.39万元，较上年决算数增加3,680.07万元，增长36.5%。主要原因是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新增住房保障、巩固脱贫衔接乡村振兴、污染防治等项目</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。较年初预算数增加518.10万元，增长3.9%。主要原因是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项目及</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人员调入、人员职级晋升，养老保险、住房公积金等调基导致</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。此外，年初财政拨款结转和结余0.00万元。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2.支出情况。2022年度一般公共预算财政拨款支出13,772.39万元，较上年决算数减少2,942.57万元，下降17.6%。主要原因</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当年无</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一般公共预算财政拨款</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结转结余资金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较年初预算数增加518.10万元，增长3.9%。主要原因是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项目及</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人员调入、人员职级晋升，养老保险、住房公积金等调基导致</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3.结转结余情况。2022年度年末一般公共预算财政拨款结转和结余0.00万元，</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与</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上年决算数持平</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4.比较情况。本部门2022年度一般公共预算财政拨款支出主要用于以下几个方面：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（1）一般公共服务支出27.89万元，占0.2%，较年初预算数增加27.89万元，</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增长</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100</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，主要原因</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招商引资工作经费</w:t>
      </w:r>
      <w:r>
        <w:rPr>
          <w:rFonts w:hint="eastAsia" w:ascii="Times New Roman" w:hAnsi="Times New Roman" w:eastAsia="方正仿宋_GBK" w:cs="Times New Roman"/>
          <w:color w:val="000000" w:themeColor="text1"/>
          <w:kern w:val="2"/>
          <w:sz w:val="32"/>
          <w:szCs w:val="32"/>
          <w:highlight w:val="none"/>
          <w14:textFill>
            <w14:solidFill>
              <w14:schemeClr w14:val="tx1"/>
            </w14:solidFill>
          </w14:textFill>
        </w:rPr>
        <w:t>支出增加</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）社会保障与就业支出293.05万元，占2.1%，较年初预算数增加39.19万元，增长15.4%，主要原因是</w:t>
      </w:r>
      <w:r>
        <w:rPr>
          <w:rFonts w:hint="eastAsia" w:ascii="Times New Roman" w:hAnsi="Times New Roman" w:eastAsia="方正仿宋_GBK" w:cs="Times New Roman"/>
          <w:color w:val="000000" w:themeColor="text1"/>
          <w:kern w:val="2"/>
          <w:sz w:val="32"/>
          <w:szCs w:val="32"/>
          <w:highlight w:val="none"/>
          <w14:textFill>
            <w14:solidFill>
              <w14:schemeClr w14:val="tx1"/>
            </w14:solidFill>
          </w14:textFill>
        </w:rPr>
        <w:t>行政事业单位养老支出及抚恤金的增加</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）卫生健康支出86.93万元，占0.6%，较年初预算数增加6.65万元，增长8.3%，主要原因是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人员调入，行政事业单位</w:t>
      </w:r>
      <w:r>
        <w:rPr>
          <w:rFonts w:hint="eastAsia" w:ascii="Times New Roman" w:hAnsi="Times New Roman" w:eastAsia="方正仿宋_GBK" w:cs="Times New Roman"/>
          <w:color w:val="000000" w:themeColor="text1"/>
          <w:kern w:val="2"/>
          <w:sz w:val="32"/>
          <w:szCs w:val="32"/>
          <w14:textFill>
            <w14:solidFill>
              <w14:schemeClr w14:val="tx1"/>
            </w14:solidFill>
          </w14:textFill>
        </w:rPr>
        <w:t>医疗支出</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增加</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4</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）节能环保支出4,431.86万元，占32.2%，较年初预算数增加2,388.86万元，增长116.9%，主要原因是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年中新增第二批城区排水防涝整治工程、拨付桑德公司回购款等项目支出。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5</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）城乡社区支出3,233.98万元，占23.5%，较年初预算数增加2,117.90万元，增长189.8%，主要原因是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年中新增川渝住博会、房屋建筑承灾体调查工作实施方案项目、解决丰城尚座消防应急工程整改资金等项目支出</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6</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）农林水支出203.61万元，占1.5%，较年初预算数增加203.61万元，增长</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100</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年中新增巩固脱贫衔接乡村振兴支出</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7</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）住房保障支出5,495.07万元，占39.9%，较年初预算数减少4,266.01万元，下降43.7%，主要原因是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老旧小区等项目支出减少</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2022年度一般公共预算财政拨款基本支出1,843.28万元。其中：人员经费1,637.00万元，较上年决算数增加164.61万元，增长11.2%，主要原因是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人员职级晋升和</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养老保险、</w:t>
      </w:r>
      <w:r>
        <w:rPr>
          <w:rFonts w:hint="eastAsia" w:ascii="Times New Roman" w:hAnsi="Times New Roman" w:eastAsia="方正仿宋_GBK" w:cs="Times New Roman"/>
          <w:color w:val="000000" w:themeColor="text1"/>
          <w:kern w:val="2"/>
          <w:sz w:val="32"/>
          <w:szCs w:val="32"/>
          <w14:textFill>
            <w14:solidFill>
              <w14:schemeClr w14:val="tx1"/>
            </w14:solidFill>
          </w14:textFill>
        </w:rPr>
        <w:t>住房公积金调基</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。人员经费用途主要包括</w:t>
      </w:r>
      <w:r>
        <w:rPr>
          <w:rFonts w:hint="eastAsia" w:ascii="Times New Roman" w:hAnsi="Times New Roman" w:eastAsia="方正仿宋_GBK" w:cs="Times New Roman"/>
          <w:color w:val="000000" w:themeColor="text1"/>
          <w:kern w:val="2"/>
          <w:sz w:val="32"/>
          <w:szCs w:val="32"/>
          <w14:textFill>
            <w14:solidFill>
              <w14:schemeClr w14:val="tx1"/>
            </w14:solidFill>
          </w14:textFill>
        </w:rPr>
        <w:t>基本工资、津贴补贴、奖金、社会保障缴费等支出</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。公用经费206.28万元，较上年决算数增加26.46万元，增长14.7%，</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增加新调入12人的运行费用。</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公用经费用途主要包括办公费、邮电费、手续费、印刷费、咨询费、水电费、物业管理费、差旅费等支出。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（五）政府性基金预算收支决算情况说明。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2022年度政府性基金预算财政拨款年初结转结余7,608.00万元，年末结转结余0.00万元。本年收入4,882.13万元，较上年决算数增加4,548.93万元，增长1365.2%，主要原因是</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国家重大水利工程建设基金安排的支出</w:t>
      </w:r>
      <w:r>
        <w:rPr>
          <w:rFonts w:hint="eastAsia"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、国有土地收益基金安排的支出、城市基础设施配套费安排的支出</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增加。如“丰都县实验小学</w:t>
      </w:r>
      <w:r>
        <w:rPr>
          <w:rFonts w:hint="eastAsia" w:ascii="方正小标宋_GBK" w:hAnsi="方正小标宋_GBK" w:eastAsia="方正小标宋_GBK" w:cs="方正小标宋_GBK"/>
          <w:color w:val="000000" w:themeColor="text1"/>
          <w:kern w:val="2"/>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highlight w:val="none"/>
          <w:lang w:val="en-US" w:eastAsia="zh-CN"/>
          <w14:textFill>
            <w14:solidFill>
              <w14:schemeClr w14:val="tx1"/>
            </w14:solidFill>
          </w14:textFill>
        </w:rPr>
        <w:t>金科分校项目</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”、“预结算土地出让金”、“兑现城市建设配套费、人防费资金项目”</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。本年支出12,490.13万元，较上年决算数增加12,156.93万元，增长3648.5%，主要原因是</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国家重大水利工程建设基金安排的支出</w:t>
      </w:r>
      <w:r>
        <w:rPr>
          <w:rFonts w:hint="eastAsia"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、国有土地收益基金安排的支出、城市基础设施配套费安排的支出</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增加。如“丰都县实验小学</w:t>
      </w:r>
      <w:r>
        <w:rPr>
          <w:rFonts w:hint="eastAsia" w:ascii="方正小标宋_GBK" w:hAnsi="方正小标宋_GBK" w:eastAsia="方正小标宋_GBK" w:cs="方正小标宋_GBK"/>
          <w:color w:val="000000" w:themeColor="text1"/>
          <w:kern w:val="2"/>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2"/>
          <w:sz w:val="32"/>
          <w:szCs w:val="32"/>
          <w:highlight w:val="none"/>
          <w:lang w:val="en-US" w:eastAsia="zh-CN"/>
          <w14:textFill>
            <w14:solidFill>
              <w14:schemeClr w14:val="tx1"/>
            </w14:solidFill>
          </w14:textFill>
        </w:rPr>
        <w:t>金科分校项目</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”、“预结算土地出让金”、“兑现城市建设配套费、人防费资金项目”</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（六）国有资本经营预算财政拨款支出决算情况说明。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color w:val="000000" w:themeColor="text1"/>
          <w:sz w:val="18"/>
          <w:szCs w:val="18"/>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三、“三公”经费情况说明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（一）“三公”经费支出总体情况说明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2022年度“三公”经费支出共计18.50万元，较年初预算数减少22.50万元，下降54.9%，主要原因是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严格控制“三公经费”支出不超预算</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。较上年支出数增加5.91万元，增长46.9%，主要原因是</w:t>
      </w:r>
      <w:r>
        <w:rPr>
          <w:rFonts w:hint="eastAsia"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接待费、车辆运行费支出增加</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（二）“三公”经费分项支出情况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2022年度本部门因公出国（境）费用0.00万元，主要是</w:t>
      </w:r>
      <w:r>
        <w:rPr>
          <w:rFonts w:hint="eastAsia" w:ascii="Times New Roman" w:hAnsi="Times New Roman" w:eastAsia="方正仿宋_GBK" w:cs="Times New Roman"/>
          <w:color w:val="000000" w:themeColor="text1"/>
          <w:kern w:val="2"/>
          <w:sz w:val="32"/>
          <w:szCs w:val="32"/>
          <w14:textFill>
            <w14:solidFill>
              <w14:schemeClr w14:val="tx1"/>
            </w14:solidFill>
          </w14:textFill>
        </w:rPr>
        <w:t>202</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2"/>
          <w:sz w:val="32"/>
          <w:szCs w:val="32"/>
          <w14:textFill>
            <w14:solidFill>
              <w14:schemeClr w14:val="tx1"/>
            </w14:solidFill>
          </w14:textFill>
        </w:rPr>
        <w:t>年没有安排人员出国访问</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。费用支出较年初预算数</w:t>
      </w:r>
      <w:r>
        <w:rPr>
          <w:rFonts w:hint="eastAsia" w:ascii="Times New Roman" w:hAnsi="Times New Roman" w:eastAsia="方正仿宋_GBK" w:cs="Times New Roman"/>
          <w:color w:val="000000" w:themeColor="text1"/>
          <w:kern w:val="2"/>
          <w:sz w:val="32"/>
          <w:szCs w:val="32"/>
          <w14:textFill>
            <w14:solidFill>
              <w14:schemeClr w14:val="tx1"/>
            </w14:solidFill>
          </w14:textFill>
        </w:rPr>
        <w:t>费用支出较年初预算数持平</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202</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2"/>
          <w:sz w:val="32"/>
          <w:szCs w:val="32"/>
          <w14:textFill>
            <w14:solidFill>
              <w14:schemeClr w14:val="tx1"/>
            </w14:solidFill>
          </w14:textFill>
        </w:rPr>
        <w:t>年没有安排人员出国访问</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。较上年支出</w:t>
      </w:r>
      <w:r>
        <w:rPr>
          <w:rFonts w:hint="eastAsia" w:ascii="Times New Roman" w:hAnsi="Times New Roman" w:eastAsia="方正仿宋_GBK" w:cs="Times New Roman"/>
          <w:color w:val="000000" w:themeColor="text1"/>
          <w:kern w:val="2"/>
          <w:sz w:val="32"/>
          <w:szCs w:val="32"/>
          <w14:textFill>
            <w14:solidFill>
              <w14:schemeClr w14:val="tx1"/>
            </w14:solidFill>
          </w14:textFill>
        </w:rPr>
        <w:t>费用支出较年初预算数持平</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202</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2"/>
          <w:sz w:val="32"/>
          <w:szCs w:val="32"/>
          <w14:textFill>
            <w14:solidFill>
              <w14:schemeClr w14:val="tx1"/>
            </w14:solidFill>
          </w14:textFill>
        </w:rPr>
        <w:t>年没有安排人员出国访问</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公务车购置费0.00万元，主要</w:t>
      </w:r>
      <w:r>
        <w:rPr>
          <w:rFonts w:hint="eastAsia" w:ascii="Times New Roman" w:hAnsi="Times New Roman" w:eastAsia="方正仿宋_GBK" w:cs="Times New Roman"/>
          <w:color w:val="000000" w:themeColor="text1"/>
          <w:kern w:val="2"/>
          <w:sz w:val="32"/>
          <w:szCs w:val="32"/>
          <w14:textFill>
            <w14:solidFill>
              <w14:schemeClr w14:val="tx1"/>
            </w14:solidFill>
          </w14:textFill>
        </w:rPr>
        <w:t>原因是未有购置公务车计划</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w:t>
      </w:r>
      <w:r>
        <w:rPr>
          <w:rFonts w:hint="eastAsia" w:ascii="Times New Roman" w:hAnsi="Times New Roman" w:eastAsia="方正仿宋_GBK" w:cs="Times New Roman"/>
          <w:color w:val="000000" w:themeColor="text1"/>
          <w:kern w:val="2"/>
          <w:sz w:val="32"/>
          <w:szCs w:val="32"/>
          <w14:textFill>
            <w14:solidFill>
              <w14:schemeClr w14:val="tx1"/>
            </w14:solidFill>
          </w14:textFill>
        </w:rPr>
        <w:t>费用支出较年初预算数持平，主要原因是未</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有</w:t>
      </w:r>
      <w:r>
        <w:rPr>
          <w:rFonts w:hint="eastAsia" w:ascii="Times New Roman" w:hAnsi="Times New Roman" w:eastAsia="方正仿宋_GBK" w:cs="Times New Roman"/>
          <w:color w:val="000000" w:themeColor="text1"/>
          <w:kern w:val="2"/>
          <w:sz w:val="32"/>
          <w:szCs w:val="32"/>
          <w14:textFill>
            <w14:solidFill>
              <w14:schemeClr w14:val="tx1"/>
            </w14:solidFill>
          </w14:textFill>
        </w:rPr>
        <w:t>购置公务车</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计划</w:t>
      </w:r>
      <w:r>
        <w:rPr>
          <w:rFonts w:hint="eastAsia" w:ascii="Times New Roman" w:hAnsi="Times New Roman" w:eastAsia="方正仿宋_GBK" w:cs="Times New Roman"/>
          <w:color w:val="000000" w:themeColor="text1"/>
          <w:kern w:val="2"/>
          <w:sz w:val="32"/>
          <w:szCs w:val="32"/>
          <w14:textFill>
            <w14:solidFill>
              <w14:schemeClr w14:val="tx1"/>
            </w14:solidFill>
          </w14:textFill>
        </w:rPr>
        <w:t>。较上年支出数持平，主要原因是未</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有</w:t>
      </w:r>
      <w:r>
        <w:rPr>
          <w:rFonts w:hint="eastAsia" w:ascii="Times New Roman" w:hAnsi="Times New Roman" w:eastAsia="方正仿宋_GBK" w:cs="Times New Roman"/>
          <w:color w:val="000000" w:themeColor="text1"/>
          <w:kern w:val="2"/>
          <w:sz w:val="32"/>
          <w:szCs w:val="32"/>
          <w14:textFill>
            <w14:solidFill>
              <w14:schemeClr w14:val="tx1"/>
            </w14:solidFill>
          </w14:textFill>
        </w:rPr>
        <w:t>购置公务车</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计划</w:t>
      </w:r>
      <w:r>
        <w:rPr>
          <w:rFonts w:hint="eastAsia" w:ascii="Times New Roman" w:hAnsi="Times New Roman" w:eastAsia="方正仿宋_GBK" w:cs="Times New Roman"/>
          <w:color w:val="000000" w:themeColor="text1"/>
          <w:kern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公务车运行维护费14.07万元，主要用于公务车燃料费、维修费、过路过桥费、保险费等支出。费用支出较年初预算数减少6.43万元，下降31.4%，主要原因是严格落实公车使用规定，公车运行维护成本大幅下降</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lang w:eastAsia="zh-Hans"/>
          <w14:textFill>
            <w14:solidFill>
              <w14:schemeClr w14:val="tx1"/>
            </w14:solidFill>
          </w14:textFill>
        </w:rPr>
        <w:t>较上年支出数增加4.34万元，增长44.6%，主要原因</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是民防防空基地大部分设置在乡镇，经常到各乡镇基地检查设施设备运行情况及跨区域综合演练，公务车运行维护费有所增加。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公务接待费4.43万元，主要用于接待</w:t>
      </w:r>
      <w:r>
        <w:rPr>
          <w:rFonts w:hint="eastAsia" w:ascii="Times New Roman" w:hAnsi="Times New Roman" w:eastAsia="方正仿宋_GBK" w:cs="Times New Roman"/>
          <w:color w:val="000000" w:themeColor="text1"/>
          <w:kern w:val="2"/>
          <w:sz w:val="32"/>
          <w:szCs w:val="32"/>
          <w14:textFill>
            <w14:solidFill>
              <w14:schemeClr w14:val="tx1"/>
            </w14:solidFill>
          </w14:textFill>
        </w:rPr>
        <w:t>上级相关部门检查指导工作发生的接待支出及其他区县学习交流等接待支出</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费用支出较年初预算数减少16.07万元，下降78.4%，主要原因是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强化公务接待支出管理，严格遵守公务接待开支范围和开支标准，严格控制陪餐人数等规定</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。较上年支出数增加1.56万元，增长54.4%，主要原因是</w:t>
      </w:r>
      <w:r>
        <w:rPr>
          <w:rFonts w:hint="eastAsia" w:ascii="Times New Roman" w:hAnsi="Times New Roman" w:eastAsia="方正仿宋_GBK" w:cs="Times New Roman"/>
          <w:color w:val="000000" w:themeColor="text1"/>
          <w:kern w:val="2"/>
          <w:sz w:val="32"/>
          <w:szCs w:val="32"/>
          <w14:textFill>
            <w14:solidFill>
              <w14:schemeClr w14:val="tx1"/>
            </w14:solidFill>
          </w14:textFill>
        </w:rPr>
        <w:t>上级相关部门检查指导工作</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与区县学习交流增加</w:t>
      </w:r>
      <w:r>
        <w:rPr>
          <w:rFonts w:hint="eastAsia" w:ascii="Times New Roman" w:hAnsi="Times New Roman" w:eastAsia="方正仿宋_GBK" w:cs="Times New Roman"/>
          <w:color w:val="000000" w:themeColor="text1"/>
          <w:kern w:val="2"/>
          <w:sz w:val="32"/>
          <w:szCs w:val="32"/>
          <w:highlight w:val="none"/>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（三）“三公”经费实物量情况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2022年度本部门因公出国（境）共计0个团组，0人；公务用车购置0辆，公务车保有量为5辆；国内公务接待46批次433人，其中：国内外事接待0批次，0人；国（境）外公务接待0批次，0人。2022年本部门人均接待费102.31元，车均购置费0.00万元，车均维护费2.81万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四、其他需要说明的事项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（一）财政拨款会议费和培训费情况说明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本年度会议费支出0.06万元，较上年决算数减少0.76万元，下降92.7%，主要原因是</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响应节能号召，严控会议费成本</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。本年度培训费支出1.02万元，较上年决算数减少6.29万元，下降86%，主要原因是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部分二级单位</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当年未发生培训费支出</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eastAsia="zh-Hans"/>
          <w14:textFill>
            <w14:solidFill>
              <w14:schemeClr w14:val="tx1"/>
            </w14:solidFill>
          </w14:textFill>
        </w:rPr>
        <w:t>（二）机关运行经费支出情况说明</w:t>
      </w:r>
      <w:bookmarkStart w:id="0" w:name="_GoBack"/>
      <w:bookmarkEnd w:id="0"/>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2022年度本部门机关运行经费支出95.37万元，主要用于开支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办公费、水费、电费、差旅费、车辆运行费等</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。机关运行经费较上年决算数增加18.41万元，增长23.9%，主要原因是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人员增加，运行经费增加，且支付往年运行经费</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（三）国有资产占用情况说明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截至2022年12月31日，本部门共有车辆6辆，其中，副部（省）级及以上领导用车0辆、主要领导干部用车0辆、机要通信用车0辆、应急保障用车4辆、执法执勤用车0辆，特种专业技术用车2辆，离退休干部用车0辆，其他用车0辆</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单价100万元（含）以上设备（不含车辆）0台（套）。</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（四）政府采购支出说明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2022年度本部门政府采购支出总额665.36万元，其中：政府采购货物支出257.11万元、政府采购工程支出0.00万元、政府采购服务支出408.25万元。授予中小企业合同金额665.36万元，占政府采购支出总额的100%，其中：授予小微企业合同金额257.11万元，占政府采购支出总额的38.6%。主要用于</w:t>
      </w:r>
      <w:r>
        <w:rPr>
          <w:rFonts w:hint="eastAsia" w:ascii="Times New Roman" w:hAnsi="Times New Roman" w:eastAsia="方正仿宋_GBK" w:cs="Times New Roman"/>
          <w:color w:val="000000" w:themeColor="text1"/>
          <w:kern w:val="2"/>
          <w:sz w:val="32"/>
          <w:szCs w:val="32"/>
          <w:lang w:eastAsia="zh-Hans"/>
          <w14:textFill>
            <w14:solidFill>
              <w14:schemeClr w14:val="tx1"/>
            </w14:solidFill>
          </w14:textFill>
        </w:rPr>
        <w:t>采购</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高家镇路灯</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五、预算绩效管理情况说明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（一）预算绩效管理工作开展情况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根据预算绩效管理要求，我委对部门整体</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79</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个项目开展了绩效自评，其中，以填报自评表形式开展自评</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79</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项，涉及资金</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32943.9</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1</w:t>
      </w:r>
      <w:r>
        <w:rPr>
          <w:rFonts w:hint="eastAsia" w:ascii="Times New Roman" w:hAnsi="Times New Roman" w:eastAsia="方正仿宋_GBK" w:cs="Times New Roman"/>
          <w:color w:val="000000" w:themeColor="text1"/>
          <w:kern w:val="2"/>
          <w:sz w:val="32"/>
          <w:szCs w:val="32"/>
          <w:highlight w:val="none"/>
          <w:lang w:val="en-US" w:eastAsia="zh-Hans" w:bidi="ar-SA"/>
          <w14:textFill>
            <w14:solidFill>
              <w14:schemeClr w14:val="tx1"/>
            </w14:solidFill>
          </w14:textFill>
        </w:rPr>
        <w:t>万元</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r>
        <w:rPr>
          <w:rFonts w:ascii="Times New Roman" w:hAnsi="Times New Roman" w:eastAsia="方正仿宋_GBK" w:cs="Times New Roman"/>
          <w:color w:val="000000" w:themeColor="text1"/>
          <w:kern w:val="2"/>
          <w:sz w:val="32"/>
          <w:szCs w:val="32"/>
          <w14:textFill>
            <w14:solidFill>
              <w14:schemeClr w14:val="tx1"/>
            </w14:solidFill>
          </w14:textFill>
        </w:rPr>
        <w:t>从评价情况来看，</w:t>
      </w:r>
      <w:r>
        <w:rPr>
          <w:rFonts w:hint="eastAsia" w:ascii="Times New Roman" w:hAnsi="Times New Roman" w:eastAsia="方正仿宋_GBK" w:cs="Times New Roman"/>
          <w:color w:val="000000" w:themeColor="text1"/>
          <w:kern w:val="2"/>
          <w:sz w:val="32"/>
          <w:szCs w:val="32"/>
          <w14:textFill>
            <w14:solidFill>
              <w14:schemeClr w14:val="tx1"/>
            </w14:solidFill>
          </w14:textFill>
        </w:rPr>
        <w:t>项目立项较为规范，绩效目标明确，预算编制合理，管理科学规范，资金到位及时，总体完成情况较好，有力保障了</w:t>
      </w: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项目建设运行</w:t>
      </w:r>
      <w:r>
        <w:rPr>
          <w:rFonts w:hint="eastAsia" w:ascii="Times New Roman" w:hAnsi="Times New Roman" w:eastAsia="方正仿宋_GBK" w:cs="Times New Roman"/>
          <w:color w:val="000000" w:themeColor="text1"/>
          <w:kern w:val="2"/>
          <w:sz w:val="32"/>
          <w:szCs w:val="32"/>
          <w14:textFill>
            <w14:solidFill>
              <w14:schemeClr w14:val="tx1"/>
            </w14:solidFill>
          </w14:textFill>
        </w:rPr>
        <w:t>，项目基本达到了预期绩效目标</w:t>
      </w:r>
      <w:r>
        <w:rPr>
          <w:rFonts w:hint="eastAsia" w:ascii="Times New Roman" w:hAnsi="Times New Roman" w:eastAsia="方正仿宋_GBK" w:cs="Times New Roman"/>
          <w:color w:val="000000" w:themeColor="text1"/>
          <w:kern w:val="2"/>
          <w:sz w:val="32"/>
          <w:szCs w:val="32"/>
          <w:lang w:eastAsia="zh-CN"/>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（二）绩效自评</w:t>
      </w: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结果。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1.绩效目标自评表。</w:t>
      </w:r>
    </w:p>
    <w:tbl>
      <w:tblPr>
        <w:tblStyle w:val="3"/>
        <w:tblW w:w="10983" w:type="dxa"/>
        <w:jc w:val="center"/>
        <w:tblLayout w:type="autofit"/>
        <w:tblCellMar>
          <w:top w:w="0" w:type="dxa"/>
          <w:left w:w="108" w:type="dxa"/>
          <w:bottom w:w="0" w:type="dxa"/>
          <w:right w:w="108" w:type="dxa"/>
        </w:tblCellMar>
      </w:tblPr>
      <w:tblGrid>
        <w:gridCol w:w="1277"/>
        <w:gridCol w:w="637"/>
        <w:gridCol w:w="850"/>
        <w:gridCol w:w="992"/>
        <w:gridCol w:w="903"/>
        <w:gridCol w:w="753"/>
        <w:gridCol w:w="1043"/>
        <w:gridCol w:w="709"/>
        <w:gridCol w:w="799"/>
        <w:gridCol w:w="992"/>
        <w:gridCol w:w="1036"/>
        <w:gridCol w:w="992"/>
      </w:tblGrid>
      <w:tr>
        <w:tblPrEx>
          <w:tblCellMar>
            <w:top w:w="0" w:type="dxa"/>
            <w:left w:w="108" w:type="dxa"/>
            <w:bottom w:w="0" w:type="dxa"/>
            <w:right w:w="108" w:type="dxa"/>
          </w:tblCellMar>
        </w:tblPrEx>
        <w:trPr>
          <w:trHeight w:val="584" w:hRule="atLeast"/>
          <w:jc w:val="center"/>
        </w:trPr>
        <w:tc>
          <w:tcPr>
            <w:tcW w:w="10983"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ascii="微软雅黑" w:hAnsi="微软雅黑" w:eastAsia="微软雅黑" w:cs="宋体"/>
                <w:b/>
                <w:bCs/>
                <w:color w:val="000000" w:themeColor="text1"/>
                <w:kern w:val="0"/>
                <w:sz w:val="36"/>
                <w:szCs w:val="40"/>
                <w14:textFill>
                  <w14:solidFill>
                    <w14:schemeClr w14:val="tx1"/>
                  </w14:solidFill>
                </w14:textFill>
              </w:rPr>
            </w:pPr>
            <w:r>
              <w:rPr>
                <w:rFonts w:hint="eastAsia" w:ascii="微软雅黑" w:hAnsi="微软雅黑" w:eastAsia="微软雅黑" w:cs="宋体"/>
                <w:b/>
                <w:bCs/>
                <w:color w:val="000000" w:themeColor="text1"/>
                <w:kern w:val="0"/>
                <w:sz w:val="32"/>
                <w:szCs w:val="40"/>
                <w14:textFill>
                  <w14:solidFill>
                    <w14:schemeClr w14:val="tx1"/>
                  </w14:solidFill>
                </w14:textFill>
              </w:rPr>
              <w:t>2022年度部门整体绩效自评表</w:t>
            </w:r>
          </w:p>
        </w:tc>
      </w:tr>
      <w:tr>
        <w:tblPrEx>
          <w:tblCellMar>
            <w:top w:w="0" w:type="dxa"/>
            <w:left w:w="108" w:type="dxa"/>
            <w:bottom w:w="0" w:type="dxa"/>
            <w:right w:w="108" w:type="dxa"/>
          </w:tblCellMar>
        </w:tblPrEx>
        <w:trPr>
          <w:trHeight w:val="1536"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项目名称：</w:t>
            </w:r>
          </w:p>
        </w:tc>
        <w:tc>
          <w:tcPr>
            <w:tcW w:w="1487"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丰都县住房和城乡建设委员会整体自评</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项目编码：</w:t>
            </w:r>
          </w:p>
        </w:tc>
        <w:tc>
          <w:tcPr>
            <w:tcW w:w="165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50023000022P000061</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98.10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p>
        </w:tc>
        <w:tc>
          <w:tcPr>
            <w:tcW w:w="202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126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项目主管部门：</w:t>
            </w:r>
          </w:p>
        </w:tc>
        <w:tc>
          <w:tcPr>
            <w:tcW w:w="148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604-丰都县住房和城乡建设委员会</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财政归口处室：</w:t>
            </w:r>
          </w:p>
        </w:tc>
        <w:tc>
          <w:tcPr>
            <w:tcW w:w="165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006-经建科</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部门联系人：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易文颀</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联系电话</w:t>
            </w:r>
          </w:p>
        </w:tc>
        <w:tc>
          <w:tcPr>
            <w:tcW w:w="202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r>
              <w:rPr>
                <w:rFonts w:hint="eastAsia" w:ascii="宋体" w:hAnsi="宋体" w:cs="宋体"/>
                <w:color w:val="000000" w:themeColor="text1"/>
                <w:kern w:val="0"/>
                <w:sz w:val="16"/>
                <w:szCs w:val="16"/>
                <w:lang w:val="en-US" w:eastAsia="zh-CN"/>
                <w14:textFill>
                  <w14:solidFill>
                    <w14:schemeClr w14:val="tx1"/>
                  </w14:solidFill>
                </w14:textFill>
              </w:rPr>
              <w:t>70702825</w:t>
            </w:r>
          </w:p>
        </w:tc>
      </w:tr>
      <w:tr>
        <w:tblPrEx>
          <w:tblCellMar>
            <w:top w:w="0" w:type="dxa"/>
            <w:left w:w="108" w:type="dxa"/>
            <w:bottom w:w="0" w:type="dxa"/>
            <w:right w:w="108" w:type="dxa"/>
          </w:tblCellMar>
        </w:tblPrEx>
        <w:trPr>
          <w:trHeight w:val="775" w:hRule="atLeast"/>
          <w:jc w:val="center"/>
        </w:trPr>
        <w:tc>
          <w:tcPr>
            <w:tcW w:w="10983"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 w:val="18"/>
                <w:szCs w:val="28"/>
                <w14:textFill>
                  <w14:solidFill>
                    <w14:schemeClr w14:val="tx1"/>
                  </w14:solidFill>
                </w14:textFill>
              </w:rPr>
              <w:t>资金情况</w:t>
            </w:r>
          </w:p>
        </w:tc>
      </w:tr>
      <w:tr>
        <w:tblPrEx>
          <w:tblCellMar>
            <w:top w:w="0" w:type="dxa"/>
            <w:left w:w="108" w:type="dxa"/>
            <w:bottom w:w="0" w:type="dxa"/>
            <w:right w:w="108" w:type="dxa"/>
          </w:tblCellMar>
        </w:tblPrEx>
        <w:trPr>
          <w:trHeight w:val="445" w:hRule="atLeast"/>
          <w:jc w:val="center"/>
        </w:trPr>
        <w:tc>
          <w:tcPr>
            <w:tcW w:w="191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c>
          <w:tcPr>
            <w:tcW w:w="184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年初预算数</w:t>
            </w:r>
          </w:p>
        </w:tc>
        <w:tc>
          <w:tcPr>
            <w:tcW w:w="1656"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全年（调整）预算数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执行率权重</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执行率得分</w:t>
            </w:r>
          </w:p>
        </w:tc>
      </w:tr>
      <w:tr>
        <w:tblPrEx>
          <w:tblCellMar>
            <w:top w:w="0" w:type="dxa"/>
            <w:left w:w="108" w:type="dxa"/>
            <w:bottom w:w="0" w:type="dxa"/>
            <w:right w:w="108" w:type="dxa"/>
          </w:tblCellMar>
        </w:tblPrEx>
        <w:trPr>
          <w:trHeight w:val="499" w:hRule="atLeast"/>
          <w:jc w:val="center"/>
        </w:trPr>
        <w:tc>
          <w:tcPr>
            <w:tcW w:w="19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年度总金额</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132542927.76</w:t>
            </w:r>
          </w:p>
        </w:tc>
        <w:tc>
          <w:tcPr>
            <w:tcW w:w="165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329439061.61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268100581.85</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415" w:hRule="atLeast"/>
          <w:jc w:val="center"/>
        </w:trPr>
        <w:tc>
          <w:tcPr>
            <w:tcW w:w="19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其中：财政拨款</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132542927.76</w:t>
            </w:r>
          </w:p>
        </w:tc>
        <w:tc>
          <w:tcPr>
            <w:tcW w:w="165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329439061.61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268100581.85</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81　</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10.00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8.1　</w:t>
            </w:r>
          </w:p>
        </w:tc>
      </w:tr>
      <w:tr>
        <w:tblPrEx>
          <w:tblCellMar>
            <w:top w:w="0" w:type="dxa"/>
            <w:left w:w="108" w:type="dxa"/>
            <w:bottom w:w="0" w:type="dxa"/>
            <w:right w:w="108" w:type="dxa"/>
          </w:tblCellMar>
        </w:tblPrEx>
        <w:trPr>
          <w:trHeight w:val="860" w:hRule="atLeast"/>
          <w:jc w:val="center"/>
        </w:trPr>
        <w:tc>
          <w:tcPr>
            <w:tcW w:w="10983"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Cs w:val="28"/>
                <w14:textFill>
                  <w14:solidFill>
                    <w14:schemeClr w14:val="tx1"/>
                  </w14:solidFill>
                </w14:textFill>
              </w:rPr>
              <w:t>绩效目标</w:t>
            </w:r>
          </w:p>
        </w:tc>
      </w:tr>
      <w:tr>
        <w:tblPrEx>
          <w:tblCellMar>
            <w:top w:w="0" w:type="dxa"/>
            <w:left w:w="108" w:type="dxa"/>
            <w:bottom w:w="0" w:type="dxa"/>
            <w:right w:w="108" w:type="dxa"/>
          </w:tblCellMar>
        </w:tblPrEx>
        <w:trPr>
          <w:trHeight w:val="499" w:hRule="atLeast"/>
          <w:jc w:val="center"/>
        </w:trPr>
        <w:tc>
          <w:tcPr>
            <w:tcW w:w="375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年初绩效目标</w:t>
            </w:r>
          </w:p>
        </w:tc>
        <w:tc>
          <w:tcPr>
            <w:tcW w:w="3408"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全年（调整）绩效目标</w:t>
            </w:r>
          </w:p>
        </w:tc>
        <w:tc>
          <w:tcPr>
            <w:tcW w:w="381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全年目标实际完成情况</w:t>
            </w:r>
          </w:p>
        </w:tc>
      </w:tr>
      <w:tr>
        <w:tblPrEx>
          <w:tblCellMar>
            <w:top w:w="0" w:type="dxa"/>
            <w:left w:w="108" w:type="dxa"/>
            <w:bottom w:w="0" w:type="dxa"/>
            <w:right w:w="108" w:type="dxa"/>
          </w:tblCellMar>
        </w:tblPrEx>
        <w:trPr>
          <w:trHeight w:val="3122" w:hRule="atLeast"/>
          <w:jc w:val="center"/>
        </w:trPr>
        <w:tc>
          <w:tcPr>
            <w:tcW w:w="3756"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通过年度预算，按照县委县政府确定应完成以下工作目标。1.完成农村危房改造任务；2.统筹实施公廉租房维护和管理；3.县城建成区雨污管网维护及精细化排查；4.乡镇污水处理设施运行管理及污水处理在线监测；5.城镇房屋安全监管；6.人防应战应急指挥系统维护管理；7.工程质量技术服务检查覆盖率及监督抽测工地覆盖率；8.城市基础设施建设“十四五”规划编制及城市更新专项规划；9.助推建筑业高质量发展等。</w:t>
            </w:r>
          </w:p>
        </w:tc>
        <w:tc>
          <w:tcPr>
            <w:tcW w:w="3408"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按照县委县政府确定应完成以下工作目标。1.完成农村危房改造任务；2.统筹实施公廉租房维护和管理；3.县城建成区雨污管网维护及精细化排查；4.乡镇污水处理设施运行管理及污水处理在线监测；5.城镇房屋安全监管；6.人防应战应急指挥系统维护管理；7.工程质量技术服务检查覆盖率及监督抽测工地覆盖率；8.城市基础设施建设“十四五”规划编制及城市更新专项规划；9.助推建筑业高质量发展等。　</w:t>
            </w:r>
          </w:p>
        </w:tc>
        <w:tc>
          <w:tcPr>
            <w:tcW w:w="3819" w:type="dxa"/>
            <w:gridSpan w:val="4"/>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按照县委县政府确定应完成以下工作目标。1.完成农村危房改造任务；2.统筹实施公廉租房维护和管理；3.县城建成区雨污管网维护及精细化排查；4.乡镇污水处理设施运行管理及污水处理在线监测；5.城镇房屋安全监管；6.人防应战应急指挥系统维护管理；7.工程质量技术服务检查覆盖率及监督抽测工地覆盖率；8.城市基础设施建设“十四五”规划编制及城市更新专项规划；9.助推建筑业高质量发展等。</w:t>
            </w:r>
          </w:p>
        </w:tc>
      </w:tr>
      <w:tr>
        <w:tblPrEx>
          <w:tblCellMar>
            <w:top w:w="0" w:type="dxa"/>
            <w:left w:w="108" w:type="dxa"/>
            <w:bottom w:w="0" w:type="dxa"/>
            <w:right w:w="108" w:type="dxa"/>
          </w:tblCellMar>
        </w:tblPrEx>
        <w:trPr>
          <w:trHeight w:val="600" w:hRule="atLeast"/>
          <w:jc w:val="center"/>
        </w:trPr>
        <w:tc>
          <w:tcPr>
            <w:tcW w:w="10983"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方正黑体_GBK" w:hAnsi="方正黑体_GBK" w:eastAsia="方正黑体_GBK" w:cs="方正黑体_GBK"/>
                <w:b/>
                <w:bCs/>
                <w:color w:val="000000" w:themeColor="text1"/>
                <w:kern w:val="0"/>
                <w:szCs w:val="28"/>
                <w14:textFill>
                  <w14:solidFill>
                    <w14:schemeClr w14:val="tx1"/>
                  </w14:solidFill>
                </w14:textFill>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指标名称</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计量单位</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性质</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指标值</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全年完成值</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偏离度（%）</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得分系数（%）</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权重</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得分</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是否核心指标</w:t>
            </w: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城乡污水处理在线监测率</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万元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393</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393</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公（廉）租房屋维护和管理</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完成危房改造任务</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户</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30</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30</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工程质量监督抽测工地覆盖率</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90</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90</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乡镇污水处理设施运行管理</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万元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1450</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1450</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城区雨污管网及精细化排查</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万元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150</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150</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城镇房屋使用安全监管</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万元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8</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8</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民防应战应急工作经费</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万元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35</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35</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施工安全、质量安全管理</w:t>
            </w:r>
          </w:p>
        </w:tc>
        <w:tc>
          <w:tcPr>
            <w:tcW w:w="63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万元</w:t>
            </w:r>
          </w:p>
        </w:tc>
        <w:tc>
          <w:tcPr>
            <w:tcW w:w="8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26</w:t>
            </w:r>
          </w:p>
        </w:tc>
        <w:tc>
          <w:tcPr>
            <w:tcW w:w="9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26</w:t>
            </w:r>
          </w:p>
        </w:tc>
        <w:tc>
          <w:tcPr>
            <w:tcW w:w="75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default" w:ascii="宋体" w:hAnsi="宋体" w:cs="宋体" w:eastAsiaTheme="minorEastAsia"/>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28"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firstLine="0" w:firstLineChars="0"/>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p>
    <w:tbl>
      <w:tblPr>
        <w:tblStyle w:val="3"/>
        <w:tblW w:w="11426" w:type="dxa"/>
        <w:jc w:val="center"/>
        <w:tblLayout w:type="fixed"/>
        <w:tblCellMar>
          <w:top w:w="0" w:type="dxa"/>
          <w:left w:w="108" w:type="dxa"/>
          <w:bottom w:w="0" w:type="dxa"/>
          <w:right w:w="108" w:type="dxa"/>
        </w:tblCellMar>
      </w:tblPr>
      <w:tblGrid>
        <w:gridCol w:w="1277"/>
        <w:gridCol w:w="586"/>
        <w:gridCol w:w="935"/>
        <w:gridCol w:w="907"/>
        <w:gridCol w:w="1149"/>
        <w:gridCol w:w="957"/>
        <w:gridCol w:w="1043"/>
        <w:gridCol w:w="709"/>
        <w:gridCol w:w="799"/>
        <w:gridCol w:w="992"/>
        <w:gridCol w:w="1036"/>
        <w:gridCol w:w="1036"/>
      </w:tblGrid>
      <w:tr>
        <w:tblPrEx>
          <w:tblCellMar>
            <w:top w:w="0" w:type="dxa"/>
            <w:left w:w="108" w:type="dxa"/>
            <w:bottom w:w="0" w:type="dxa"/>
            <w:right w:w="108" w:type="dxa"/>
          </w:tblCellMar>
        </w:tblPrEx>
        <w:trPr>
          <w:trHeight w:val="584" w:hRule="atLeast"/>
          <w:jc w:val="center"/>
        </w:trPr>
        <w:tc>
          <w:tcPr>
            <w:tcW w:w="11426"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ascii="微软雅黑" w:hAnsi="微软雅黑" w:eastAsia="微软雅黑" w:cs="宋体"/>
                <w:b/>
                <w:bCs/>
                <w:color w:val="000000" w:themeColor="text1"/>
                <w:kern w:val="0"/>
                <w:sz w:val="36"/>
                <w:szCs w:val="40"/>
                <w14:textFill>
                  <w14:solidFill>
                    <w14:schemeClr w14:val="tx1"/>
                  </w14:solidFill>
                </w14:textFill>
              </w:rPr>
            </w:pPr>
            <w:r>
              <w:rPr>
                <w:rFonts w:hint="eastAsia" w:ascii="微软雅黑" w:hAnsi="微软雅黑" w:eastAsia="微软雅黑" w:cs="宋体"/>
                <w:b/>
                <w:bCs/>
                <w:color w:val="000000" w:themeColor="text1"/>
                <w:kern w:val="0"/>
                <w:sz w:val="32"/>
                <w:szCs w:val="40"/>
                <w14:textFill>
                  <w14:solidFill>
                    <w14:schemeClr w14:val="tx1"/>
                  </w14:solidFill>
                </w14:textFill>
              </w:rPr>
              <w:t>2022年度项目绩效自评表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项目名称：</w:t>
            </w:r>
          </w:p>
        </w:tc>
        <w:tc>
          <w:tcPr>
            <w:tcW w:w="1521"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2020年设计</w:t>
            </w:r>
            <w:r>
              <w:rPr>
                <w:rFonts w:hint="eastAsia" w:ascii="宋体" w:hAnsi="宋体" w:cs="宋体"/>
                <w:color w:val="000000" w:themeColor="text1"/>
                <w:kern w:val="0"/>
                <w:sz w:val="16"/>
                <w:szCs w:val="16"/>
                <w:lang w:val="en-US" w:eastAsia="zh-CN"/>
                <w14:textFill>
                  <w14:solidFill>
                    <w14:schemeClr w14:val="tx1"/>
                  </w14:solidFill>
                </w14:textFill>
              </w:rPr>
              <w:t>下</w:t>
            </w:r>
            <w:r>
              <w:rPr>
                <w:rFonts w:hint="eastAsia" w:ascii="宋体" w:hAnsi="宋体" w:cs="宋体"/>
                <w:color w:val="000000" w:themeColor="text1"/>
                <w:kern w:val="0"/>
                <w:sz w:val="16"/>
                <w:szCs w:val="16"/>
                <w14:textFill>
                  <w14:solidFill>
                    <w14:schemeClr w14:val="tx1"/>
                  </w14:solidFill>
                </w14:textFill>
              </w:rPr>
              <w:t>乡补助资金</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项目编码：</w:t>
            </w:r>
          </w:p>
        </w:tc>
        <w:tc>
          <w:tcPr>
            <w:tcW w:w="2106"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50023022T000002157402</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100.00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p>
        </w:tc>
        <w:tc>
          <w:tcPr>
            <w:tcW w:w="2072"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项目主管部门：</w:t>
            </w:r>
          </w:p>
        </w:tc>
        <w:tc>
          <w:tcPr>
            <w:tcW w:w="152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both"/>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604-丰都县住房和城乡建设委员会</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财政归口处室：</w:t>
            </w:r>
          </w:p>
        </w:tc>
        <w:tc>
          <w:tcPr>
            <w:tcW w:w="210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tabs>
                <w:tab w:val="left" w:pos="629"/>
              </w:tabs>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eastAsia="zh-CN"/>
                <w14:textFill>
                  <w14:solidFill>
                    <w14:schemeClr w14:val="tx1"/>
                  </w14:solidFill>
                </w14:textFill>
              </w:rPr>
            </w:pPr>
            <w:r>
              <w:rPr>
                <w:rFonts w:hint="eastAsia" w:ascii="宋体" w:hAnsi="宋体" w:cs="宋体"/>
                <w:color w:val="000000" w:themeColor="text1"/>
                <w:kern w:val="0"/>
                <w:sz w:val="16"/>
                <w:szCs w:val="16"/>
                <w:lang w:eastAsia="zh-CN"/>
                <w14:textFill>
                  <w14:solidFill>
                    <w14:schemeClr w14:val="tx1"/>
                  </w14:solidFill>
                </w14:textFill>
              </w:rPr>
              <w:t>006-经建科</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部门联系人：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蓝光明</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联系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电话</w:t>
            </w:r>
          </w:p>
        </w:tc>
        <w:tc>
          <w:tcPr>
            <w:tcW w:w="207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lef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70711990</w:t>
            </w:r>
          </w:p>
        </w:tc>
      </w:tr>
      <w:tr>
        <w:tblPrEx>
          <w:tblCellMar>
            <w:top w:w="0" w:type="dxa"/>
            <w:left w:w="108" w:type="dxa"/>
            <w:bottom w:w="0" w:type="dxa"/>
            <w:right w:w="108" w:type="dxa"/>
          </w:tblCellMar>
        </w:tblPrEx>
        <w:trPr>
          <w:trHeight w:val="469" w:hRule="atLeast"/>
          <w:jc w:val="center"/>
        </w:trPr>
        <w:tc>
          <w:tcPr>
            <w:tcW w:w="11426"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 w:val="18"/>
                <w:szCs w:val="28"/>
                <w14:textFill>
                  <w14:solidFill>
                    <w14:schemeClr w14:val="tx1"/>
                  </w14:solidFill>
                </w14:textFill>
              </w:rPr>
              <w:t>资金情况</w:t>
            </w:r>
          </w:p>
        </w:tc>
      </w:tr>
      <w:tr>
        <w:tblPrEx>
          <w:tblCellMar>
            <w:top w:w="0" w:type="dxa"/>
            <w:left w:w="108" w:type="dxa"/>
            <w:bottom w:w="0" w:type="dxa"/>
            <w:right w:w="108" w:type="dxa"/>
          </w:tblCellMar>
        </w:tblPrEx>
        <w:trPr>
          <w:trHeight w:val="445" w:hRule="atLeast"/>
          <w:jc w:val="center"/>
        </w:trPr>
        <w:tc>
          <w:tcPr>
            <w:tcW w:w="186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84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年初预算数</w:t>
            </w:r>
          </w:p>
        </w:tc>
        <w:tc>
          <w:tcPr>
            <w:tcW w:w="2106"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全年（调整）预算数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执行率权重</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执行率得分</w:t>
            </w:r>
          </w:p>
        </w:tc>
      </w:tr>
      <w:tr>
        <w:tblPrEx>
          <w:tblCellMar>
            <w:top w:w="0" w:type="dxa"/>
            <w:left w:w="108" w:type="dxa"/>
            <w:bottom w:w="0" w:type="dxa"/>
            <w:right w:w="108" w:type="dxa"/>
          </w:tblCellMar>
        </w:tblPrEx>
        <w:trPr>
          <w:trHeight w:val="499" w:hRule="atLeast"/>
          <w:jc w:val="center"/>
        </w:trPr>
        <w:tc>
          <w:tcPr>
            <w:tcW w:w="186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年度总金额</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0.00</w:t>
            </w:r>
          </w:p>
        </w:tc>
        <w:tc>
          <w:tcPr>
            <w:tcW w:w="210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100000</w:t>
            </w:r>
            <w:r>
              <w:rPr>
                <w:rFonts w:hint="eastAsia" w:ascii="宋体" w:hAnsi="宋体" w:cs="宋体"/>
                <w:color w:val="000000" w:themeColor="text1"/>
                <w:kern w:val="0"/>
                <w:sz w:val="16"/>
                <w:szCs w:val="16"/>
                <w:lang w:val="en-US" w:eastAsia="zh-CN"/>
                <w14:textFill>
                  <w14:solidFill>
                    <w14:schemeClr w14:val="tx1"/>
                  </w14:solidFill>
                </w14:textFill>
              </w:rPr>
              <w:t>.00</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100000</w:t>
            </w:r>
            <w:r>
              <w:rPr>
                <w:rFonts w:hint="eastAsia" w:ascii="宋体" w:hAnsi="宋体" w:cs="宋体"/>
                <w:color w:val="000000" w:themeColor="text1"/>
                <w:kern w:val="0"/>
                <w:sz w:val="16"/>
                <w:szCs w:val="16"/>
                <w:lang w:val="en-US" w:eastAsia="zh-CN"/>
                <w14:textFill>
                  <w14:solidFill>
                    <w14:schemeClr w14:val="tx1"/>
                  </w14:solidFill>
                </w14:textFill>
              </w:rPr>
              <w:t>.00</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righ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righ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415" w:hRule="atLeast"/>
          <w:jc w:val="center"/>
        </w:trPr>
        <w:tc>
          <w:tcPr>
            <w:tcW w:w="186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其中：财政拨款</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0.00</w:t>
            </w:r>
          </w:p>
        </w:tc>
        <w:tc>
          <w:tcPr>
            <w:tcW w:w="210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100000</w:t>
            </w:r>
            <w:r>
              <w:rPr>
                <w:rFonts w:hint="eastAsia" w:ascii="宋体" w:hAnsi="宋体" w:cs="宋体"/>
                <w:color w:val="000000" w:themeColor="text1"/>
                <w:kern w:val="0"/>
                <w:sz w:val="16"/>
                <w:szCs w:val="16"/>
                <w:lang w:val="en-US" w:eastAsia="zh-CN"/>
                <w14:textFill>
                  <w14:solidFill>
                    <w14:schemeClr w14:val="tx1"/>
                  </w14:solidFill>
                </w14:textFill>
              </w:rPr>
              <w:t>.00</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100000</w:t>
            </w:r>
            <w:r>
              <w:rPr>
                <w:rFonts w:hint="eastAsia" w:ascii="宋体" w:hAnsi="宋体" w:cs="宋体"/>
                <w:color w:val="000000" w:themeColor="text1"/>
                <w:kern w:val="0"/>
                <w:sz w:val="16"/>
                <w:szCs w:val="16"/>
                <w:lang w:val="en-US" w:eastAsia="zh-CN"/>
                <w14:textFill>
                  <w14:solidFill>
                    <w14:schemeClr w14:val="tx1"/>
                  </w14:solidFill>
                </w14:textFill>
              </w:rPr>
              <w:t>.00</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100.00</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righ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w:t>
            </w:r>
            <w:r>
              <w:rPr>
                <w:rFonts w:hint="eastAsia" w:ascii="宋体" w:hAnsi="宋体" w:cs="宋体"/>
                <w:color w:val="000000" w:themeColor="text1"/>
                <w:kern w:val="0"/>
                <w:sz w:val="16"/>
                <w:szCs w:val="16"/>
                <w14:textFill>
                  <w14:solidFill>
                    <w14:schemeClr w14:val="tx1"/>
                  </w14:solidFill>
                </w14:textFill>
              </w:rPr>
              <w:t>　</w:t>
            </w:r>
          </w:p>
        </w:tc>
        <w:tc>
          <w:tcPr>
            <w:tcW w:w="103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right"/>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10.00</w:t>
            </w:r>
            <w:r>
              <w:rPr>
                <w:rFonts w:hint="eastAsia" w:ascii="宋体" w:hAnsi="宋体" w:cs="宋体"/>
                <w:color w:val="000000" w:themeColor="text1"/>
                <w:kern w:val="0"/>
                <w:sz w:val="16"/>
                <w:szCs w:val="16"/>
                <w14:textFill>
                  <w14:solidFill>
                    <w14:schemeClr w14:val="tx1"/>
                  </w14:solidFill>
                </w14:textFill>
              </w:rPr>
              <w:t>　</w:t>
            </w:r>
          </w:p>
        </w:tc>
      </w:tr>
      <w:tr>
        <w:tblPrEx>
          <w:tblCellMar>
            <w:top w:w="0" w:type="dxa"/>
            <w:left w:w="108" w:type="dxa"/>
            <w:bottom w:w="0" w:type="dxa"/>
            <w:right w:w="108" w:type="dxa"/>
          </w:tblCellMar>
        </w:tblPrEx>
        <w:trPr>
          <w:trHeight w:val="600" w:hRule="atLeast"/>
          <w:jc w:val="center"/>
        </w:trPr>
        <w:tc>
          <w:tcPr>
            <w:tcW w:w="11426"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Cs w:val="28"/>
                <w14:textFill>
                  <w14:solidFill>
                    <w14:schemeClr w14:val="tx1"/>
                  </w14:solidFill>
                </w14:textFill>
              </w:rPr>
              <w:t>绩效目标</w:t>
            </w:r>
          </w:p>
        </w:tc>
      </w:tr>
      <w:tr>
        <w:tblPrEx>
          <w:tblCellMar>
            <w:top w:w="0" w:type="dxa"/>
            <w:left w:w="108" w:type="dxa"/>
            <w:bottom w:w="0" w:type="dxa"/>
            <w:right w:w="108" w:type="dxa"/>
          </w:tblCellMar>
        </w:tblPrEx>
        <w:trPr>
          <w:trHeight w:val="499" w:hRule="atLeast"/>
          <w:jc w:val="center"/>
        </w:trPr>
        <w:tc>
          <w:tcPr>
            <w:tcW w:w="3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年初绩效目标</w:t>
            </w:r>
          </w:p>
        </w:tc>
        <w:tc>
          <w:tcPr>
            <w:tcW w:w="3858"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全年（调整）绩效目标</w:t>
            </w:r>
          </w:p>
        </w:tc>
        <w:tc>
          <w:tcPr>
            <w:tcW w:w="386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r>
              <w:rPr>
                <w:rFonts w:hint="eastAsia" w:ascii="宋体" w:hAnsi="宋体" w:cs="宋体"/>
                <w:b/>
                <w:bCs/>
                <w:color w:val="000000" w:themeColor="text1"/>
                <w:kern w:val="0"/>
                <w:sz w:val="16"/>
                <w:szCs w:val="16"/>
                <w14:textFill>
                  <w14:solidFill>
                    <w14:schemeClr w14:val="tx1"/>
                  </w14:solidFill>
                </w14:textFill>
              </w:rPr>
              <w:t>全年目标实际完成情况</w:t>
            </w:r>
          </w:p>
        </w:tc>
      </w:tr>
      <w:tr>
        <w:tblPrEx>
          <w:tblCellMar>
            <w:top w:w="0" w:type="dxa"/>
            <w:left w:w="108" w:type="dxa"/>
            <w:bottom w:w="0" w:type="dxa"/>
            <w:right w:w="108" w:type="dxa"/>
          </w:tblCellMar>
        </w:tblPrEx>
        <w:trPr>
          <w:trHeight w:val="1602" w:hRule="atLeast"/>
          <w:jc w:val="center"/>
        </w:trPr>
        <w:tc>
          <w:tcPr>
            <w:tcW w:w="3705"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3858" w:type="dxa"/>
            <w:gridSpan w:val="4"/>
            <w:tcBorders>
              <w:top w:val="single" w:color="auto" w:sz="4" w:space="0"/>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1.完成仙女湖镇卢家山村山蹬坡人居环境示范地形图测绘、丰都县农房建图集设计。</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2.完成栗子乡金龙寨村陈家岩传统村落地形图测绘、丰都县农房建图集设计。</w:t>
            </w:r>
          </w:p>
        </w:tc>
        <w:tc>
          <w:tcPr>
            <w:tcW w:w="3863" w:type="dxa"/>
            <w:gridSpan w:val="4"/>
            <w:tcBorders>
              <w:top w:val="single" w:color="auto" w:sz="4" w:space="0"/>
              <w:left w:val="nil"/>
              <w:bottom w:val="single" w:color="auto" w:sz="4" w:space="0"/>
              <w:right w:val="single" w:color="auto" w:sz="4" w:space="0"/>
            </w:tcBorders>
            <w:shd w:val="clear" w:color="auto" w:fill="auto"/>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1.完成仙女湖镇卢家山村山蹬坡人居环境示范地形图测绘、丰都县农房建图集设计。</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2.完成栗子乡金龙寨村陈家岩传统村落地形图测绘、丰都县农房建图集设计。</w:t>
            </w:r>
          </w:p>
        </w:tc>
      </w:tr>
      <w:tr>
        <w:tblPrEx>
          <w:tblCellMar>
            <w:top w:w="0" w:type="dxa"/>
            <w:left w:w="108" w:type="dxa"/>
            <w:bottom w:w="0" w:type="dxa"/>
            <w:right w:w="108" w:type="dxa"/>
          </w:tblCellMar>
        </w:tblPrEx>
        <w:trPr>
          <w:trHeight w:val="600" w:hRule="atLeast"/>
          <w:jc w:val="center"/>
        </w:trPr>
        <w:tc>
          <w:tcPr>
            <w:tcW w:w="11426"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微软雅黑" w:hAnsi="微软雅黑" w:eastAsia="微软雅黑" w:cs="宋体"/>
                <w:b/>
                <w:bCs/>
                <w:color w:val="000000" w:themeColor="text1"/>
                <w:kern w:val="0"/>
                <w:sz w:val="28"/>
                <w:szCs w:val="28"/>
                <w14:textFill>
                  <w14:solidFill>
                    <w14:schemeClr w14:val="tx1"/>
                  </w14:solidFill>
                </w14:textFill>
              </w:rPr>
            </w:pPr>
            <w:r>
              <w:rPr>
                <w:rFonts w:hint="eastAsia" w:ascii="微软雅黑" w:hAnsi="微软雅黑" w:eastAsia="微软雅黑" w:cs="宋体"/>
                <w:b/>
                <w:bCs/>
                <w:color w:val="000000" w:themeColor="text1"/>
                <w:kern w:val="0"/>
                <w:szCs w:val="28"/>
                <w14:textFill>
                  <w14:solidFill>
                    <w14:schemeClr w14:val="tx1"/>
                  </w14:solidFill>
                </w14:textFill>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指标名称</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计量单位</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指标性质</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指标值</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全年完成值</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偏离度（%）</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得分系数（%）</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权重</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指标得分</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是否核心指标</w:t>
            </w: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14:textFill>
                  <w14:solidFill>
                    <w14:schemeClr w14:val="tx1"/>
                  </w14:solidFill>
                </w14:textFill>
              </w:rPr>
            </w:pPr>
            <w:r>
              <w:rPr>
                <w:rFonts w:hint="eastAsia" w:ascii="宋体" w:hAnsi="宋体" w:cs="宋体"/>
                <w:b/>
                <w:bCs/>
                <w:color w:val="000000" w:themeColor="text1"/>
                <w:kern w:val="0"/>
                <w:sz w:val="16"/>
                <w14:textFill>
                  <w14:solidFill>
                    <w14:schemeClr w14:val="tx1"/>
                  </w14:solidFill>
                </w14:textFill>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丰都县农房建图设计</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套</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6</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6</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b/>
                <w:bCs/>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栗子乡金龙寨村陈家岩传统村落地形图测绘</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亩</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285</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285</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仙女湖镇卢家山村山蹬坡人居环境示范地形图测绘</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亩</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38</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38</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地形图测绘、农房建图集设计合格率</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tabs>
                <w:tab w:val="left" w:pos="589"/>
              </w:tabs>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eastAsiaTheme="minorEastAsia"/>
                <w:color w:val="000000" w:themeColor="text1"/>
                <w:kern w:val="0"/>
                <w:sz w:val="16"/>
                <w:szCs w:val="16"/>
                <w:lang w:eastAsia="zh-CN"/>
                <w14:textFill>
                  <w14:solidFill>
                    <w14:schemeClr w14:val="tx1"/>
                  </w14:solidFill>
                </w14:textFill>
              </w:rPr>
            </w:pPr>
            <w:r>
              <w:rPr>
                <w:rFonts w:hint="eastAsia" w:ascii="宋体" w:hAnsi="宋体" w:cs="宋体"/>
                <w:color w:val="000000" w:themeColor="text1"/>
                <w:kern w:val="0"/>
                <w:sz w:val="16"/>
                <w:szCs w:val="16"/>
                <w:lang w:eastAsia="zh-CN"/>
                <w14:textFill>
                  <w14:solidFill>
                    <w14:schemeClr w14:val="tx1"/>
                  </w14:solidFill>
                </w14:textFill>
              </w:rPr>
              <w:t>项目完成及时率</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98</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98</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r>
              <w:rPr>
                <w:rFonts w:hint="eastAsia" w:ascii="宋体" w:hAnsi="宋体" w:cs="宋体"/>
                <w:color w:val="000000" w:themeColor="text1"/>
                <w:kern w:val="0"/>
                <w:sz w:val="16"/>
                <w:szCs w:val="16"/>
                <w14:textFill>
                  <w14:solidFill>
                    <w14:schemeClr w14:val="tx1"/>
                  </w14:solidFill>
                </w14:textFill>
              </w:rPr>
              <w:t>地形图测绘、农房图集设计</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万元</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改善人居环境</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定性</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有效改善</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项目后期管护延续性</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年</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受益群众满意度</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3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w:t>
            </w:r>
          </w:p>
        </w:tc>
        <w:tc>
          <w:tcPr>
            <w:tcW w:w="90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92</w:t>
            </w:r>
          </w:p>
        </w:tc>
        <w:tc>
          <w:tcPr>
            <w:tcW w:w="11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92</w:t>
            </w:r>
          </w:p>
        </w:tc>
        <w:tc>
          <w:tcPr>
            <w:tcW w:w="95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eastAsia"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0</w:t>
            </w:r>
          </w:p>
        </w:tc>
        <w:tc>
          <w:tcPr>
            <w:tcW w:w="104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100</w:t>
            </w:r>
          </w:p>
        </w:tc>
        <w:tc>
          <w:tcPr>
            <w:tcW w:w="7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79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firstLine="0" w:firstLineChars="0"/>
              <w:jc w:val="center"/>
              <w:textAlignment w:val="center"/>
              <w:rPr>
                <w:rFonts w:hint="default" w:ascii="宋体" w:hAnsi="宋体" w:cs="宋体"/>
                <w:color w:val="000000" w:themeColor="text1"/>
                <w:kern w:val="0"/>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14:textFill>
                  <w14:solidFill>
                    <w14:schemeClr w14:val="tx1"/>
                  </w14:solidFill>
                </w14:textFill>
              </w:rPr>
              <w:t>10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c>
          <w:tcPr>
            <w:tcW w:w="2072"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right="0" w:firstLine="0" w:firstLineChars="0"/>
              <w:jc w:val="center"/>
              <w:rPr>
                <w:rFonts w:hint="eastAsia" w:ascii="宋体" w:hAnsi="宋体" w:cs="宋体"/>
                <w:color w:val="000000" w:themeColor="text1"/>
                <w:kern w:val="0"/>
                <w:sz w:val="16"/>
                <w:szCs w:val="16"/>
                <w14:textFill>
                  <w14:solidFill>
                    <w14:schemeClr w14:val="tx1"/>
                  </w14:solidFill>
                </w14:textFill>
              </w:rPr>
            </w:pPr>
          </w:p>
        </w:tc>
      </w:tr>
    </w:tbl>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2.绩效自评报告或案例。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t>我单位未委托第三方开展绩效自评。</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关于绩效自评结果的说明。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我单位绩效自评均已完成年度绩效目标。</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Hans" w:bidi="ar-SA"/>
          <w14:textFill>
            <w14:solidFill>
              <w14:schemeClr w14:val="tx1"/>
            </w14:solidFill>
          </w14:textFill>
        </w:rPr>
        <w:t>（三）重点绩效评价结果。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14:textFill>
            <w14:solidFill>
              <w14:schemeClr w14:val="tx1"/>
            </w14:solidFill>
          </w14:textFill>
        </w:rPr>
        <w:t>我单位未委托第三方开展重点绩效评价。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eastAsia="zh-Hans"/>
          <w14:textFill>
            <w14:solidFill>
              <w14:schemeClr w14:val="tx1"/>
            </w14:solidFill>
          </w14:textFill>
        </w:rPr>
        <w:t>六、专业名词解释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（一）财政拨款收入：指本年度从本级财政部门取得的财政拨款，包括一般公共预算财政拨款和政府性基金预算财政拨款。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（二）事业收入：指事业单位开展专业业务活动及其辅助活动取得的现金流入；事业单位收到的财政专户实际核拨的教育收费等资金在此反映。</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（三）经营收入：指事业单位在专业业务活动及其辅助活动之外开展非独立核算经营活动取得的现金流入。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（五）使用非财政拨款结余：指单位在当年的“财政拨款收入”、“事业收入”、“经营收入”、“其他收入”等不足以安排当年支出的情况下，使用以前年度积累的非财政拨款结余弥补本年度收支缺口的资金。</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（六）年初结转和结余：指单位上年结转本年使用的基本支出结转、项目支出结转和结余、经营结余。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（七）结余分配：指单位按照国家有关规定，缴纳所得税、提取专用基金、转入非财政拨款结余等当年结余的分配情况。</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（八）年末结转和结余：指单位结转下年的基本支出结转、项目支出结转和结余、经营结余。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（十）项目支出：指在基本支出之外为完成特定行政任务和事业发展目标所发生的支出。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（十一）经营支出：指事业单位在专业业务活动及其辅助活动之外开展非独立核算经营活动发生的支出。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（十四）工资福利支出（支出经济分类科目类级）：反映单位开支的在职职工和编制外长期聘用人员的各类劳动报酬，以及为上述人员缴纳的各项社会保险费等。</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（十五）商品和服务支出（支出经济分类科目类级）：反映单位购买商品和服务的支出（不包括用于购置固定资产的支出、战略性和应急储备支出）。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（十六）对个人和家庭的补助（支出经济分类科目类级）：反映用于对个人和家庭的补助支出。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Hans" w:bidi="ar-SA"/>
          <w14:textFill>
            <w14:solidFill>
              <w14:schemeClr w14:val="tx1"/>
            </w14:solidFill>
          </w14:textFill>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方正黑体_GBK" w:cs="Times New Roman"/>
          <w:color w:val="000000" w:themeColor="text1"/>
          <w:kern w:val="2"/>
          <w:sz w:val="32"/>
          <w:szCs w:val="32"/>
          <w:lang w:val="en-US" w:eastAsia="zh-Hans" w:bidi="ar-SA"/>
          <w14:textFill>
            <w14:solidFill>
              <w14:schemeClr w14:val="tx1"/>
            </w14:solidFill>
          </w14:textFill>
        </w:rPr>
      </w:pPr>
      <w:r>
        <w:rPr>
          <w:rFonts w:hint="eastAsia" w:ascii="Times New Roman" w:hAnsi="Times New Roman" w:eastAsia="方正黑体_GBK" w:cs="Times New Roman"/>
          <w:color w:val="000000" w:themeColor="text1"/>
          <w:kern w:val="2"/>
          <w:sz w:val="32"/>
          <w:szCs w:val="32"/>
          <w:lang w:val="en-US" w:eastAsia="zh-Hans" w:bidi="ar-SA"/>
          <w14:textFill>
            <w14:solidFill>
              <w14:schemeClr w14:val="tx1"/>
            </w14:solidFill>
          </w14:textFill>
        </w:rPr>
        <w:t>七、决算公开联系方式及信息反馈渠道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14:textFill>
            <w14:solidFill>
              <w14:schemeClr w14:val="tx1"/>
            </w14:solidFill>
          </w14:textFill>
        </w:rPr>
        <w:t>本单位决算公开信息反馈和联系方式：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Times New Roman" w:hAnsi="Times New Roman" w:eastAsia="方正仿宋_GBK" w:cs="Times New Roman"/>
          <w:color w:val="000000" w:themeColor="text1"/>
          <w:kern w:val="2"/>
          <w:sz w:val="32"/>
          <w:szCs w:val="32"/>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14:textFill>
            <w14:solidFill>
              <w14:schemeClr w14:val="tx1"/>
            </w14:solidFill>
          </w14:textFill>
        </w:rPr>
        <w:t xml:space="preserve">高敏       </w:t>
      </w:r>
      <w:r>
        <w:rPr>
          <w:rFonts w:hint="eastAsia" w:ascii="Times New Roman" w:hAnsi="Times New Roman" w:eastAsia="方正仿宋_GBK" w:cs="Times New Roman"/>
          <w:color w:val="000000" w:themeColor="text1"/>
          <w:kern w:val="2"/>
          <w:sz w:val="32"/>
          <w:szCs w:val="32"/>
          <w14:textFill>
            <w14:solidFill>
              <w14:schemeClr w14:val="tx1"/>
            </w14:solidFill>
          </w14:textFill>
        </w:rPr>
        <w:t>023-70702811</w:t>
      </w:r>
    </w:p>
    <w:p>
      <w:pPr>
        <w:keepNext w:val="0"/>
        <w:keepLines w:val="0"/>
        <w:pageBreakBefore w:val="0"/>
        <w:kinsoku/>
        <w:wordWrap/>
        <w:overflowPunct/>
        <w:topLinePunct w:val="0"/>
        <w:autoSpaceDE/>
        <w:autoSpaceDN/>
        <w:bidi w:val="0"/>
        <w:adjustRightInd/>
        <w:snapToGrid/>
        <w:spacing w:beforeAutospacing="0" w:afterAutospacing="0" w:line="600" w:lineRule="exact"/>
        <w:ind w:right="0" w:firstLine="420" w:firstLineChars="200"/>
        <w:rPr>
          <w:color w:val="000000" w:themeColor="text1"/>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MWZiNjYwODg4YjdlN2E3YzQ0MWU5YzViYjVlNDkifQ=="/>
  </w:docVars>
  <w:rsids>
    <w:rsidRoot w:val="004B0230"/>
    <w:rsid w:val="000A26C1"/>
    <w:rsid w:val="001A24E3"/>
    <w:rsid w:val="001B223C"/>
    <w:rsid w:val="004B0230"/>
    <w:rsid w:val="004D46CB"/>
    <w:rsid w:val="005221F6"/>
    <w:rsid w:val="009269A2"/>
    <w:rsid w:val="01323CE1"/>
    <w:rsid w:val="01EE5E5A"/>
    <w:rsid w:val="02014962"/>
    <w:rsid w:val="03B22EB7"/>
    <w:rsid w:val="05500BDA"/>
    <w:rsid w:val="09114AEF"/>
    <w:rsid w:val="09BC73C5"/>
    <w:rsid w:val="0A2E2FBF"/>
    <w:rsid w:val="0E546A35"/>
    <w:rsid w:val="13076D7C"/>
    <w:rsid w:val="14180B15"/>
    <w:rsid w:val="14FE41AE"/>
    <w:rsid w:val="1A577CF2"/>
    <w:rsid w:val="1C695305"/>
    <w:rsid w:val="1EF21936"/>
    <w:rsid w:val="1FBC6ED8"/>
    <w:rsid w:val="20344F28"/>
    <w:rsid w:val="21B8198D"/>
    <w:rsid w:val="23825FEE"/>
    <w:rsid w:val="25E90563"/>
    <w:rsid w:val="26DB4FDA"/>
    <w:rsid w:val="27A464B6"/>
    <w:rsid w:val="28B9421C"/>
    <w:rsid w:val="2A44045E"/>
    <w:rsid w:val="2B2160A9"/>
    <w:rsid w:val="2D0A773C"/>
    <w:rsid w:val="2F2B399A"/>
    <w:rsid w:val="2FDD2EE6"/>
    <w:rsid w:val="304E7940"/>
    <w:rsid w:val="316F4012"/>
    <w:rsid w:val="328E671A"/>
    <w:rsid w:val="32F94B56"/>
    <w:rsid w:val="356419B4"/>
    <w:rsid w:val="3B892174"/>
    <w:rsid w:val="3D0C6BB9"/>
    <w:rsid w:val="3E8310FD"/>
    <w:rsid w:val="40B548A4"/>
    <w:rsid w:val="40C73D37"/>
    <w:rsid w:val="44953938"/>
    <w:rsid w:val="467409E8"/>
    <w:rsid w:val="478D3385"/>
    <w:rsid w:val="495042D1"/>
    <w:rsid w:val="4E0833CC"/>
    <w:rsid w:val="4FA17635"/>
    <w:rsid w:val="50522EE1"/>
    <w:rsid w:val="51051E45"/>
    <w:rsid w:val="517A638F"/>
    <w:rsid w:val="51CB0999"/>
    <w:rsid w:val="5264494A"/>
    <w:rsid w:val="53803A05"/>
    <w:rsid w:val="541845CD"/>
    <w:rsid w:val="54C2786A"/>
    <w:rsid w:val="56F27A24"/>
    <w:rsid w:val="578F1DB9"/>
    <w:rsid w:val="5A4412E8"/>
    <w:rsid w:val="5BE25F7D"/>
    <w:rsid w:val="5C355683"/>
    <w:rsid w:val="5C8B21B7"/>
    <w:rsid w:val="5CCB5CF1"/>
    <w:rsid w:val="5DDB13ED"/>
    <w:rsid w:val="5F776E07"/>
    <w:rsid w:val="623D5E73"/>
    <w:rsid w:val="630261E5"/>
    <w:rsid w:val="6353259C"/>
    <w:rsid w:val="64EE6A20"/>
    <w:rsid w:val="65D57BE0"/>
    <w:rsid w:val="66E77BCB"/>
    <w:rsid w:val="673F25F6"/>
    <w:rsid w:val="6AF02DC7"/>
    <w:rsid w:val="6C2B2308"/>
    <w:rsid w:val="6C621AA2"/>
    <w:rsid w:val="6D747CDF"/>
    <w:rsid w:val="6F4F27B2"/>
    <w:rsid w:val="72200435"/>
    <w:rsid w:val="73D94D40"/>
    <w:rsid w:val="75AB6268"/>
    <w:rsid w:val="785030F6"/>
    <w:rsid w:val="78D1763D"/>
    <w:rsid w:val="7CFB5D27"/>
    <w:rsid w:val="7DE467BB"/>
    <w:rsid w:val="7F4C0ABC"/>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XTC</Company>
  <Pages>9</Pages>
  <Words>1371</Words>
  <Characters>7820</Characters>
  <Lines>65</Lines>
  <Paragraphs>18</Paragraphs>
  <TotalTime>6</TotalTime>
  <ScaleCrop>false</ScaleCrop>
  <LinksUpToDate>false</LinksUpToDate>
  <CharactersWithSpaces>9173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2023-09-11T01:44:00Z</dcterms:created>
  <dc:creator>丰都县城乡建设委员会</dc:creator>
  <cp:lastModifiedBy>qzuser腔调</cp:lastModifiedBy>
  <dcterms:modified xsi:type="dcterms:W3CDTF">2023-09-12T09:32:26Z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96589DC78D424B3680A5C5575E41BD95_13</vt:lpwstr>
  </property>
</Properties>
</file>