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重庆市丰都县住房和城乡建设委员会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2021年度部门决算情况说明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Times New Roman" w:hAnsi="Times New Roman" w:eastAsia="方正仿宋_GBK" w:cs="Times New Roman"/>
          <w:sz w:val="32"/>
          <w:szCs w:val="32"/>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rPr>
        <w:t>一、部门基本情况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eastAsia" w:ascii="方正楷体_GBK" w:hAnsi="方正楷体_GBK" w:eastAsia="方正楷体_GBK" w:cs="方正楷体_GBK"/>
          <w:b w:val="0"/>
          <w:bCs w:val="0"/>
          <w:sz w:val="32"/>
          <w:szCs w:val="32"/>
        </w:rPr>
        <w:t>（一）职能职责。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丰都县住房和城乡建设委员会是县政府工作部门，为正科级，挂丰都县人民防空办公室牌子。主要职能职责：</w:t>
      </w:r>
      <w:r>
        <w:rPr>
          <w:rFonts w:hint="default" w:ascii="Times New Roman" w:hAnsi="Times New Roman" w:eastAsia="方正仿宋_GBK" w:cs="Times New Roman"/>
          <w:sz w:val="32"/>
          <w:szCs w:val="32"/>
        </w:rPr>
        <w:t>1.负责推进住房和城乡建设事业改革发展。2.负责住房和城乡建设财政性资金的监督管理。负责城市建设配套费征收和管理。3.负责房地产行业的监督管理。4.负责建筑行业的监督管理。5.负责勘察设计行业的监督管理。6.负责住房保障工作。7.统筹推进城市基础设施建设工作。8.负责城市轨道交通建设管理。9.负责统筹推进城市提升工作。10.统筹城市人居环境改善工作。11.负责城镇排水与污水处理的监督管理。指导乡镇污水处理管理工作</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12.负责推进城市修补和有机更新。13.指导村镇建设。14.负责建设科技推广应用。15.负责绿色建筑与建筑节能管理。16.负责建设工程消防设计审查验收相关工作。17.负责住房城乡建设领域行政执法，具体交由相关行政执法队伍承担，并以部门名义统一执法。18.负责住房和城建档案管理，指导行业人才队伍建设，承担建筑工程专业技术资格管理工作。19.承担人民防空工程建设管理的责任。20.负责机关、所属事业单位和行业社会组织的党建、安全监管、信访稳定、住房和城乡建设扶贫工作。21.完成县委、县政府交办的其他任务。22.</w:t>
      </w:r>
      <w:r>
        <w:rPr>
          <w:rFonts w:hint="default" w:ascii="Times New Roman" w:hAnsi="Times New Roman" w:eastAsia="方正仿宋_GBK" w:cs="Times New Roman"/>
          <w:sz w:val="32"/>
          <w:szCs w:val="32"/>
        </w:rPr>
        <w:t>有关职责分工。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default" w:ascii="方正楷体_GBK" w:hAnsi="方正楷体_GBK" w:eastAsia="方正楷体_GBK" w:cs="方正楷体_GBK"/>
          <w:b w:val="0"/>
          <w:bCs w:val="0"/>
          <w:sz w:val="32"/>
          <w:szCs w:val="32"/>
        </w:rPr>
        <w:t>（二）机构设置。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丰都县住房和城乡建设委员会内设8个职能科室：即办公室、法规与安全科、设计与绿色发展科（消防科）、建筑业管理科（行政审批服务科）、市政工程科（人防科）、村镇建设科、房地产管理科、住房管理科。共5个直属单位，分别是建设工程质量服务中心、建设工程安全生产监督管理站、民防指挥信息保障中心、公共房屋保障中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default" w:ascii="方正楷体_GBK" w:hAnsi="方正楷体_GBK" w:eastAsia="方正楷体_GBK" w:cs="方正楷体_GBK"/>
          <w:b w:val="0"/>
          <w:bCs w:val="0"/>
          <w:sz w:val="32"/>
          <w:szCs w:val="32"/>
        </w:rPr>
        <w:t>（三）单位构成。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预算单位构成看，纳入本部门2021年度决算编制的二级预算单位主要包括：丰都县住房和城乡建设委员会（本级）、丰都县建设工程质量服务中心、丰都县建设工程安全生产监督管理站、丰都县民防指挥信息保障中心、丰都县公共房屋保障中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rPr>
        <w:t>二、部门决算情况说明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sz w:val="32"/>
          <w:szCs w:val="32"/>
        </w:rPr>
        <w:t> </w:t>
      </w:r>
      <w:r>
        <w:rPr>
          <w:rStyle w:val="5"/>
          <w:rFonts w:hint="eastAsia" w:ascii="Times New Roman" w:hAnsi="Times New Roman" w:eastAsia="方正仿宋_GBK" w:cs="Times New Roman"/>
          <w:sz w:val="32"/>
          <w:szCs w:val="32"/>
          <w:lang w:val="en-US" w:eastAsia="zh-CN"/>
        </w:rPr>
        <w:t xml:space="preserve">   </w:t>
      </w:r>
      <w:r>
        <w:rPr>
          <w:rStyle w:val="5"/>
          <w:rFonts w:hint="default" w:ascii="Times New Roman" w:hAnsi="Times New Roman" w:eastAsia="方正仿宋_GBK" w:cs="Times New Roman"/>
          <w:sz w:val="32"/>
          <w:szCs w:val="32"/>
        </w:rPr>
        <w:t xml:space="preserve"> </w:t>
      </w:r>
      <w:r>
        <w:rPr>
          <w:rStyle w:val="5"/>
          <w:rFonts w:hint="eastAsia" w:ascii="方正楷体_GBK" w:hAnsi="方正楷体_GBK" w:eastAsia="方正楷体_GBK" w:cs="方正楷体_GBK"/>
          <w:b w:val="0"/>
          <w:bCs w:val="0"/>
          <w:sz w:val="32"/>
          <w:szCs w:val="32"/>
        </w:rPr>
        <w:t>（一）收入支出决算总体情况说明。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Style w:val="5"/>
          <w:rFonts w:hint="default" w:ascii="Times New Roman" w:hAnsi="Times New Roman" w:eastAsia="方正仿宋_GBK" w:cs="Times New Roman"/>
          <w:color w:val="auto"/>
          <w:sz w:val="32"/>
          <w:szCs w:val="32"/>
        </w:rPr>
        <w:t>1.总体情况。</w:t>
      </w:r>
      <w:r>
        <w:rPr>
          <w:rFonts w:hint="default" w:ascii="Times New Roman" w:hAnsi="Times New Roman" w:eastAsia="方正仿宋_GBK" w:cs="Times New Roman"/>
          <w:color w:val="auto"/>
          <w:sz w:val="32"/>
          <w:szCs w:val="32"/>
        </w:rPr>
        <w:t>2021年度收入总计17,048.16万元，支出总计17,048.16万元。收支较上年决算数增加1,843.69万元、增长12.1%，主要原因是</w:t>
      </w:r>
      <w:r>
        <w:rPr>
          <w:rFonts w:hint="default" w:ascii="Times New Roman" w:hAnsi="Times New Roman" w:eastAsia="方正仿宋_GBK" w:cs="Times New Roman"/>
          <w:color w:val="auto"/>
          <w:sz w:val="32"/>
          <w:szCs w:val="32"/>
          <w:highlight w:val="none"/>
        </w:rPr>
        <w:t>项目增加，人员职级晋升，住房公积金调基等</w:t>
      </w:r>
      <w:r>
        <w:rPr>
          <w:rFonts w:hint="default" w:ascii="Times New Roman" w:hAnsi="Times New Roman" w:eastAsia="方正仿宋_GBK" w:cs="Times New Roman"/>
          <w:color w:val="auto"/>
          <w:sz w:val="32"/>
          <w:szCs w:val="32"/>
          <w:highlight w:val="none"/>
          <w:lang w:eastAsia="zh-CN"/>
        </w:rPr>
        <w:t>导致</w:t>
      </w:r>
      <w:r>
        <w:rPr>
          <w:rFonts w:hint="default" w:ascii="Times New Roman" w:hAnsi="Times New Roman" w:eastAsia="方正仿宋_GBK" w:cs="Times New Roman"/>
          <w:color w:val="auto"/>
          <w:sz w:val="32"/>
          <w:szCs w:val="32"/>
          <w:highlight w:val="none"/>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Style w:val="5"/>
          <w:rFonts w:hint="default" w:ascii="Times New Roman" w:hAnsi="Times New Roman" w:eastAsia="方正仿宋_GBK" w:cs="Times New Roman"/>
          <w:color w:val="auto"/>
          <w:sz w:val="32"/>
          <w:szCs w:val="32"/>
        </w:rPr>
        <w:t>2.收入情况。</w:t>
      </w:r>
      <w:r>
        <w:rPr>
          <w:rFonts w:hint="default" w:ascii="Times New Roman" w:hAnsi="Times New Roman" w:eastAsia="方正仿宋_GBK" w:cs="Times New Roman"/>
          <w:color w:val="auto"/>
          <w:sz w:val="32"/>
          <w:szCs w:val="32"/>
        </w:rPr>
        <w:t>2021年度收入合计10,425.52万元，较上年决算数减少4,772.25万元，下降31.4%，主要原因是</w:t>
      </w:r>
      <w:r>
        <w:rPr>
          <w:rFonts w:hint="default" w:ascii="Times New Roman" w:hAnsi="Times New Roman" w:eastAsia="方正仿宋_GBK" w:cs="Times New Roman"/>
          <w:color w:val="auto"/>
          <w:sz w:val="32"/>
          <w:szCs w:val="32"/>
        </w:rPr>
        <w:t>年初调整结转结余，严控公务支出导致。</w:t>
      </w:r>
      <w:r>
        <w:rPr>
          <w:rFonts w:hint="default" w:ascii="Times New Roman" w:hAnsi="Times New Roman" w:eastAsia="方正仿宋_GBK" w:cs="Times New Roman"/>
          <w:color w:val="auto"/>
          <w:sz w:val="32"/>
          <w:szCs w:val="32"/>
        </w:rPr>
        <w:t>其中：财政拨款收入10,425.52万元，占100%。此外，使用非财政拨款结余0.00万元，年初结转和结余6,622.64万元。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Style w:val="5"/>
          <w:rFonts w:hint="default" w:ascii="Times New Roman" w:hAnsi="Times New Roman" w:eastAsia="方正仿宋_GBK" w:cs="Times New Roman"/>
          <w:color w:val="auto"/>
          <w:sz w:val="32"/>
          <w:szCs w:val="32"/>
        </w:rPr>
        <w:t>3.支出情况。</w:t>
      </w:r>
      <w:r>
        <w:rPr>
          <w:rFonts w:hint="default" w:ascii="Times New Roman" w:hAnsi="Times New Roman" w:eastAsia="方正仿宋_GBK" w:cs="Times New Roman"/>
          <w:color w:val="auto"/>
          <w:sz w:val="32"/>
          <w:szCs w:val="32"/>
        </w:rPr>
        <w:t>2021年度支出合计17,048.16万元，较上年决算数增加1,843.85万元，增长12.1%，主要原因是</w:t>
      </w:r>
      <w:r>
        <w:rPr>
          <w:rFonts w:hint="default" w:ascii="Times New Roman" w:hAnsi="Times New Roman" w:eastAsia="方正仿宋_GBK" w:cs="Times New Roman"/>
          <w:color w:val="auto"/>
          <w:sz w:val="32"/>
          <w:szCs w:val="32"/>
        </w:rPr>
        <w:t>项目</w:t>
      </w:r>
      <w:r>
        <w:rPr>
          <w:rFonts w:hint="default" w:ascii="Times New Roman" w:hAnsi="Times New Roman" w:eastAsia="方正仿宋_GBK" w:cs="Times New Roman"/>
          <w:color w:val="auto"/>
          <w:sz w:val="32"/>
          <w:szCs w:val="32"/>
          <w:lang w:eastAsia="zh-CN"/>
        </w:rPr>
        <w:t>支出</w:t>
      </w:r>
      <w:r>
        <w:rPr>
          <w:rFonts w:hint="default" w:ascii="Times New Roman" w:hAnsi="Times New Roman" w:eastAsia="方正仿宋_GBK" w:cs="Times New Roman"/>
          <w:color w:val="auto"/>
          <w:sz w:val="32"/>
          <w:szCs w:val="32"/>
        </w:rPr>
        <w:t>增加，人员职级晋升，住房公积金调基等</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其中：基本支出1,652.21万元，占9.7%；项目支出15,395.95万元，占90.3%。此外，结余分配0.00万元。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Style w:val="5"/>
          <w:rFonts w:hint="default" w:ascii="Times New Roman" w:hAnsi="Times New Roman" w:eastAsia="方正仿宋_GBK" w:cs="Times New Roman"/>
          <w:color w:val="auto"/>
          <w:sz w:val="32"/>
          <w:szCs w:val="32"/>
        </w:rPr>
        <w:t>4.结转结余情况。</w:t>
      </w:r>
      <w:r>
        <w:rPr>
          <w:rFonts w:hint="default" w:ascii="Times New Roman" w:hAnsi="Times New Roman" w:eastAsia="方正仿宋_GBK" w:cs="Times New Roman"/>
          <w:color w:val="auto"/>
          <w:sz w:val="32"/>
          <w:szCs w:val="32"/>
        </w:rPr>
        <w:t>2021年度年末结转和结余0.00万元，较上年决算数减少0.16万元，下降100%，主要原因是</w:t>
      </w:r>
      <w:r>
        <w:rPr>
          <w:rFonts w:hint="default" w:ascii="Times New Roman" w:hAnsi="Times New Roman" w:eastAsia="方正仿宋_GBK" w:cs="Times New Roman"/>
          <w:color w:val="auto"/>
          <w:sz w:val="32"/>
          <w:szCs w:val="32"/>
        </w:rPr>
        <w:t>今年没有结转结余产生。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color w:val="auto"/>
          <w:sz w:val="32"/>
          <w:szCs w:val="32"/>
        </w:rPr>
        <w:t xml:space="preserve">  </w:t>
      </w:r>
      <w:r>
        <w:rPr>
          <w:rStyle w:val="5"/>
          <w:rFonts w:hint="eastAsia" w:ascii="Times New Roman" w:hAnsi="Times New Roman" w:eastAsia="方正仿宋_GBK" w:cs="Times New Roman"/>
          <w:color w:val="auto"/>
          <w:sz w:val="32"/>
          <w:szCs w:val="32"/>
          <w:lang w:val="en-US" w:eastAsia="zh-CN"/>
        </w:rPr>
        <w:t xml:space="preserve">    </w:t>
      </w:r>
      <w:r>
        <w:rPr>
          <w:rStyle w:val="5"/>
          <w:rFonts w:hint="default" w:ascii="方正楷体_GBK" w:hAnsi="方正楷体_GBK" w:eastAsia="方正楷体_GBK" w:cs="方正楷体_GBK"/>
          <w:b w:val="0"/>
          <w:bCs w:val="0"/>
          <w:sz w:val="32"/>
          <w:szCs w:val="32"/>
        </w:rPr>
        <w:t>（二）财政拨款收入支出决算总体情况说明。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2021年度财政拨款收、支总计17,048.16万元。与2020年相比，财政拨款收、支总计各增加1,843.70万元，增长12.1%。主要原因是</w:t>
      </w:r>
      <w:r>
        <w:rPr>
          <w:rFonts w:hint="default" w:ascii="Times New Roman" w:hAnsi="Times New Roman" w:eastAsia="方正仿宋_GBK" w:cs="Times New Roman"/>
          <w:color w:val="auto"/>
          <w:sz w:val="32"/>
          <w:szCs w:val="32"/>
          <w:highlight w:val="none"/>
        </w:rPr>
        <w:t>项目增加，人员职级晋升，住房公积金调基等</w:t>
      </w:r>
      <w:r>
        <w:rPr>
          <w:rFonts w:hint="default" w:ascii="Times New Roman" w:hAnsi="Times New Roman" w:eastAsia="方正仿宋_GBK" w:cs="Times New Roman"/>
          <w:color w:val="auto"/>
          <w:sz w:val="32"/>
          <w:szCs w:val="32"/>
          <w:highlight w:val="none"/>
          <w:lang w:eastAsia="zh-CN"/>
        </w:rPr>
        <w:t>导致</w:t>
      </w:r>
      <w:r>
        <w:rPr>
          <w:rFonts w:hint="default" w:ascii="Times New Roman" w:hAnsi="Times New Roman" w:eastAsia="方正仿宋_GBK" w:cs="Times New Roman"/>
          <w:color w:val="auto"/>
          <w:sz w:val="32"/>
          <w:szCs w:val="32"/>
          <w:highlight w:val="none"/>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color w:val="auto"/>
          <w:sz w:val="32"/>
          <w:szCs w:val="32"/>
        </w:rPr>
      </w:pPr>
      <w:r>
        <w:rPr>
          <w:rStyle w:val="5"/>
          <w:rFonts w:hint="default" w:ascii="Times New Roman" w:hAnsi="Times New Roman" w:eastAsia="方正仿宋_GBK" w:cs="Times New Roman"/>
          <w:color w:val="auto"/>
          <w:sz w:val="32"/>
          <w:szCs w:val="32"/>
        </w:rPr>
        <w:t xml:space="preserve">  </w:t>
      </w:r>
      <w:r>
        <w:rPr>
          <w:rStyle w:val="5"/>
          <w:rFonts w:hint="eastAsia" w:ascii="Times New Roman" w:hAnsi="Times New Roman" w:eastAsia="方正仿宋_GBK" w:cs="Times New Roman"/>
          <w:color w:val="auto"/>
          <w:sz w:val="32"/>
          <w:szCs w:val="32"/>
          <w:lang w:val="en-US" w:eastAsia="zh-CN"/>
        </w:rPr>
        <w:t xml:space="preserve">    </w:t>
      </w:r>
      <w:r>
        <w:rPr>
          <w:rStyle w:val="5"/>
          <w:rFonts w:hint="default" w:ascii="方正楷体_GBK" w:hAnsi="方正楷体_GBK" w:eastAsia="方正楷体_GBK" w:cs="方正楷体_GBK"/>
          <w:b w:val="0"/>
          <w:bCs w:val="0"/>
          <w:sz w:val="32"/>
          <w:szCs w:val="32"/>
        </w:rPr>
        <w:t>（三）一般公共预算财政拨款收入支出决算情况说明。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color w:val="auto"/>
          <w:sz w:val="32"/>
          <w:szCs w:val="32"/>
        </w:rPr>
      </w:pPr>
      <w:r>
        <w:rPr>
          <w:rStyle w:val="5"/>
          <w:rFonts w:hint="default" w:ascii="Times New Roman" w:hAnsi="Times New Roman" w:eastAsia="方正仿宋_GBK" w:cs="Times New Roman"/>
          <w:color w:val="auto"/>
          <w:sz w:val="32"/>
          <w:szCs w:val="32"/>
        </w:rPr>
        <w:t>1.收入情况。</w:t>
      </w:r>
      <w:r>
        <w:rPr>
          <w:rFonts w:hint="default" w:ascii="Times New Roman" w:hAnsi="Times New Roman" w:eastAsia="方正仿宋_GBK" w:cs="Times New Roman"/>
          <w:color w:val="auto"/>
          <w:sz w:val="32"/>
          <w:szCs w:val="32"/>
        </w:rPr>
        <w:t>2021年度一般公共预算财政拨款收入10,092.32万元，较上年决算数减少4,753.36万元，下降32%。主要原因是</w:t>
      </w:r>
      <w:r>
        <w:rPr>
          <w:rFonts w:hint="default" w:ascii="Times New Roman" w:hAnsi="Times New Roman" w:eastAsia="方正仿宋_GBK" w:cs="Times New Roman"/>
          <w:color w:val="auto"/>
          <w:sz w:val="32"/>
          <w:szCs w:val="32"/>
          <w:lang w:eastAsia="zh-CN"/>
        </w:rPr>
        <w:t>年初调整结转结余和严控公务支出。</w:t>
      </w:r>
      <w:r>
        <w:rPr>
          <w:rFonts w:hint="default" w:ascii="Times New Roman" w:hAnsi="Times New Roman" w:eastAsia="方正仿宋_GBK" w:cs="Times New Roman"/>
          <w:color w:val="auto"/>
          <w:sz w:val="32"/>
          <w:szCs w:val="32"/>
        </w:rPr>
        <w:t>较年初预算数减少3,133.93万元，下降23.7%。主要原因是</w:t>
      </w:r>
      <w:r>
        <w:rPr>
          <w:rFonts w:hint="default" w:ascii="Times New Roman" w:hAnsi="Times New Roman" w:eastAsia="方正仿宋_GBK" w:cs="Times New Roman"/>
          <w:color w:val="auto"/>
          <w:sz w:val="32"/>
          <w:szCs w:val="32"/>
          <w:lang w:eastAsia="zh-CN"/>
        </w:rPr>
        <w:t>年初调整结转结余和严控公务支出。</w:t>
      </w:r>
      <w:r>
        <w:rPr>
          <w:rFonts w:hint="default" w:ascii="Times New Roman" w:hAnsi="Times New Roman" w:eastAsia="方正仿宋_GBK" w:cs="Times New Roman"/>
          <w:color w:val="auto"/>
          <w:sz w:val="32"/>
          <w:szCs w:val="32"/>
        </w:rPr>
        <w:t>此外，年初财政拨款结转和结余6,622.64万元。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sz w:val="32"/>
          <w:szCs w:val="32"/>
        </w:rPr>
        <w:t>2.支出情况。</w:t>
      </w:r>
      <w:r>
        <w:rPr>
          <w:rFonts w:hint="default" w:ascii="Times New Roman" w:hAnsi="Times New Roman" w:eastAsia="方正仿宋_GBK" w:cs="Times New Roman"/>
          <w:sz w:val="32"/>
          <w:szCs w:val="32"/>
        </w:rPr>
        <w:t>2021年度一般公共预算财政拨款支出16,714.96万元，较上年决算数增加1,862.75万元，增长12.5%。主要原因是</w:t>
      </w:r>
      <w:r>
        <w:rPr>
          <w:rFonts w:hint="default" w:ascii="Times New Roman" w:hAnsi="Times New Roman" w:eastAsia="方正仿宋_GBK" w:cs="Times New Roman"/>
          <w:color w:val="auto"/>
          <w:sz w:val="32"/>
          <w:szCs w:val="32"/>
          <w:lang w:eastAsia="zh-CN"/>
        </w:rPr>
        <w:t>年初调整结转结余和严控公务支出</w:t>
      </w:r>
      <w:r>
        <w:rPr>
          <w:rFonts w:hint="default" w:ascii="Times New Roman" w:hAnsi="Times New Roman" w:eastAsia="方正仿宋_GBK" w:cs="Times New Roman"/>
          <w:color w:val="auto"/>
          <w:sz w:val="32"/>
          <w:szCs w:val="32"/>
        </w:rPr>
        <w:t>。较年初预算数增加3,488.71万元，增长26.4%。主要原因是</w:t>
      </w:r>
      <w:r>
        <w:rPr>
          <w:rFonts w:hint="default" w:ascii="Times New Roman" w:hAnsi="Times New Roman" w:eastAsia="方正仿宋_GBK" w:cs="Times New Roman"/>
          <w:color w:val="auto"/>
          <w:sz w:val="32"/>
          <w:szCs w:val="32"/>
          <w:lang w:eastAsia="zh-CN"/>
        </w:rPr>
        <w:t>年中新增预算项目支出。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sz w:val="32"/>
          <w:szCs w:val="32"/>
        </w:rPr>
        <w:t>3.结转结余情况。</w:t>
      </w:r>
      <w:r>
        <w:rPr>
          <w:rFonts w:hint="default" w:ascii="Times New Roman" w:hAnsi="Times New Roman" w:eastAsia="方正仿宋_GBK" w:cs="Times New Roman"/>
          <w:sz w:val="32"/>
          <w:szCs w:val="32"/>
        </w:rPr>
        <w:t>2021年度年末一般公共预算财政拨款结转和结余0.00万元，较上年决算数减少0.16万元，下降100%，主要原因是</w:t>
      </w:r>
      <w:r>
        <w:rPr>
          <w:rFonts w:hint="default" w:ascii="Times New Roman" w:hAnsi="Times New Roman" w:eastAsia="方正仿宋_GBK" w:cs="Times New Roman"/>
          <w:color w:val="auto"/>
          <w:sz w:val="32"/>
          <w:szCs w:val="32"/>
        </w:rPr>
        <w:t>今年未有结转结余资金。</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sz w:val="32"/>
          <w:szCs w:val="32"/>
        </w:rPr>
        <w:t>4.比较情况。</w:t>
      </w:r>
      <w:r>
        <w:rPr>
          <w:rFonts w:hint="default" w:ascii="Times New Roman" w:hAnsi="Times New Roman" w:eastAsia="方正仿宋_GBK" w:cs="Times New Roman"/>
          <w:sz w:val="32"/>
          <w:szCs w:val="32"/>
        </w:rPr>
        <w:t>本部门2021年度一般公共预算财政拨款支出主要用于以下几个方面：</w:t>
      </w:r>
      <w:r>
        <w:rPr>
          <w:rFonts w:hint="default" w:ascii="Times New Roman" w:hAnsi="Times New Roman" w:eastAsia="方正仿宋_GBK" w:cs="Times New Roman"/>
          <w:sz w:val="32"/>
          <w:szCs w:val="32"/>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（1）一般公共服务支出1,828.70万元，占10.9%，较年初预算数增加1,828.70万元，增长%，主要原因</w:t>
      </w:r>
      <w:r>
        <w:rPr>
          <w:rFonts w:hint="default" w:ascii="Times New Roman" w:hAnsi="Times New Roman" w:eastAsia="方正仿宋_GBK" w:cs="Times New Roman"/>
          <w:color w:val="auto"/>
          <w:sz w:val="32"/>
          <w:szCs w:val="32"/>
        </w:rPr>
        <w:t>是</w:t>
      </w:r>
      <w:r>
        <w:rPr>
          <w:rFonts w:hint="default" w:ascii="Times New Roman" w:hAnsi="Times New Roman" w:eastAsia="方正仿宋_GBK" w:cs="Times New Roman"/>
          <w:color w:val="auto"/>
          <w:sz w:val="32"/>
          <w:szCs w:val="32"/>
        </w:rPr>
        <w:t>“招商引资优惠政策兑现”、“原建材公司职工安置费用专用信访疑难资金”项目资金支出增加。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rPr>
        <w:t>）社会保障与就业支出334.77万元，占2%，较年初预算数增加77.83万元，增长30.3%，主要原因是</w:t>
      </w:r>
      <w:r>
        <w:rPr>
          <w:rFonts w:hint="default" w:ascii="Times New Roman" w:hAnsi="Times New Roman" w:eastAsia="方正仿宋_GBK" w:cs="Times New Roman"/>
          <w:sz w:val="32"/>
          <w:szCs w:val="32"/>
          <w:lang w:eastAsia="zh-CN"/>
        </w:rPr>
        <w:t>行政事业单位养老支出的增加及抚恤金的增加。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rPr>
        <w:t>）卫生健康支出93.45万元，占0.6%，较年初预算数减少2.53万元，下降2.6%，主要原因是</w:t>
      </w:r>
      <w:r>
        <w:rPr>
          <w:rFonts w:hint="default" w:ascii="Times New Roman" w:hAnsi="Times New Roman" w:eastAsia="方正仿宋_GBK" w:cs="Times New Roman"/>
          <w:sz w:val="32"/>
          <w:szCs w:val="32"/>
        </w:rPr>
        <w:t>行政事业单位医疗</w:t>
      </w:r>
      <w:r>
        <w:rPr>
          <w:rFonts w:hint="default" w:ascii="Times New Roman" w:hAnsi="Times New Roman" w:eastAsia="方正仿宋_GBK" w:cs="Times New Roman"/>
          <w:sz w:val="32"/>
          <w:szCs w:val="32"/>
          <w:lang w:eastAsia="zh-CN"/>
        </w:rPr>
        <w:t>支出增加</w:t>
      </w:r>
      <w:r>
        <w:rPr>
          <w:rFonts w:hint="default" w:ascii="Times New Roman" w:hAnsi="Times New Roman" w:eastAsia="方正仿宋_GBK" w:cs="Times New Roman"/>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rPr>
        <w:t>）节能环保支出3,739.35万元，占22.4%，较年初预算数增加1,676.35万元，增长81.3%，主要原因</w:t>
      </w:r>
      <w:r>
        <w:rPr>
          <w:rFonts w:hint="default" w:ascii="Times New Roman" w:hAnsi="Times New Roman" w:eastAsia="方正仿宋_GBK" w:cs="Times New Roman"/>
          <w:sz w:val="32"/>
          <w:szCs w:val="32"/>
          <w:lang w:eastAsia="zh-CN"/>
        </w:rPr>
        <w:t>是</w:t>
      </w:r>
      <w:r>
        <w:rPr>
          <w:rFonts w:hint="default" w:ascii="Times New Roman" w:hAnsi="Times New Roman" w:eastAsia="方正仿宋_GBK" w:cs="Times New Roman"/>
          <w:color w:val="auto"/>
          <w:sz w:val="32"/>
          <w:szCs w:val="32"/>
          <w:highlight w:val="none"/>
        </w:rPr>
        <w:t>专项转移支付存量结转</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收回一般性转移支付收入指标再安排</w:t>
      </w:r>
      <w:r>
        <w:rPr>
          <w:rFonts w:hint="default" w:ascii="Times New Roman" w:hAnsi="Times New Roman" w:eastAsia="方正仿宋_GBK" w:cs="Times New Roman"/>
          <w:color w:val="auto"/>
          <w:sz w:val="32"/>
          <w:szCs w:val="32"/>
          <w:highlight w:val="none"/>
          <w:lang w:eastAsia="zh-CN"/>
        </w:rPr>
        <w:t>和新增预算支出。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5</w:t>
      </w:r>
      <w:r>
        <w:rPr>
          <w:rFonts w:hint="default" w:ascii="Times New Roman" w:hAnsi="Times New Roman" w:eastAsia="方正仿宋_GBK" w:cs="Times New Roman"/>
          <w:sz w:val="32"/>
          <w:szCs w:val="32"/>
        </w:rPr>
        <w:t>）城乡社区支出8,230.03万元，占49.2%，较年初预算数增加6,736.25万元，增长450.95%，主要原因是</w:t>
      </w:r>
      <w:r>
        <w:rPr>
          <w:rFonts w:hint="default" w:ascii="Times New Roman" w:hAnsi="Times New Roman" w:eastAsia="方正仿宋_GBK" w:cs="Times New Roman"/>
          <w:color w:val="auto"/>
          <w:sz w:val="32"/>
          <w:szCs w:val="32"/>
          <w:highlight w:val="none"/>
        </w:rPr>
        <w:t>政府性基金转移支付存量结转</w:t>
      </w:r>
      <w:r>
        <w:rPr>
          <w:rFonts w:hint="default" w:ascii="Times New Roman" w:hAnsi="Times New Roman" w:eastAsia="方正仿宋_GBK" w:cs="Times New Roman"/>
          <w:color w:val="auto"/>
          <w:sz w:val="32"/>
          <w:szCs w:val="32"/>
          <w:highlight w:val="none"/>
          <w:lang w:eastAsia="zh-CN"/>
        </w:rPr>
        <w:t>、专项转移支付存量结转、年中新增预算支出、一般性转移支付收入、政府性基金转移支付收入等</w:t>
      </w:r>
      <w:r>
        <w:rPr>
          <w:rFonts w:hint="default" w:ascii="Times New Roman" w:hAnsi="Times New Roman" w:eastAsia="方正仿宋_GBK" w:cs="Times New Roman"/>
          <w:color w:val="auto"/>
          <w:sz w:val="32"/>
          <w:szCs w:val="32"/>
          <w:highlight w:val="none"/>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6</w:t>
      </w:r>
      <w:r>
        <w:rPr>
          <w:rFonts w:hint="default" w:ascii="Times New Roman" w:hAnsi="Times New Roman" w:eastAsia="方正仿宋_GBK" w:cs="Times New Roman"/>
          <w:sz w:val="32"/>
          <w:szCs w:val="32"/>
        </w:rPr>
        <w:t>）自然资源海洋气象等支出44.30万元，占0.3%，较年初预算数增加44.30万元，增长</w:t>
      </w:r>
      <w:r>
        <w:rPr>
          <w:rFonts w:hint="default" w:ascii="Times New Roman" w:hAnsi="Times New Roman" w:eastAsia="方正仿宋_GBK" w:cs="Times New Roman"/>
          <w:sz w:val="32"/>
          <w:szCs w:val="32"/>
          <w:lang w:val="en-US" w:eastAsia="zh-CN"/>
        </w:rPr>
        <w:t>100</w:t>
      </w:r>
      <w:r>
        <w:rPr>
          <w:rFonts w:hint="default" w:ascii="Times New Roman" w:hAnsi="Times New Roman" w:eastAsia="方正仿宋_GBK" w:cs="Times New Roman"/>
          <w:sz w:val="32"/>
          <w:szCs w:val="32"/>
        </w:rPr>
        <w:t>%，主要原因是</w:t>
      </w:r>
      <w:r>
        <w:rPr>
          <w:rFonts w:hint="default" w:ascii="Times New Roman" w:hAnsi="Times New Roman" w:eastAsia="方正仿宋_GBK" w:cs="Times New Roman"/>
          <w:color w:val="auto"/>
          <w:sz w:val="32"/>
          <w:szCs w:val="32"/>
        </w:rPr>
        <w:t>年中新增财力预算。</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7</w:t>
      </w:r>
      <w:r>
        <w:rPr>
          <w:rFonts w:hint="default" w:ascii="Times New Roman" w:hAnsi="Times New Roman" w:eastAsia="方正仿宋_GBK" w:cs="Times New Roman"/>
          <w:sz w:val="32"/>
          <w:szCs w:val="32"/>
        </w:rPr>
        <w:t>）住房保障支出2,444.36万元，占14.6%，较年初预算数减少6,872.19万元，下降73.8%，</w:t>
      </w:r>
      <w:r>
        <w:rPr>
          <w:rFonts w:hint="default" w:ascii="Times New Roman" w:hAnsi="Times New Roman" w:eastAsia="方正仿宋_GBK" w:cs="Times New Roman"/>
          <w:color w:val="auto"/>
          <w:sz w:val="32"/>
          <w:szCs w:val="32"/>
        </w:rPr>
        <w:t>主要原因是“棚户区改造”、“农村危房改造”等项目资金减少。</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楷体_GBK" w:hAnsi="方正楷体_GBK" w:eastAsia="方正楷体_GBK" w:cs="方正楷体_GBK"/>
          <w:b w:val="0"/>
          <w:bCs w:val="0"/>
          <w:sz w:val="32"/>
          <w:szCs w:val="32"/>
        </w:rPr>
      </w:pPr>
      <w:r>
        <w:rPr>
          <w:rFonts w:hint="default" w:ascii="Times New Roman" w:hAnsi="Times New Roman" w:eastAsia="方正仿宋_GBK" w:cs="Times New Roman"/>
          <w:sz w:val="32"/>
          <w:szCs w:val="32"/>
        </w:rPr>
        <w:t> </w:t>
      </w: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eastAsia" w:ascii="方正楷体_GBK" w:hAnsi="方正楷体_GBK" w:eastAsia="方正楷体_GBK" w:cs="方正楷体_GBK"/>
          <w:b w:val="0"/>
          <w:bCs w:val="0"/>
          <w:sz w:val="32"/>
          <w:szCs w:val="32"/>
        </w:rPr>
        <w:t>（四）一般公共预算财政拨款基本支出决算情况说明。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2021年度一般公共财政拨款基本支出1,652.21万元。其中：人员经费1,472.39万元，较上年决算数增加85.38万元，增长6.2%，主要原因是</w:t>
      </w:r>
      <w:r>
        <w:rPr>
          <w:rFonts w:hint="default" w:ascii="Times New Roman" w:hAnsi="Times New Roman" w:eastAsia="方正仿宋_GBK" w:cs="Times New Roman"/>
          <w:color w:val="auto"/>
          <w:sz w:val="32"/>
          <w:szCs w:val="32"/>
          <w:lang w:eastAsia="zh-CN"/>
        </w:rPr>
        <w:t>人员职级晋升和住房公积金调基。</w:t>
      </w:r>
      <w:r>
        <w:rPr>
          <w:rFonts w:hint="default" w:ascii="Times New Roman" w:hAnsi="Times New Roman" w:eastAsia="方正仿宋_GBK" w:cs="Times New Roman"/>
          <w:sz w:val="32"/>
          <w:szCs w:val="32"/>
        </w:rPr>
        <w:t>人员经费用途主要包括</w:t>
      </w:r>
      <w:r>
        <w:rPr>
          <w:rFonts w:hint="default" w:ascii="Times New Roman" w:hAnsi="Times New Roman" w:eastAsia="方正仿宋_GBK" w:cs="Times New Roman"/>
          <w:sz w:val="32"/>
          <w:szCs w:val="32"/>
        </w:rPr>
        <w:t>基本工资、津贴补贴、奖金、社会保障缴费等支出。</w:t>
      </w:r>
      <w:r>
        <w:rPr>
          <w:rFonts w:hint="default" w:ascii="Times New Roman" w:hAnsi="Times New Roman" w:eastAsia="方正仿宋_GBK" w:cs="Times New Roman"/>
          <w:sz w:val="32"/>
          <w:szCs w:val="32"/>
        </w:rPr>
        <w:t>公用经费179.82万元，较上年决算数减少35.88万元，下降16.6%，主要原因是</w:t>
      </w:r>
      <w:r>
        <w:rPr>
          <w:rFonts w:hint="default" w:ascii="Times New Roman" w:hAnsi="Times New Roman" w:eastAsia="方正仿宋_GBK" w:cs="Times New Roman"/>
          <w:sz w:val="32"/>
          <w:szCs w:val="32"/>
        </w:rPr>
        <w:t>人员公用经费减少。</w:t>
      </w:r>
      <w:r>
        <w:rPr>
          <w:rFonts w:hint="default" w:ascii="Times New Roman" w:hAnsi="Times New Roman" w:eastAsia="方正仿宋_GBK" w:cs="Times New Roman"/>
          <w:sz w:val="32"/>
          <w:szCs w:val="32"/>
        </w:rPr>
        <w:t>公用经费用途主要包括</w:t>
      </w:r>
      <w:r>
        <w:rPr>
          <w:rFonts w:hint="default" w:ascii="Times New Roman" w:hAnsi="Times New Roman" w:eastAsia="方正仿宋_GBK" w:cs="Times New Roman"/>
          <w:sz w:val="32"/>
          <w:szCs w:val="32"/>
        </w:rPr>
        <w:t>办公费、邮电费、手续费等支出。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eastAsia" w:ascii="方正楷体_GBK" w:hAnsi="方正楷体_GBK" w:eastAsia="方正楷体_GBK" w:cs="方正楷体_GBK"/>
          <w:b w:val="0"/>
          <w:bCs w:val="0"/>
          <w:sz w:val="32"/>
          <w:szCs w:val="32"/>
          <w:lang w:val="en-US" w:eastAsia="zh-CN"/>
        </w:rPr>
      </w:pPr>
      <w:r>
        <w:rPr>
          <w:rStyle w:val="5"/>
          <w:rFonts w:hint="eastAsia" w:ascii="方正楷体_GBK" w:hAnsi="方正楷体_GBK" w:eastAsia="方正楷体_GBK" w:cs="方正楷体_GBK"/>
          <w:b w:val="0"/>
          <w:bCs w:val="0"/>
          <w:sz w:val="32"/>
          <w:szCs w:val="32"/>
        </w:rPr>
        <w:t> </w:t>
      </w:r>
      <w:r>
        <w:rPr>
          <w:rStyle w:val="5"/>
          <w:rFonts w:hint="eastAsia" w:ascii="方正楷体_GBK" w:hAnsi="方正楷体_GBK" w:eastAsia="方正楷体_GBK" w:cs="方正楷体_GBK"/>
          <w:b w:val="0"/>
          <w:bCs w:val="0"/>
          <w:sz w:val="32"/>
          <w:szCs w:val="32"/>
          <w:lang w:val="en-US" w:eastAsia="zh-CN"/>
        </w:rPr>
        <w:t xml:space="preserve">    </w:t>
      </w:r>
      <w:r>
        <w:rPr>
          <w:rStyle w:val="5"/>
          <w:rFonts w:hint="eastAsia" w:ascii="方正楷体_GBK" w:hAnsi="方正楷体_GBK" w:eastAsia="方正楷体_GBK" w:cs="方正楷体_GBK"/>
          <w:b w:val="0"/>
          <w:bCs w:val="0"/>
          <w:sz w:val="32"/>
          <w:szCs w:val="32"/>
        </w:rPr>
        <w:t xml:space="preserve"> </w:t>
      </w:r>
      <w:r>
        <w:rPr>
          <w:rStyle w:val="5"/>
          <w:rFonts w:hint="eastAsia" w:ascii="方正楷体_GBK" w:hAnsi="方正楷体_GBK" w:eastAsia="方正楷体_GBK" w:cs="方正楷体_GBK"/>
          <w:b w:val="0"/>
          <w:bCs w:val="0"/>
          <w:sz w:val="32"/>
          <w:szCs w:val="32"/>
          <w:lang w:val="en-US" w:eastAsia="zh-CN"/>
        </w:rPr>
        <w:t>（五）政府性基金预算收支决算情况说明。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2021年度政府性基金预算财政拨款年初结转结余0.00万元，年末结转结余0.00万元。本年收入333.20万元，较上年决算数减少18.88万元，下降5.4%</w:t>
      </w:r>
      <w:r>
        <w:rPr>
          <w:rFonts w:hint="default" w:ascii="Times New Roman" w:hAnsi="Times New Roman" w:eastAsia="方正仿宋_GBK" w:cs="Times New Roman"/>
          <w:color w:val="auto"/>
          <w:sz w:val="32"/>
          <w:szCs w:val="32"/>
        </w:rPr>
        <w:t>，主要原因是</w:t>
      </w:r>
      <w:r>
        <w:rPr>
          <w:rFonts w:hint="default" w:ascii="Times New Roman" w:hAnsi="Times New Roman" w:eastAsia="方正仿宋_GBK" w:cs="Times New Roman"/>
          <w:color w:val="auto"/>
          <w:sz w:val="32"/>
          <w:szCs w:val="32"/>
          <w:lang w:eastAsia="zh-CN"/>
        </w:rPr>
        <w:t>农村基础设施建设支出减少。如“</w:t>
      </w:r>
      <w:r>
        <w:rPr>
          <w:rFonts w:hint="default" w:ascii="Times New Roman" w:hAnsi="Times New Roman" w:eastAsia="方正仿宋_GBK" w:cs="Times New Roman"/>
          <w:color w:val="auto"/>
          <w:sz w:val="32"/>
          <w:szCs w:val="32"/>
          <w:lang w:val="en-US" w:eastAsia="zh-CN"/>
        </w:rPr>
        <w:t>农村危旧房改造”。</w:t>
      </w:r>
      <w:r>
        <w:rPr>
          <w:rFonts w:hint="default" w:ascii="Times New Roman" w:hAnsi="Times New Roman" w:eastAsia="方正仿宋_GBK" w:cs="Times New Roman"/>
          <w:color w:val="auto"/>
          <w:sz w:val="32"/>
          <w:szCs w:val="32"/>
        </w:rPr>
        <w:t>本年支出333.20万元，较上年决算数减少18.88万元，下降5.4%，主要原因是</w:t>
      </w:r>
      <w:r>
        <w:rPr>
          <w:rFonts w:hint="default" w:ascii="Times New Roman" w:hAnsi="Times New Roman" w:eastAsia="方正仿宋_GBK" w:cs="Times New Roman"/>
          <w:color w:val="auto"/>
          <w:sz w:val="32"/>
          <w:szCs w:val="32"/>
          <w:lang w:eastAsia="zh-CN"/>
        </w:rPr>
        <w:t>农村基础设施建设支出减少。如“</w:t>
      </w:r>
      <w:r>
        <w:rPr>
          <w:rFonts w:hint="default" w:ascii="Times New Roman" w:hAnsi="Times New Roman" w:eastAsia="方正仿宋_GBK" w:cs="Times New Roman"/>
          <w:color w:val="auto"/>
          <w:sz w:val="32"/>
          <w:szCs w:val="32"/>
          <w:lang w:val="en-US" w:eastAsia="zh-CN"/>
        </w:rPr>
        <w:t>农村危旧房改造”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lang w:val="en-US" w:eastAsia="zh-CN"/>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default" w:ascii="方正楷体_GBK" w:hAnsi="方正楷体_GBK" w:eastAsia="方正楷体_GBK" w:cs="方正楷体_GBK"/>
          <w:b w:val="0"/>
          <w:bCs w:val="0"/>
          <w:sz w:val="32"/>
          <w:szCs w:val="32"/>
          <w:lang w:val="en-US" w:eastAsia="zh-CN"/>
        </w:rPr>
        <w:t>（六）国有资本经营预算财政拨款支出决算情况说明。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本部门2021年度无国有资本经营预算财政拨款支出。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黑体_GBK" w:hAnsi="方正黑体_GBK" w:eastAsia="方正黑体_GBK" w:cs="方正黑体_GBK"/>
          <w:sz w:val="32"/>
          <w:szCs w:val="32"/>
        </w:rPr>
      </w:pPr>
      <w:r>
        <w:rPr>
          <w:rStyle w:val="5"/>
          <w:rFonts w:hint="eastAsia" w:ascii="方正黑体_GBK" w:hAnsi="方正黑体_GBK" w:eastAsia="方正黑体_GBK" w:cs="方正黑体_GBK"/>
          <w:sz w:val="32"/>
          <w:szCs w:val="32"/>
        </w:rPr>
        <w:t>三、“三公”经费情况说明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lang w:val="en-US" w:eastAsia="zh-CN"/>
        </w:rPr>
      </w:pPr>
      <w:r>
        <w:rPr>
          <w:rStyle w:val="5"/>
          <w:rFonts w:hint="default" w:ascii="Times New Roman" w:hAnsi="Times New Roman" w:eastAsia="方正仿宋_GBK" w:cs="Times New Roman"/>
          <w:sz w:val="32"/>
          <w:szCs w:val="32"/>
        </w:rPr>
        <w:t> </w:t>
      </w:r>
      <w:r>
        <w:rPr>
          <w:rStyle w:val="5"/>
          <w:rFonts w:hint="default" w:ascii="方正楷体_GBK" w:hAnsi="方正楷体_GBK" w:eastAsia="方正楷体_GBK" w:cs="方正楷体_GBK"/>
          <w:b w:val="0"/>
          <w:bCs w:val="0"/>
          <w:sz w:val="32"/>
          <w:szCs w:val="32"/>
          <w:lang w:val="en-US" w:eastAsia="zh-CN"/>
        </w:rPr>
        <w:t xml:space="preserve"> </w:t>
      </w:r>
      <w:r>
        <w:rPr>
          <w:rStyle w:val="5"/>
          <w:rFonts w:hint="eastAsia" w:ascii="方正楷体_GBK" w:hAnsi="方正楷体_GBK" w:eastAsia="方正楷体_GBK" w:cs="方正楷体_GBK"/>
          <w:b w:val="0"/>
          <w:bCs w:val="0"/>
          <w:sz w:val="32"/>
          <w:szCs w:val="32"/>
          <w:lang w:val="en-US" w:eastAsia="zh-CN"/>
        </w:rPr>
        <w:t xml:space="preserve">    </w:t>
      </w:r>
      <w:r>
        <w:rPr>
          <w:rStyle w:val="5"/>
          <w:rFonts w:hint="default" w:ascii="方正楷体_GBK" w:hAnsi="方正楷体_GBK" w:eastAsia="方正楷体_GBK" w:cs="方正楷体_GBK"/>
          <w:b w:val="0"/>
          <w:bCs w:val="0"/>
          <w:sz w:val="32"/>
          <w:szCs w:val="32"/>
          <w:lang w:val="en-US" w:eastAsia="zh-CN"/>
        </w:rPr>
        <w:t>（一）“三公”经费支出总体情况说明。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2021年度“三公”经费支出共计12.59万元，较年初预算数减少32.91万元，下降72.3%，主要原因</w:t>
      </w:r>
      <w:r>
        <w:rPr>
          <w:rFonts w:hint="default" w:ascii="Times New Roman" w:hAnsi="Times New Roman" w:eastAsia="方正仿宋_GBK" w:cs="Times New Roman"/>
          <w:color w:val="000000" w:themeColor="text1"/>
          <w:sz w:val="32"/>
          <w:szCs w:val="32"/>
          <w14:textFill>
            <w14:solidFill>
              <w14:schemeClr w14:val="tx1"/>
            </w14:solidFill>
          </w14:textFill>
        </w:rPr>
        <w:t>是严格控制“三公经费”支出不超预算</w:t>
      </w:r>
      <w:r>
        <w:rPr>
          <w:rFonts w:hint="default" w:ascii="Times New Roman" w:hAnsi="Times New Roman" w:eastAsia="方正仿宋_GBK" w:cs="Times New Roman"/>
          <w:color w:val="000000" w:themeColor="text1"/>
          <w:sz w:val="32"/>
          <w:szCs w:val="32"/>
          <w14:textFill>
            <w14:solidFill>
              <w14:schemeClr w14:val="tx1"/>
            </w14:solidFill>
          </w14:textFill>
        </w:rPr>
        <w:t>。较上年支出数减少1.44万元，下降10.3%，主要原因是</w:t>
      </w:r>
      <w:r>
        <w:rPr>
          <w:rFonts w:hint="default" w:ascii="Times New Roman" w:hAnsi="Times New Roman" w:eastAsia="方正仿宋_GBK" w:cs="Times New Roman"/>
          <w:color w:val="000000" w:themeColor="text1"/>
          <w:sz w:val="32"/>
          <w:szCs w:val="32"/>
          <w14:textFill>
            <w14:solidFill>
              <w14:schemeClr w14:val="tx1"/>
            </w14:solidFill>
          </w14:textFill>
        </w:rPr>
        <w:t>部门严格控制“三公经费”支出不超预算。</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lang w:val="en-US" w:eastAsia="zh-CN"/>
        </w:rPr>
      </w:pPr>
      <w:r>
        <w:rPr>
          <w:rStyle w:val="5"/>
          <w:rFonts w:hint="default" w:ascii="方正楷体_GBK" w:hAnsi="方正楷体_GBK" w:eastAsia="方正楷体_GBK" w:cs="方正楷体_GBK"/>
          <w:b w:val="0"/>
          <w:bCs w:val="0"/>
          <w:sz w:val="32"/>
          <w:szCs w:val="32"/>
          <w:lang w:val="en-US" w:eastAsia="zh-CN"/>
        </w:rPr>
        <w:t xml:space="preserve">  </w:t>
      </w:r>
      <w:r>
        <w:rPr>
          <w:rStyle w:val="5"/>
          <w:rFonts w:hint="eastAsia" w:ascii="方正楷体_GBK" w:hAnsi="方正楷体_GBK" w:eastAsia="方正楷体_GBK" w:cs="方正楷体_GBK"/>
          <w:b w:val="0"/>
          <w:bCs w:val="0"/>
          <w:sz w:val="32"/>
          <w:szCs w:val="32"/>
          <w:lang w:val="en-US" w:eastAsia="zh-CN"/>
        </w:rPr>
        <w:t xml:space="preserve">    </w:t>
      </w:r>
      <w:r>
        <w:rPr>
          <w:rStyle w:val="5"/>
          <w:rFonts w:hint="default" w:ascii="方正楷体_GBK" w:hAnsi="方正楷体_GBK" w:eastAsia="方正楷体_GBK" w:cs="方正楷体_GBK"/>
          <w:b w:val="0"/>
          <w:bCs w:val="0"/>
          <w:sz w:val="32"/>
          <w:szCs w:val="32"/>
          <w:lang w:val="en-US" w:eastAsia="zh-CN"/>
        </w:rPr>
        <w:t>（二）“三公”经费分项支出情况。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sz w:val="32"/>
          <w:szCs w:val="32"/>
        </w:rPr>
        <w:t>2021年度本部门因公出国（境）费用0.00万元，主要</w:t>
      </w:r>
      <w:r>
        <w:rPr>
          <w:rFonts w:hint="default" w:ascii="Times New Roman" w:hAnsi="Times New Roman" w:eastAsia="方正仿宋_GBK" w:cs="Times New Roman"/>
          <w:color w:val="000000" w:themeColor="text1"/>
          <w:sz w:val="32"/>
          <w:szCs w:val="32"/>
          <w14:textFill>
            <w14:solidFill>
              <w14:schemeClr w14:val="tx1"/>
            </w14:solidFill>
          </w14:textFill>
        </w:rPr>
        <w:t>是</w:t>
      </w:r>
      <w:r>
        <w:rPr>
          <w:rFonts w:hint="default" w:ascii="Times New Roman" w:hAnsi="Times New Roman" w:eastAsia="方正仿宋_GBK" w:cs="Times New Roman"/>
          <w:color w:val="000000" w:themeColor="text1"/>
          <w:sz w:val="32"/>
          <w:szCs w:val="32"/>
          <w14:textFill>
            <w14:solidFill>
              <w14:schemeClr w14:val="tx1"/>
            </w14:solidFill>
          </w14:textFill>
        </w:rPr>
        <w:t>2021年没有安排人员出国访问。</w:t>
      </w:r>
      <w:r>
        <w:rPr>
          <w:rFonts w:hint="default" w:ascii="Times New Roman" w:hAnsi="Times New Roman" w:eastAsia="方正仿宋_GBK" w:cs="Times New Roman"/>
          <w:color w:val="000000" w:themeColor="text1"/>
          <w:sz w:val="32"/>
          <w:szCs w:val="32"/>
          <w14:textFill>
            <w14:solidFill>
              <w14:schemeClr w14:val="tx1"/>
            </w14:solidFill>
          </w14:textFill>
        </w:rPr>
        <w:t>费用支出较年初预算数</w:t>
      </w:r>
      <w:r>
        <w:rPr>
          <w:rFonts w:hint="default" w:ascii="Times New Roman" w:hAnsi="Times New Roman" w:eastAsia="方正仿宋_GBK" w:cs="Times New Roman"/>
          <w:color w:val="000000" w:themeColor="text1"/>
          <w:sz w:val="32"/>
          <w:szCs w:val="32"/>
          <w14:textFill>
            <w14:solidFill>
              <w14:schemeClr w14:val="tx1"/>
            </w14:solidFill>
          </w14:textFill>
        </w:rPr>
        <w:t>持平</w:t>
      </w:r>
      <w:r>
        <w:rPr>
          <w:rFonts w:hint="default" w:ascii="Times New Roman" w:hAnsi="Times New Roman" w:eastAsia="方正仿宋_GBK" w:cs="Times New Roman"/>
          <w:color w:val="000000" w:themeColor="text1"/>
          <w:sz w:val="32"/>
          <w:szCs w:val="32"/>
          <w14:textFill>
            <w14:solidFill>
              <w14:schemeClr w14:val="tx1"/>
            </w14:solidFill>
          </w14:textFill>
        </w:rPr>
        <w:t>，主要原因是</w:t>
      </w:r>
      <w:r>
        <w:rPr>
          <w:rFonts w:hint="default" w:ascii="Times New Roman" w:hAnsi="Times New Roman" w:eastAsia="方正仿宋_GBK" w:cs="Times New Roman"/>
          <w:color w:val="000000" w:themeColor="text1"/>
          <w:sz w:val="32"/>
          <w:szCs w:val="32"/>
          <w14:textFill>
            <w14:solidFill>
              <w14:schemeClr w14:val="tx1"/>
            </w14:solidFill>
          </w14:textFill>
        </w:rPr>
        <w:t>2021年没有安排人员出国访问</w:t>
      </w:r>
      <w:r>
        <w:rPr>
          <w:rFonts w:hint="default" w:ascii="Times New Roman" w:hAnsi="Times New Roman" w:eastAsia="方正仿宋_GBK" w:cs="Times New Roman"/>
          <w:color w:val="000000" w:themeColor="text1"/>
          <w:sz w:val="32"/>
          <w:szCs w:val="32"/>
          <w14:textFill>
            <w14:solidFill>
              <w14:schemeClr w14:val="tx1"/>
            </w14:solidFill>
          </w14:textFill>
        </w:rPr>
        <w:t>。较上年支出数</w:t>
      </w:r>
      <w:r>
        <w:rPr>
          <w:rFonts w:hint="default" w:ascii="Times New Roman" w:hAnsi="Times New Roman" w:eastAsia="方正仿宋_GBK" w:cs="Times New Roman"/>
          <w:color w:val="000000" w:themeColor="text1"/>
          <w:sz w:val="32"/>
          <w:szCs w:val="32"/>
          <w14:textFill>
            <w14:solidFill>
              <w14:schemeClr w14:val="tx1"/>
            </w14:solidFill>
          </w14:textFill>
        </w:rPr>
        <w:t>持平</w:t>
      </w:r>
      <w:r>
        <w:rPr>
          <w:rFonts w:hint="default" w:ascii="Times New Roman" w:hAnsi="Times New Roman" w:eastAsia="方正仿宋_GBK" w:cs="Times New Roman"/>
          <w:color w:val="000000" w:themeColor="text1"/>
          <w:sz w:val="32"/>
          <w:szCs w:val="32"/>
          <w14:textFill>
            <w14:solidFill>
              <w14:schemeClr w14:val="tx1"/>
            </w14:solidFill>
          </w14:textFill>
        </w:rPr>
        <w:t>，主要原因是</w:t>
      </w:r>
      <w:r>
        <w:rPr>
          <w:rFonts w:hint="default" w:ascii="Times New Roman" w:hAnsi="Times New Roman" w:eastAsia="方正仿宋_GBK" w:cs="Times New Roman"/>
          <w:color w:val="000000" w:themeColor="text1"/>
          <w:sz w:val="32"/>
          <w:szCs w:val="32"/>
          <w14:textFill>
            <w14:solidFill>
              <w14:schemeClr w14:val="tx1"/>
            </w14:solidFill>
          </w14:textFill>
        </w:rPr>
        <w:t>2021年没有安排人员出国访问。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公务车购置费0.00万元，主要原因是未有购置公务车计划。</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distribute"/>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费用支出较年初预算数持平，主要原因是未购置公务车。</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较上年支出数</w:t>
      </w:r>
      <w:r>
        <w:rPr>
          <w:rFonts w:hint="default" w:ascii="Times New Roman" w:hAnsi="Times New Roman" w:eastAsia="方正仿宋_GBK" w:cs="Times New Roman"/>
          <w:color w:val="000000" w:themeColor="text1"/>
          <w:sz w:val="32"/>
          <w:szCs w:val="32"/>
          <w14:textFill>
            <w14:solidFill>
              <w14:schemeClr w14:val="tx1"/>
            </w14:solidFill>
          </w14:textFill>
        </w:rPr>
        <w:t>持平</w:t>
      </w:r>
      <w:r>
        <w:rPr>
          <w:rFonts w:hint="default" w:ascii="Times New Roman" w:hAnsi="Times New Roman" w:eastAsia="方正仿宋_GBK" w:cs="Times New Roman"/>
          <w:color w:val="000000" w:themeColor="text1"/>
          <w:sz w:val="32"/>
          <w:szCs w:val="32"/>
          <w14:textFill>
            <w14:solidFill>
              <w14:schemeClr w14:val="tx1"/>
            </w14:solidFill>
          </w14:textFill>
        </w:rPr>
        <w:t>，主要原因是</w:t>
      </w:r>
      <w:r>
        <w:rPr>
          <w:rFonts w:hint="default" w:ascii="Times New Roman" w:hAnsi="Times New Roman" w:eastAsia="方正仿宋_GBK" w:cs="Times New Roman"/>
          <w:color w:val="000000" w:themeColor="text1"/>
          <w:sz w:val="32"/>
          <w:szCs w:val="32"/>
          <w14:textFill>
            <w14:solidFill>
              <w14:schemeClr w14:val="tx1"/>
            </w14:solidFill>
          </w14:textFill>
        </w:rPr>
        <w:t>未购置公务车</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公务车运行维护费9.73万元，主要用于</w:t>
      </w:r>
      <w:r>
        <w:rPr>
          <w:rFonts w:hint="default" w:ascii="Times New Roman" w:hAnsi="Times New Roman" w:eastAsia="方正仿宋_GBK" w:cs="Times New Roman"/>
          <w:color w:val="000000" w:themeColor="text1"/>
          <w:sz w:val="32"/>
          <w:szCs w:val="32"/>
          <w14:textFill>
            <w14:solidFill>
              <w14:schemeClr w14:val="tx1"/>
            </w14:solidFill>
          </w14:textFill>
        </w:rPr>
        <w:t>机要文件交换、市内因公出行、业务检查等工作所需车辆的燃料费、维修费、过桥过路费、保险费等</w:t>
      </w:r>
      <w:r>
        <w:rPr>
          <w:rFonts w:hint="default" w:ascii="Times New Roman" w:hAnsi="Times New Roman" w:eastAsia="方正仿宋_GBK" w:cs="Times New Roman"/>
          <w:color w:val="000000" w:themeColor="text1"/>
          <w:sz w:val="32"/>
          <w:szCs w:val="32"/>
          <w14:textFill>
            <w14:solidFill>
              <w14:schemeClr w14:val="tx1"/>
            </w14:solidFill>
          </w14:textFill>
        </w:rPr>
        <w:t>。费用支出较年初预算数减少15.27万元，下降61.1%，主要原因是</w:t>
      </w:r>
      <w:r>
        <w:rPr>
          <w:rFonts w:hint="default" w:ascii="Times New Roman" w:hAnsi="Times New Roman" w:eastAsia="方正仿宋_GBK" w:cs="Times New Roman"/>
          <w:color w:val="000000" w:themeColor="text1"/>
          <w:sz w:val="32"/>
          <w:szCs w:val="32"/>
          <w14:textFill>
            <w14:solidFill>
              <w14:schemeClr w14:val="tx1"/>
            </w14:solidFill>
          </w14:textFill>
        </w:rPr>
        <w:t>严格落实公车使用规定，公车运行维护成本大幅下降。</w:t>
      </w:r>
      <w:r>
        <w:rPr>
          <w:rFonts w:hint="default" w:ascii="Times New Roman" w:hAnsi="Times New Roman" w:eastAsia="方正仿宋_GBK" w:cs="Times New Roman"/>
          <w:color w:val="000000" w:themeColor="text1"/>
          <w:sz w:val="32"/>
          <w:szCs w:val="32"/>
          <w14:textFill>
            <w14:solidFill>
              <w14:schemeClr w14:val="tx1"/>
            </w14:solidFill>
          </w14:textFill>
        </w:rPr>
        <w:t>较上年支出数增加0.74万元，增长8.2%，主要原因是</w:t>
      </w:r>
      <w:r>
        <w:rPr>
          <w:rFonts w:hint="default" w:ascii="Times New Roman" w:hAnsi="Times New Roman" w:eastAsia="方正仿宋_GBK" w:cs="Times New Roman"/>
          <w:color w:val="000000" w:themeColor="text1"/>
          <w:sz w:val="32"/>
          <w:szCs w:val="32"/>
          <w14:textFill>
            <w14:solidFill>
              <w14:schemeClr w14:val="tx1"/>
            </w14:solidFill>
          </w14:textFill>
        </w:rPr>
        <w:t>发生公务用车数量增加</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14:textFill>
            <w14:solidFill>
              <w14:schemeClr w14:val="tx1"/>
            </w14:solidFill>
          </w14:textFill>
        </w:rPr>
        <w:t>公务接待费2.87万元，主要用于接待</w:t>
      </w:r>
      <w:r>
        <w:rPr>
          <w:rFonts w:hint="default" w:ascii="Times New Roman" w:hAnsi="Times New Roman" w:eastAsia="方正仿宋_GBK" w:cs="Times New Roman"/>
          <w:color w:val="000000" w:themeColor="text1"/>
          <w:sz w:val="32"/>
          <w:szCs w:val="32"/>
          <w14:textFill>
            <w14:solidFill>
              <w14:schemeClr w14:val="tx1"/>
            </w14:solidFill>
          </w14:textFill>
        </w:rPr>
        <w:t>上级相关部门检查指导工作发生的接待支出及其他区县学习交流等接待支出。</w:t>
      </w:r>
      <w:r>
        <w:rPr>
          <w:rFonts w:hint="default" w:ascii="Times New Roman" w:hAnsi="Times New Roman" w:eastAsia="方正仿宋_GBK" w:cs="Times New Roman"/>
          <w:color w:val="000000" w:themeColor="text1"/>
          <w:sz w:val="32"/>
          <w:szCs w:val="32"/>
          <w14:textFill>
            <w14:solidFill>
              <w14:schemeClr w14:val="tx1"/>
            </w14:solidFill>
          </w14:textFill>
        </w:rPr>
        <w:t>费用支出较年初预算数减少17.63万元，下降86%，主要原因是</w:t>
      </w:r>
      <w:r>
        <w:rPr>
          <w:rFonts w:hint="default" w:ascii="Times New Roman" w:hAnsi="Times New Roman" w:eastAsia="方正仿宋_GBK" w:cs="Times New Roman"/>
          <w:color w:val="000000" w:themeColor="text1"/>
          <w:sz w:val="32"/>
          <w:szCs w:val="32"/>
          <w14:textFill>
            <w14:solidFill>
              <w14:schemeClr w14:val="tx1"/>
            </w14:solidFill>
          </w14:textFill>
        </w:rPr>
        <w:t>强化公务接待支出管理，严格遵守公务接待开支范围和开支标准，严格控制陪餐人数等规定。</w:t>
      </w:r>
      <w:r>
        <w:rPr>
          <w:rFonts w:hint="default" w:ascii="Times New Roman" w:hAnsi="Times New Roman" w:eastAsia="方正仿宋_GBK" w:cs="Times New Roman"/>
          <w:color w:val="000000" w:themeColor="text1"/>
          <w:sz w:val="32"/>
          <w:szCs w:val="32"/>
          <w14:textFill>
            <w14:solidFill>
              <w14:schemeClr w14:val="tx1"/>
            </w14:solidFill>
          </w14:textFill>
        </w:rPr>
        <w:t>较上年支出数减少2.16万元，下降42.9%，主要原因是</w:t>
      </w:r>
      <w:r>
        <w:rPr>
          <w:rFonts w:hint="default" w:ascii="Times New Roman" w:hAnsi="Times New Roman" w:eastAsia="方正仿宋_GBK" w:cs="Times New Roman"/>
          <w:color w:val="000000" w:themeColor="text1"/>
          <w:sz w:val="32"/>
          <w:szCs w:val="32"/>
          <w14:textFill>
            <w14:solidFill>
              <w14:schemeClr w14:val="tx1"/>
            </w14:solidFill>
          </w14:textFill>
        </w:rPr>
        <w:t>强化公务接待支出管理，严格遵守公务接待开支范围和开支标准，严格控制陪餐人数等规定。</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eastAsia" w:ascii="方正楷体_GBK" w:hAnsi="方正楷体_GBK" w:eastAsia="方正楷体_GBK" w:cs="方正楷体_GBK"/>
          <w:b w:val="0"/>
          <w:bCs w:val="0"/>
          <w:sz w:val="32"/>
          <w:szCs w:val="32"/>
        </w:rPr>
        <w:t>（三）“三公”经费实物量情况。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本部门因公出国（境）共计0个团组，0人；公务用车购置0辆，公务车保有量为5辆；国内公务接待43批次422人，其中：国内外事接待0批次，0人；国（境）外公务接待0批次，0人。2021年本部门人均接待费67.90元，车均购置费0.00万元，车均维护费1.95万元。</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方正黑体_GBK" w:hAnsi="方正黑体_GBK" w:eastAsia="方正黑体_GBK" w:cs="方正黑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方正黑体_GBK" w:hAnsi="方正黑体_GBK" w:eastAsia="方正黑体_GBK" w:cs="方正黑体_GBK"/>
          <w:b w:val="0"/>
          <w:bCs w:val="0"/>
          <w:sz w:val="32"/>
          <w:szCs w:val="32"/>
        </w:rPr>
        <w:t>四、其他需要说明的事项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5"/>
          <w:rFonts w:hint="default" w:ascii="方正楷体_GBK" w:hAnsi="方正楷体_GBK" w:eastAsia="方正楷体_GBK" w:cs="方正楷体_GBK"/>
          <w:b w:val="0"/>
          <w:bCs w:val="0"/>
          <w:sz w:val="32"/>
          <w:szCs w:val="32"/>
        </w:rPr>
      </w:pPr>
      <w:r>
        <w:rPr>
          <w:rStyle w:val="5"/>
          <w:rFonts w:hint="default" w:ascii="方正楷体_GBK" w:hAnsi="方正楷体_GBK" w:eastAsia="方正楷体_GBK" w:cs="方正楷体_GBK"/>
          <w:b w:val="0"/>
          <w:bCs w:val="0"/>
          <w:sz w:val="32"/>
          <w:szCs w:val="32"/>
        </w:rPr>
        <w:t>（一）一般公共预算财政拨款会议费和培训费情况说明。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本年度会议费支出0.82万元，较上年决算数增加0.35万元，增长74.5%，主要原因是</w:t>
      </w:r>
      <w:r>
        <w:rPr>
          <w:rFonts w:hint="default" w:ascii="Times New Roman" w:hAnsi="Times New Roman" w:eastAsia="方正仿宋_GBK" w:cs="Times New Roman"/>
          <w:sz w:val="32"/>
          <w:szCs w:val="32"/>
        </w:rPr>
        <w:t>相关指导会议增加</w:t>
      </w:r>
      <w:r>
        <w:rPr>
          <w:rFonts w:hint="default" w:ascii="Times New Roman" w:hAnsi="Times New Roman" w:eastAsia="方正仿宋_GBK" w:cs="Times New Roman"/>
          <w:sz w:val="32"/>
          <w:szCs w:val="32"/>
        </w:rPr>
        <w:t>。本年度培训费支出7.31万元，较上年决算数增加5.78万元，增长377.8%，主要原因是</w:t>
      </w:r>
      <w:r>
        <w:rPr>
          <w:rFonts w:hint="default" w:ascii="Times New Roman" w:hAnsi="Times New Roman" w:eastAsia="方正仿宋_GBK" w:cs="Times New Roman"/>
          <w:sz w:val="32"/>
          <w:szCs w:val="32"/>
        </w:rPr>
        <w:t>开展业务培训增多</w:t>
      </w:r>
      <w:r>
        <w:rPr>
          <w:rFonts w:hint="default" w:ascii="Times New Roman" w:hAnsi="Times New Roman" w:eastAsia="方正仿宋_GBK" w:cs="Times New Roman"/>
          <w:sz w:val="32"/>
          <w:szCs w:val="32"/>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sz w:val="32"/>
          <w:szCs w:val="32"/>
        </w:rPr>
        <w:t> </w:t>
      </w:r>
      <w:r>
        <w:rPr>
          <w:rStyle w:val="5"/>
          <w:rFonts w:hint="eastAsia" w:ascii="Times New Roman" w:hAnsi="Times New Roman" w:eastAsia="方正仿宋_GBK" w:cs="Times New Roman"/>
          <w:sz w:val="32"/>
          <w:szCs w:val="32"/>
          <w:lang w:val="en-US" w:eastAsia="zh-CN"/>
        </w:rPr>
        <w:t xml:space="preserve">    </w:t>
      </w:r>
      <w:r>
        <w:rPr>
          <w:rStyle w:val="5"/>
          <w:rFonts w:hint="default" w:ascii="Times New Roman" w:hAnsi="Times New Roman" w:eastAsia="方正仿宋_GBK" w:cs="Times New Roman"/>
          <w:sz w:val="32"/>
          <w:szCs w:val="32"/>
        </w:rPr>
        <w:t xml:space="preserve"> </w:t>
      </w:r>
      <w:r>
        <w:rPr>
          <w:rStyle w:val="5"/>
          <w:rFonts w:hint="eastAsia" w:ascii="方正楷体_GBK" w:hAnsi="方正楷体_GBK" w:eastAsia="方正楷体_GBK" w:cs="方正楷体_GBK"/>
          <w:b w:val="0"/>
          <w:bCs w:val="0"/>
          <w:sz w:val="32"/>
          <w:szCs w:val="32"/>
        </w:rPr>
        <w:t>（二）机关运行经费情况说明。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2021年度本部门机关运行经费支出76.96万元，机关运行经费主要用于开支</w:t>
      </w:r>
      <w:r>
        <w:rPr>
          <w:rFonts w:hint="default" w:ascii="Times New Roman" w:hAnsi="Times New Roman" w:eastAsia="方正仿宋_GBK" w:cs="Times New Roman"/>
          <w:color w:val="000000" w:themeColor="text1"/>
          <w:sz w:val="32"/>
          <w:szCs w:val="32"/>
          <w14:textFill>
            <w14:solidFill>
              <w14:schemeClr w14:val="tx1"/>
            </w14:solidFill>
          </w14:textFill>
        </w:rPr>
        <w:t>办公费、公务车运行维护费、信息网络费、劳务费、差旅费等。</w:t>
      </w:r>
      <w:r>
        <w:rPr>
          <w:rFonts w:hint="default" w:ascii="Times New Roman" w:hAnsi="Times New Roman" w:eastAsia="方正仿宋_GBK" w:cs="Times New Roman"/>
          <w:sz w:val="32"/>
          <w:szCs w:val="32"/>
        </w:rPr>
        <w:t>机关运行经费较上年决算数减少58.85万元，下降43.3%，主要原因是</w:t>
      </w:r>
      <w:r>
        <w:rPr>
          <w:rFonts w:hint="default" w:ascii="Times New Roman" w:hAnsi="Times New Roman" w:eastAsia="方正仿宋_GBK" w:cs="Times New Roman"/>
          <w:color w:val="000000" w:themeColor="text1"/>
          <w:sz w:val="32"/>
          <w:szCs w:val="32"/>
          <w14:textFill>
            <w14:solidFill>
              <w14:schemeClr w14:val="tx1"/>
            </w14:solidFill>
          </w14:textFill>
        </w:rPr>
        <w:t>人员公用经费减少。</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default" w:ascii="方正楷体_GBK" w:hAnsi="方正楷体_GBK" w:eastAsia="方正楷体_GBK" w:cs="方正楷体_GBK"/>
          <w:b w:val="0"/>
          <w:bCs w:val="0"/>
          <w:sz w:val="32"/>
          <w:szCs w:val="32"/>
        </w:rPr>
        <w:t>（三）国有资产占用情况说明。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至2021年12月31日，本部门共有车辆6辆，其中，副部（省）级及以上领导用车0辆、主要领导干部用车0辆、机要通信用车0辆、应急保障用车4辆、执法执勤用车0辆，特种专业技术用车2辆，离退休干部用车0辆，其他用车0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t>单价50万元（含）以上通用设备0台（套），单价100万元（含）以上专用设备0台（套）。</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rPr>
      </w:pPr>
      <w:r>
        <w:rPr>
          <w:rStyle w:val="5"/>
          <w:rFonts w:hint="default" w:ascii="方正楷体_GBK" w:hAnsi="方正楷体_GBK" w:eastAsia="方正楷体_GBK" w:cs="方正楷体_GBK"/>
          <w:b w:val="0"/>
          <w:bCs w:val="0"/>
          <w:sz w:val="32"/>
          <w:szCs w:val="32"/>
        </w:rPr>
        <w:t> </w:t>
      </w:r>
      <w:r>
        <w:rPr>
          <w:rStyle w:val="5"/>
          <w:rFonts w:hint="eastAsia" w:ascii="方正楷体_GBK" w:hAnsi="方正楷体_GBK" w:eastAsia="方正楷体_GBK" w:cs="方正楷体_GBK"/>
          <w:b w:val="0"/>
          <w:bCs w:val="0"/>
          <w:sz w:val="32"/>
          <w:szCs w:val="32"/>
          <w:lang w:val="en-US" w:eastAsia="zh-CN"/>
        </w:rPr>
        <w:t xml:space="preserve">    </w:t>
      </w:r>
      <w:r>
        <w:rPr>
          <w:rStyle w:val="5"/>
          <w:rFonts w:hint="default" w:ascii="方正楷体_GBK" w:hAnsi="方正楷体_GBK" w:eastAsia="方正楷体_GBK" w:cs="方正楷体_GBK"/>
          <w:b w:val="0"/>
          <w:bCs w:val="0"/>
          <w:sz w:val="32"/>
          <w:szCs w:val="32"/>
        </w:rPr>
        <w:t xml:space="preserve"> （四）政府采购支出情况说明。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sz w:val="32"/>
          <w:szCs w:val="32"/>
        </w:rPr>
        <w:t>2021年度本部门政府采购支出总额62.10万元，其中：政府采购货物支出3.00万元、政府采购工程支出0.00万元、政府采购服务支出59.10万元。授予中小企业合同金额3.00万元，占政府采购支出总额的4.8%，其中：授予小微企业合同金额3.00万元，占政府采购支出总额的4.8%。主要</w:t>
      </w:r>
      <w:r>
        <w:rPr>
          <w:rFonts w:hint="default" w:ascii="Times New Roman" w:hAnsi="Times New Roman" w:eastAsia="方正仿宋_GBK" w:cs="Times New Roman"/>
          <w:color w:val="auto"/>
          <w:sz w:val="32"/>
          <w:szCs w:val="32"/>
          <w:highlight w:val="none"/>
        </w:rPr>
        <w:t>用于采购服务。</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rPr>
        <w:t>五、预算绩效管理情况说明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5"/>
          <w:rFonts w:hint="default" w:ascii="方正楷体_GBK" w:hAnsi="方正楷体_GBK" w:eastAsia="方正楷体_GBK" w:cs="方正楷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default" w:ascii="方正楷体_GBK" w:hAnsi="方正楷体_GBK" w:eastAsia="方正楷体_GBK" w:cs="方正楷体_GBK"/>
          <w:b w:val="0"/>
          <w:bCs w:val="0"/>
          <w:sz w:val="32"/>
          <w:szCs w:val="32"/>
        </w:rPr>
        <w:t>（一）预算绩效管理工作开展情况。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5"/>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根据预算</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绩效管理要求，我</w:t>
      </w:r>
      <w:r>
        <w:rPr>
          <w:rFonts w:hint="default" w:ascii="Times New Roman" w:hAnsi="Times New Roman" w:eastAsia="方正仿宋_GBK" w:cs="Times New Roman"/>
          <w:sz w:val="32"/>
          <w:szCs w:val="32"/>
        </w:rPr>
        <w:t>委</w:t>
      </w:r>
      <w:r>
        <w:rPr>
          <w:rFonts w:hint="default" w:ascii="Times New Roman" w:hAnsi="Times New Roman" w:eastAsia="方正仿宋_GBK" w:cs="Times New Roman"/>
          <w:sz w:val="32"/>
          <w:szCs w:val="32"/>
        </w:rPr>
        <w:t>对部门整</w:t>
      </w:r>
      <w:r>
        <w:rPr>
          <w:rFonts w:hint="default" w:ascii="Times New Roman" w:hAnsi="Times New Roman" w:eastAsia="方正仿宋_GBK" w:cs="Times New Roman"/>
          <w:color w:val="auto"/>
          <w:sz w:val="32"/>
          <w:szCs w:val="32"/>
        </w:rPr>
        <w:t>体</w:t>
      </w:r>
      <w:r>
        <w:rPr>
          <w:rFonts w:hint="default" w:ascii="Times New Roman" w:hAnsi="Times New Roman" w:eastAsia="方正仿宋_GBK" w:cs="Times New Roman"/>
          <w:color w:val="auto"/>
          <w:sz w:val="32"/>
          <w:szCs w:val="32"/>
          <w:lang w:val="en-US" w:eastAsia="zh-CN"/>
        </w:rPr>
        <w:t>40</w:t>
      </w:r>
      <w:r>
        <w:rPr>
          <w:rFonts w:hint="default" w:ascii="Times New Roman" w:hAnsi="Times New Roman" w:eastAsia="方正仿宋_GBK" w:cs="Times New Roman"/>
          <w:color w:val="auto"/>
          <w:sz w:val="32"/>
          <w:szCs w:val="32"/>
        </w:rPr>
        <w:t>个项目开展了绩效自评，其中，以填报自评表形式开展自评</w:t>
      </w:r>
      <w:r>
        <w:rPr>
          <w:rFonts w:hint="default" w:ascii="Times New Roman" w:hAnsi="Times New Roman" w:eastAsia="方正仿宋_GBK" w:cs="Times New Roman"/>
          <w:color w:val="auto"/>
          <w:sz w:val="32"/>
          <w:szCs w:val="32"/>
          <w:lang w:val="en-US" w:eastAsia="zh-CN"/>
        </w:rPr>
        <w:t>40</w:t>
      </w:r>
      <w:r>
        <w:rPr>
          <w:rFonts w:hint="default" w:ascii="Times New Roman" w:hAnsi="Times New Roman" w:eastAsia="方正仿宋_GBK" w:cs="Times New Roman"/>
          <w:sz w:val="32"/>
          <w:szCs w:val="32"/>
        </w:rPr>
        <w:t>项，涉及资金</w:t>
      </w:r>
      <w:r>
        <w:rPr>
          <w:rFonts w:hint="default" w:ascii="Times New Roman" w:hAnsi="Times New Roman" w:eastAsia="方正仿宋_GBK" w:cs="Times New Roman"/>
          <w:color w:val="auto"/>
          <w:sz w:val="32"/>
          <w:szCs w:val="32"/>
          <w:lang w:val="en-US" w:eastAsia="zh-CN"/>
        </w:rPr>
        <w:t>19102.35</w:t>
      </w:r>
      <w:r>
        <w:rPr>
          <w:rFonts w:hint="default" w:ascii="Times New Roman" w:hAnsi="Times New Roman" w:eastAsia="方正仿宋_GBK" w:cs="Times New Roman"/>
          <w:sz w:val="32"/>
          <w:szCs w:val="32"/>
        </w:rPr>
        <w:t>万元；</w:t>
      </w:r>
      <w:r>
        <w:rPr>
          <w:rFonts w:hint="default" w:ascii="Times New Roman" w:hAnsi="Times New Roman" w:eastAsia="方正仿宋_GBK" w:cs="Times New Roman"/>
          <w:sz w:val="32"/>
          <w:szCs w:val="32"/>
        </w:rPr>
        <w:t>从评价情况来看，项目执行率总体不错，能达到项目设定的绩效目标。有个别项目资金使用缓慢，项目进度滞后等问题，已制定下一步改进措施。</w:t>
      </w:r>
      <w:r>
        <w:rPr>
          <w:rStyle w:val="5"/>
          <w:rFonts w:hint="default" w:ascii="Times New Roman" w:hAnsi="Times New Roman" w:eastAsia="方正仿宋_GBK" w:cs="Times New Roman"/>
          <w:sz w:val="32"/>
          <w:szCs w:val="32"/>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5"/>
          <w:rFonts w:hint="default" w:ascii="方正楷体_GBK" w:hAnsi="方正楷体_GBK" w:eastAsia="方正楷体_GBK" w:cs="方正楷体_GBK"/>
          <w:b w:val="0"/>
          <w:bCs w:val="0"/>
          <w:sz w:val="32"/>
          <w:szCs w:val="32"/>
        </w:rPr>
      </w:pPr>
      <w:r>
        <w:rPr>
          <w:rStyle w:val="5"/>
          <w:rFonts w:hint="default" w:ascii="方正楷体_GBK" w:hAnsi="方正楷体_GBK" w:eastAsia="方正楷体_GBK" w:cs="方正楷体_GBK"/>
          <w:b w:val="0"/>
          <w:bCs w:val="0"/>
          <w:sz w:val="32"/>
          <w:szCs w:val="32"/>
        </w:rPr>
        <w:t>（二）绩效自评结果。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30" w:firstLineChars="196"/>
        <w:jc w:val="both"/>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sz w:val="32"/>
          <w:szCs w:val="32"/>
        </w:rPr>
        <w:t>1.绩效目标自评表。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仿宋_GBK" w:cs="Times New Roman"/>
          <w:b/>
          <w:bCs/>
          <w:color w:val="000000"/>
          <w:sz w:val="32"/>
          <w:szCs w:val="32"/>
        </w:rPr>
      </w:pPr>
      <w:r>
        <w:rPr>
          <w:rFonts w:hint="default" w:ascii="Times New Roman" w:hAnsi="Times New Roman" w:eastAsia="方正仿宋_GBK" w:cs="Times New Roman"/>
          <w:b/>
          <w:bCs/>
          <w:color w:val="000000"/>
          <w:sz w:val="32"/>
          <w:szCs w:val="32"/>
        </w:rPr>
        <w:t>2021年度部门整体绩效自评表</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（2</w:t>
      </w:r>
      <w:r>
        <w:rPr>
          <w:rFonts w:hint="default" w:ascii="Times New Roman" w:hAnsi="Times New Roman" w:eastAsia="方正仿宋_GBK" w:cs="Times New Roman"/>
          <w:bCs/>
          <w:color w:val="000000"/>
          <w:sz w:val="32"/>
          <w:szCs w:val="32"/>
        </w:rPr>
        <w:t>021</w:t>
      </w:r>
      <w:r>
        <w:rPr>
          <w:rFonts w:hint="default" w:ascii="Times New Roman" w:hAnsi="Times New Roman" w:eastAsia="方正仿宋_GBK" w:cs="Times New Roman"/>
          <w:bCs/>
          <w:color w:val="000000"/>
          <w:sz w:val="32"/>
          <w:szCs w:val="32"/>
        </w:rPr>
        <w:t>年度）</w:t>
      </w:r>
    </w:p>
    <w:tbl>
      <w:tblPr>
        <w:tblStyle w:val="3"/>
        <w:tblW w:w="105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705"/>
        <w:gridCol w:w="1157"/>
        <w:gridCol w:w="2011"/>
        <w:gridCol w:w="1134"/>
        <w:gridCol w:w="1437"/>
        <w:gridCol w:w="1559"/>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（项目）名称</w:t>
            </w:r>
          </w:p>
        </w:tc>
        <w:tc>
          <w:tcPr>
            <w:tcW w:w="7448" w:type="dxa"/>
            <w:gridSpan w:val="5"/>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安全管理专项经费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主管部门</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丰都县住房和城乡建设委员会</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资金使用单位</w:t>
            </w:r>
          </w:p>
        </w:tc>
        <w:tc>
          <w:tcPr>
            <w:tcW w:w="286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丰都县建设工程安全生产监督管理站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资金情况（万元）</w:t>
            </w:r>
          </w:p>
        </w:tc>
        <w:tc>
          <w:tcPr>
            <w:tcW w:w="20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丰都县住房和城乡建设委员会</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全年预算数（A）</w:t>
            </w:r>
          </w:p>
        </w:tc>
        <w:tc>
          <w:tcPr>
            <w:tcW w:w="29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全年执行数（B）</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预算执行率（B/A)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04" w:type="dxa"/>
            <w:gridSpan w:val="3"/>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0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年度资金总额：</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30</w:t>
            </w:r>
          </w:p>
        </w:tc>
        <w:tc>
          <w:tcPr>
            <w:tcW w:w="29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30</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0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其中：中央财政资金</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9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0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市级资金</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9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0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县级资金</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30</w:t>
            </w:r>
          </w:p>
        </w:tc>
        <w:tc>
          <w:tcPr>
            <w:tcW w:w="29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30</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gridSpan w:val="3"/>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011"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其他资金</w:t>
            </w:r>
          </w:p>
        </w:tc>
        <w:tc>
          <w:tcPr>
            <w:tcW w:w="1134"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2996"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总体目标完成情况</w:t>
            </w:r>
          </w:p>
        </w:tc>
        <w:tc>
          <w:tcPr>
            <w:tcW w:w="5007"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总体目标</w:t>
            </w:r>
          </w:p>
        </w:tc>
        <w:tc>
          <w:tcPr>
            <w:tcW w:w="4303"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5007"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提高建筑施工现场一线从业人员安全意识，提升我县建筑安全 文明施工水平，进一步降低安全生产事故的发生。</w:t>
            </w:r>
          </w:p>
        </w:tc>
        <w:tc>
          <w:tcPr>
            <w:tcW w:w="4303" w:type="dxa"/>
            <w:gridSpan w:val="3"/>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各项目顺利开展，完成项目预期目标。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绩效指标</w:t>
            </w:r>
          </w:p>
        </w:tc>
        <w:tc>
          <w:tcPr>
            <w:tcW w:w="70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一级指标</w:t>
            </w:r>
          </w:p>
        </w:tc>
        <w:tc>
          <w:tcPr>
            <w:tcW w:w="11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二级指标</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三级指标</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指标值</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全年实际</w:t>
            </w:r>
          </w:p>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完成值</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color w:val="000000"/>
                <w:sz w:val="24"/>
                <w:szCs w:val="24"/>
              </w:rPr>
              <w:t>未完成原因改进措施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产</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出</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指</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标</w:t>
            </w:r>
          </w:p>
        </w:tc>
        <w:tc>
          <w:tcPr>
            <w:tcW w:w="115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数量指标</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违规违法建筑工地查出率</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100%</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100%</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1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非税</w:t>
            </w:r>
            <w:r>
              <w:rPr>
                <w:rFonts w:hint="default" w:ascii="Times New Roman" w:hAnsi="Times New Roman" w:eastAsia="方正仿宋_GBK" w:cs="Times New Roman"/>
                <w:sz w:val="24"/>
                <w:szCs w:val="24"/>
                <w:lang w:val="en-US" w:eastAsia="zh-CN"/>
              </w:rPr>
              <w:t>罚</w:t>
            </w:r>
            <w:r>
              <w:rPr>
                <w:rFonts w:hint="default" w:ascii="Times New Roman" w:hAnsi="Times New Roman" w:eastAsia="方正仿宋_GBK" w:cs="Times New Roman"/>
                <w:sz w:val="24"/>
                <w:szCs w:val="24"/>
              </w:rPr>
              <w:t>没收入</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89万元</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89万元</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1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时效指标</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完成时间</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1年</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1年</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1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成本指标</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经费支出</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30万元</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30万元</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效</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益</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指</w:t>
            </w:r>
            <w:r>
              <w:rPr>
                <w:rFonts w:hint="default" w:ascii="Times New Roman" w:hAnsi="Times New Roman" w:eastAsia="方正仿宋_GBK" w:cs="Times New Roman"/>
                <w:sz w:val="24"/>
                <w:szCs w:val="24"/>
              </w:rPr>
              <w:br w:type="textWrapping"/>
            </w:r>
            <w:r>
              <w:rPr>
                <w:rFonts w:hint="default" w:ascii="Times New Roman" w:hAnsi="Times New Roman" w:eastAsia="方正仿宋_GBK" w:cs="Times New Roman"/>
                <w:sz w:val="24"/>
                <w:szCs w:val="24"/>
              </w:rPr>
              <w:t>标</w:t>
            </w:r>
          </w:p>
        </w:tc>
        <w:tc>
          <w:tcPr>
            <w:tcW w:w="11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经济效益指标</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减少建筑安全事故</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死亡指标不突破政府控制数</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bCs/>
                <w:color w:val="000000"/>
                <w:sz w:val="24"/>
                <w:szCs w:val="24"/>
                <w:lang w:val="en-US" w:eastAsia="zh-CN"/>
              </w:rPr>
              <w:t>0</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15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社会效益指标</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提高从业人员安全意识，岗前培训率</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100％</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100％</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满意度指标</w:t>
            </w:r>
          </w:p>
        </w:tc>
        <w:tc>
          <w:tcPr>
            <w:tcW w:w="1157"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服务对象满意度指标</w:t>
            </w: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培训人员满意度</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90％以上</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90％以上</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705"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1157"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c>
          <w:tcPr>
            <w:tcW w:w="3145" w:type="dxa"/>
            <w:gridSpan w:val="2"/>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eastAsia="zh-CN"/>
              </w:rPr>
            </w:pPr>
            <w:r>
              <w:rPr>
                <w:rFonts w:hint="default" w:ascii="Times New Roman" w:hAnsi="Times New Roman" w:eastAsia="方正仿宋_GBK" w:cs="Times New Roman"/>
                <w:bCs/>
                <w:color w:val="000000"/>
                <w:sz w:val="24"/>
                <w:szCs w:val="24"/>
                <w:lang w:eastAsia="zh-CN"/>
              </w:rPr>
              <w:t>主管部门满意度</w:t>
            </w:r>
          </w:p>
        </w:tc>
        <w:tc>
          <w:tcPr>
            <w:tcW w:w="143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lang w:val="en-US" w:eastAsia="zh-CN"/>
              </w:rPr>
            </w:pPr>
            <w:r>
              <w:rPr>
                <w:rFonts w:hint="default" w:ascii="Times New Roman" w:hAnsi="Times New Roman" w:eastAsia="方正仿宋_GBK" w:cs="Times New Roman"/>
                <w:sz w:val="24"/>
                <w:szCs w:val="24"/>
              </w:rPr>
              <w:t>90％以上</w:t>
            </w:r>
          </w:p>
        </w:tc>
        <w:tc>
          <w:tcPr>
            <w:tcW w:w="1559"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r>
              <w:rPr>
                <w:rFonts w:hint="default" w:ascii="Times New Roman" w:hAnsi="Times New Roman" w:eastAsia="方正仿宋_GBK" w:cs="Times New Roman"/>
                <w:sz w:val="24"/>
                <w:szCs w:val="24"/>
              </w:rPr>
              <w:t>90％以上</w:t>
            </w:r>
          </w:p>
        </w:tc>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说明</w:t>
            </w:r>
          </w:p>
        </w:tc>
        <w:tc>
          <w:tcPr>
            <w:tcW w:w="9310" w:type="dxa"/>
            <w:gridSpan w:val="7"/>
            <w:shd w:val="clear" w:color="auto" w:fill="auto"/>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无</w:t>
            </w:r>
          </w:p>
        </w:tc>
      </w:tr>
    </w:tbl>
    <w:p>
      <w:pPr>
        <w:pStyle w:val="2"/>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5"/>
          <w:rFonts w:hint="default" w:ascii="Times New Roman" w:hAnsi="Times New Roman" w:eastAsia="方正仿宋_GBK" w:cs="Times New Roman"/>
          <w:sz w:val="32"/>
          <w:szCs w:val="32"/>
        </w:rPr>
      </w:pPr>
      <w:bookmarkStart w:id="0" w:name="_GoBack"/>
      <w:bookmarkEnd w:id="0"/>
      <w:r>
        <w:rPr>
          <w:rStyle w:val="5"/>
          <w:rFonts w:hint="eastAsia" w:ascii="Times New Roman" w:hAnsi="Times New Roman" w:eastAsia="方正仿宋_GBK" w:cs="Times New Roman"/>
          <w:sz w:val="32"/>
          <w:szCs w:val="32"/>
          <w:lang w:val="en-US" w:eastAsia="zh-CN"/>
        </w:rPr>
        <w:t>2.</w:t>
      </w:r>
      <w:r>
        <w:rPr>
          <w:rStyle w:val="5"/>
          <w:rFonts w:hint="default" w:ascii="Times New Roman" w:hAnsi="Times New Roman" w:eastAsia="方正仿宋_GBK" w:cs="Times New Roman"/>
          <w:sz w:val="32"/>
          <w:szCs w:val="32"/>
        </w:rPr>
        <w:t>绩效自评报告或案例。</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b/>
          <w:bCs/>
          <w:sz w:val="32"/>
          <w:szCs w:val="32"/>
        </w:rPr>
      </w:pPr>
      <w:r>
        <w:rPr>
          <w:rFonts w:hint="default" w:ascii="Times New Roman" w:hAnsi="Times New Roman" w:eastAsia="方正仿宋_GBK" w:cs="Times New Roman"/>
          <w:sz w:val="32"/>
          <w:szCs w:val="32"/>
        </w:rPr>
        <w:t>我单位未委托第三方开展绩效自评。</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default" w:ascii="Times New Roman" w:hAnsi="Times New Roman" w:eastAsia="方正仿宋_GBK" w:cs="Times New Roman"/>
          <w:sz w:val="32"/>
          <w:szCs w:val="32"/>
        </w:rPr>
        <w:t>3.关于绩效自评结果的说明。</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安全管理专项经费项目绩效目标自评综述：根据年初设定的绩效目标，项目总体完成情况：违规违法建筑工地查出全年实际完成率达100%，非税罚没收入89万元，提高从业人员安全意识，岗前培训率达100%。主要效果：提高建筑施工现场一线从业人员安全意识，提升我县建筑安全 文明施工水平，进一步降低安全生产事故的发生。</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5"/>
          <w:rFonts w:hint="default" w:ascii="方正楷体_GBK" w:hAnsi="方正楷体_GBK" w:eastAsia="方正楷体_GBK" w:cs="方正楷体_GBK"/>
          <w:b w:val="0"/>
          <w:bCs w:val="0"/>
          <w:sz w:val="32"/>
          <w:szCs w:val="32"/>
        </w:rPr>
      </w:pPr>
      <w:r>
        <w:rPr>
          <w:rStyle w:val="5"/>
          <w:rFonts w:hint="default" w:ascii="方正楷体_GBK" w:hAnsi="方正楷体_GBK" w:eastAsia="方正楷体_GBK" w:cs="方正楷体_GBK"/>
          <w:b w:val="0"/>
          <w:bCs w:val="0"/>
          <w:sz w:val="32"/>
          <w:szCs w:val="32"/>
        </w:rPr>
        <w:t>（三）重点绩效评价结果。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我单位未委托第三方开展重点绩效评价。</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方正黑体_GBK" w:hAnsi="方正黑体_GBK" w:eastAsia="方正黑体_GBK" w:cs="方正黑体_GBK"/>
          <w:b w:val="0"/>
          <w:bCs w:val="0"/>
          <w:sz w:val="32"/>
          <w:szCs w:val="32"/>
        </w:rPr>
      </w:pPr>
      <w:r>
        <w:rPr>
          <w:rStyle w:val="5"/>
          <w:rFonts w:hint="eastAsia" w:ascii="方正黑体_GBK" w:hAnsi="方正黑体_GBK" w:eastAsia="方正黑体_GBK" w:cs="方正黑体_GBK"/>
          <w:b w:val="0"/>
          <w:bCs w:val="0"/>
          <w:sz w:val="32"/>
          <w:szCs w:val="32"/>
        </w:rPr>
        <w:t>六、专业名词解释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eastAsia" w:ascii="方正楷体_GBK" w:hAnsi="方正楷体_GBK" w:eastAsia="方正楷体_GBK" w:cs="方正楷体_GBK"/>
          <w:b w:val="0"/>
          <w:bCs w:val="0"/>
          <w:sz w:val="32"/>
          <w:szCs w:val="32"/>
        </w:rPr>
        <w:t>（一）财政拨款收入</w:t>
      </w:r>
      <w:r>
        <w:rPr>
          <w:rFonts w:hint="eastAsia" w:ascii="方正楷体_GBK" w:hAnsi="方正楷体_GBK" w:eastAsia="方正楷体_GBK" w:cs="方正楷体_GBK"/>
          <w:b w:val="0"/>
          <w:bCs w:val="0"/>
          <w:sz w:val="32"/>
          <w:szCs w:val="32"/>
        </w:rPr>
        <w:t>：</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（四）其他收入</w:t>
      </w: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（五）年初结转和结余：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（六）结余分配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（七）年末结转和结余</w:t>
      </w:r>
      <w:r>
        <w:rPr>
          <w:rFonts w:hint="default" w:ascii="Times New Roman" w:hAnsi="Times New Roman" w:eastAsia="方正仿宋_GBK" w:cs="Times New Roman"/>
          <w:sz w:val="32"/>
          <w:szCs w:val="32"/>
        </w:rPr>
        <w:t>：指单位结转下年的基本支出结转、项目支出结转和结余、经营结余。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（八）基本支出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（九）项目支出</w:t>
      </w:r>
      <w:r>
        <w:rPr>
          <w:rFonts w:hint="default" w:ascii="Times New Roman" w:hAnsi="Times New Roman" w:eastAsia="方正仿宋_GBK" w:cs="Times New Roman"/>
          <w:sz w:val="32"/>
          <w:szCs w:val="32"/>
        </w:rPr>
        <w:t>：指在基本支出之外为完成特定行政任务和事业发展目标所发生的支出。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（十）经营支出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（十一）“三公”经费</w:t>
      </w:r>
      <w:r>
        <w:rPr>
          <w:rFonts w:hint="default" w:ascii="Times New Roman" w:hAnsi="Times New Roman" w:eastAsia="方正仿宋_GBK" w:cs="Times New Roman"/>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（十二）机关运行经费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（十三）工资福利支出（支出经济分类科目类级）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（十四）商品和服务支出（支出经济分类科目类级）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（十五）对个人和家庭的补助（支出经济分类科目类级）</w:t>
      </w:r>
      <w:r>
        <w:rPr>
          <w:rFonts w:hint="default" w:ascii="Times New Roman" w:hAnsi="Times New Roman" w:eastAsia="方正仿宋_GBK" w:cs="Times New Roman"/>
          <w:sz w:val="32"/>
          <w:szCs w:val="32"/>
        </w:rPr>
        <w:t>：反映用于对个人和家庭的补助支出。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方正仿宋_GBK" w:cs="Times New Roman"/>
          <w:sz w:val="32"/>
          <w:szCs w:val="32"/>
        </w:rPr>
      </w:pPr>
      <w:r>
        <w:rPr>
          <w:rStyle w:val="5"/>
          <w:rFonts w:hint="default" w:ascii="方正楷体_GBK" w:hAnsi="方正楷体_GBK" w:eastAsia="方正楷体_GBK" w:cs="方正楷体_GBK"/>
          <w:b w:val="0"/>
          <w:bCs w:val="0"/>
          <w:sz w:val="32"/>
          <w:szCs w:val="32"/>
        </w:rPr>
        <w:t>（十六）其他资本性支出（支出经济分类科目类级）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方正黑体_GBK" w:hAnsi="方正黑体_GBK" w:eastAsia="方正黑体_GBK" w:cs="方正黑体_GBK"/>
          <w:b w:val="0"/>
          <w:bCs w:val="0"/>
          <w:sz w:val="32"/>
          <w:szCs w:val="32"/>
        </w:rPr>
      </w:pPr>
      <w:r>
        <w:rPr>
          <w:rStyle w:val="5"/>
          <w:rFonts w:hint="default" w:ascii="Times New Roman" w:hAnsi="Times New Roman" w:eastAsia="方正仿宋_GBK" w:cs="Times New Roman"/>
          <w:sz w:val="32"/>
          <w:szCs w:val="32"/>
        </w:rPr>
        <w:t xml:space="preserve"> </w:t>
      </w:r>
      <w:r>
        <w:rPr>
          <w:rStyle w:val="5"/>
          <w:rFonts w:hint="eastAsia" w:ascii="Times New Roman" w:hAnsi="Times New Roman" w:eastAsia="方正仿宋_GBK" w:cs="Times New Roman"/>
          <w:sz w:val="32"/>
          <w:szCs w:val="32"/>
          <w:lang w:val="en-US" w:eastAsia="zh-CN"/>
        </w:rPr>
        <w:t xml:space="preserve">       </w:t>
      </w:r>
      <w:r>
        <w:rPr>
          <w:rStyle w:val="5"/>
          <w:rFonts w:hint="eastAsia" w:ascii="方正黑体_GBK" w:hAnsi="方正黑体_GBK" w:eastAsia="方正黑体_GBK" w:cs="方正黑体_GBK"/>
          <w:b w:val="0"/>
          <w:bCs w:val="0"/>
          <w:sz w:val="32"/>
          <w:szCs w:val="32"/>
        </w:rPr>
        <w:t>七、决算公开联系方式及信息反馈渠道</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本单位决算公开信息反馈和联系方式：</w:t>
      </w:r>
      <w:r>
        <w:rPr>
          <w:rFonts w:hint="default" w:ascii="Times New Roman" w:hAnsi="Times New Roman" w:eastAsia="方正仿宋_GBK" w:cs="Times New Roman"/>
          <w:color w:val="000000" w:themeColor="text1"/>
          <w:sz w:val="32"/>
          <w:szCs w:val="32"/>
          <w14:textFill>
            <w14:solidFill>
              <w14:schemeClr w14:val="tx1"/>
            </w14:solidFill>
          </w14:textFill>
        </w:rPr>
        <w:t>023-70702811</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default" w:ascii="Times New Roman" w:hAnsi="Times New Roman" w:eastAsia="方正仿宋_GBK" w:cs="Times New Roman"/>
          <w:sz w:val="32"/>
          <w:szCs w:val="32"/>
        </w:rPr>
      </w:pPr>
    </w:p>
    <w:sectPr>
      <w:pgSz w:w="11907" w:h="16840"/>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标宋_GBK">
    <w:panose1 w:val="03000509000000000000"/>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幼线简体">
    <w:panose1 w:val="03000509000000000000"/>
    <w:charset w:val="86"/>
    <w:family w:val="auto"/>
    <w:pitch w:val="default"/>
    <w:sig w:usb0="00000001" w:usb1="080E0000" w:usb2="00000000" w:usb3="00000000" w:csb0="00040000" w:csb1="00000000"/>
  </w:font>
  <w:font w:name="方正新报宋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祥隶繁体">
    <w:panose1 w:val="03000509000000000000"/>
    <w:charset w:val="86"/>
    <w:family w:val="auto"/>
    <w:pitch w:val="default"/>
    <w:sig w:usb0="00000001" w:usb1="080E0000" w:usb2="00000000" w:usb3="00000000" w:csb0="00040000" w:csb1="00000000"/>
  </w:font>
  <w:font w:name="方正粗倩_GBK">
    <w:panose1 w:val="03000509000000000000"/>
    <w:charset w:val="86"/>
    <w:family w:val="auto"/>
    <w:pitch w:val="default"/>
    <w:sig w:usb0="00000001" w:usb1="080E0000" w:usb2="00000000" w:usb3="00000000" w:csb0="00040000" w:csb1="00000000"/>
  </w:font>
  <w:font w:name="方正细圆_GBK">
    <w:panose1 w:val="03000509000000000000"/>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noPunctuationKerning w:val="1"/>
  <w:characterSpacingControl w:val="doNotCompress"/>
  <w:compat>
    <w:doNotSnapToGridInCell/>
    <w:doNotWrapTextWithPunct/>
    <w:doNotUseEastAsianBreakRules/>
    <w:growAutofit/>
    <w:useFELayout/>
    <w:compatSetting w:name="compatibilityMode" w:uri="http://schemas.microsoft.com/office/word" w:val="14"/>
  </w:compat>
  <w:docVars>
    <w:docVar w:name="commondata" w:val="eyJoZGlkIjoiM2YyMmM2NWM4NzhmMTRlM2RkNTliMzdiMzk2YzY4MTAifQ=="/>
  </w:docVars>
  <w:rsids>
    <w:rsidRoot w:val="00CC6EE8"/>
    <w:rsid w:val="000856D8"/>
    <w:rsid w:val="00091BF8"/>
    <w:rsid w:val="000D40F7"/>
    <w:rsid w:val="00133726"/>
    <w:rsid w:val="001B0262"/>
    <w:rsid w:val="001E26E0"/>
    <w:rsid w:val="00241652"/>
    <w:rsid w:val="002933D9"/>
    <w:rsid w:val="003B0414"/>
    <w:rsid w:val="003C6789"/>
    <w:rsid w:val="00403916"/>
    <w:rsid w:val="0042636E"/>
    <w:rsid w:val="004D022E"/>
    <w:rsid w:val="005C7F5B"/>
    <w:rsid w:val="00636155"/>
    <w:rsid w:val="006F1C2D"/>
    <w:rsid w:val="00844310"/>
    <w:rsid w:val="008B53E6"/>
    <w:rsid w:val="00BA70BB"/>
    <w:rsid w:val="00C75817"/>
    <w:rsid w:val="00CC178C"/>
    <w:rsid w:val="00CC6EE8"/>
    <w:rsid w:val="00D22DB4"/>
    <w:rsid w:val="00D36B20"/>
    <w:rsid w:val="00DB1AAA"/>
    <w:rsid w:val="00E61607"/>
    <w:rsid w:val="00F31C81"/>
    <w:rsid w:val="00FE30A0"/>
    <w:rsid w:val="00FF72C1"/>
    <w:rsid w:val="06856661"/>
    <w:rsid w:val="090E651C"/>
    <w:rsid w:val="09535B02"/>
    <w:rsid w:val="15C40D7D"/>
    <w:rsid w:val="1B08392F"/>
    <w:rsid w:val="20BC17B5"/>
    <w:rsid w:val="21DA62E0"/>
    <w:rsid w:val="231E7718"/>
    <w:rsid w:val="3DDD11CE"/>
    <w:rsid w:val="3F732003"/>
    <w:rsid w:val="430B0051"/>
    <w:rsid w:val="515D16D3"/>
    <w:rsid w:val="64F9082A"/>
    <w:rsid w:val="6DFA0A06"/>
    <w:rsid w:val="6FF84144"/>
    <w:rsid w:val="771844CA"/>
    <w:rsid w:val="798C330F"/>
    <w:rsid w:val="7F9B1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p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XTC</Company>
  <Pages>13</Pages>
  <Words>5906</Words>
  <Characters>6630</Characters>
  <Lines>10</Lines>
  <Paragraphs>14</Paragraphs>
  <TotalTime>5</TotalTime>
  <ScaleCrop>false</ScaleCrop>
  <LinksUpToDate>false</LinksUpToDate>
  <CharactersWithSpaces>6790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2022-10-10T14:32:00Z</dcterms:created>
  <dc:creator>XTC</dc:creator>
  <cp:lastModifiedBy>墨与宁子</cp:lastModifiedBy>
  <cp:lastPrinted>2022-10-12T03:31:00Z</cp:lastPrinted>
  <dcterms:modified xsi:type="dcterms:W3CDTF">2022-10-12T07:24:56Z</dcterms:modified>
  <dc:title>公开报告模板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5AF121F5114E4490A73EA3579B646FFE</vt:lpwstr>
  </property>
</Properties>
</file>