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880" w:firstLineChars="200"/>
        <w:jc w:val="center"/>
        <w:textAlignment w:val="auto"/>
        <w:rPr>
          <w:rFonts w:hint="eastAsia" w:ascii="方正小标宋_GBK" w:hAnsi="方正小标宋_GBK" w:eastAsia="方正小标宋_GBK" w:cs="方正小标宋_GBK"/>
          <w:kern w:val="0"/>
          <w:sz w:val="44"/>
          <w:szCs w:val="44"/>
        </w:rPr>
      </w:pPr>
      <w:bookmarkStart w:id="0" w:name="_GoBack"/>
      <w:r>
        <w:rPr>
          <w:rFonts w:hint="eastAsia" w:ascii="方正小标宋_GBK" w:hAnsi="方正小标宋_GBK" w:eastAsia="方正小标宋_GBK" w:cs="方正小标宋_GBK"/>
          <w:kern w:val="0"/>
          <w:sz w:val="44"/>
          <w:szCs w:val="44"/>
          <w:shd w:val="clear" w:fill="FFFFFF"/>
        </w:rPr>
        <w:t>重庆市丰都县公共房屋保障中心</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880" w:firstLineChars="200"/>
        <w:jc w:val="center"/>
        <w:textAlignment w:val="auto"/>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shd w:val="clear" w:fill="FFFFFF"/>
        </w:rPr>
        <w:t>2021年度部门决算情况说明</w:t>
      </w:r>
      <w:bookmarkEnd w:id="0"/>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leftChars="0" w:right="0" w:rightChars="0" w:firstLine="643" w:firstLineChars="200"/>
        <w:jc w:val="left"/>
        <w:textAlignment w:val="auto"/>
        <w:rPr>
          <w:rFonts w:hint="default" w:ascii="Times New Roman" w:hAnsi="Times New Roman" w:eastAsia="方正仿宋_GBK" w:cs="Times New Roman"/>
          <w:b/>
          <w:bCs/>
          <w:sz w:val="32"/>
          <w:szCs w:val="32"/>
          <w:shd w:val="clear" w:fill="FFFFFF"/>
        </w:rPr>
      </w:pPr>
      <w:r>
        <w:rPr>
          <w:rStyle w:val="13"/>
          <w:rFonts w:hint="default" w:ascii="Times New Roman" w:hAnsi="Times New Roman" w:eastAsia="方正仿宋_GBK" w:cs="Times New Roman"/>
          <w:b/>
          <w:bCs/>
          <w:sz w:val="32"/>
          <w:szCs w:val="32"/>
          <w:shd w:val="clear" w:fill="FFFFFF"/>
        </w:rPr>
        <w:t xml:space="preserve"> </w:t>
      </w:r>
    </w:p>
    <w:p>
      <w:pPr>
        <w:pStyle w:val="1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Autospacing="0" w:line="560" w:lineRule="exact"/>
        <w:ind w:leftChars="200" w:right="0" w:rightChars="0"/>
        <w:jc w:val="left"/>
        <w:textAlignment w:val="auto"/>
        <w:rPr>
          <w:rFonts w:hint="eastAsia" w:ascii="方正黑体_GBK" w:hAnsi="方正黑体_GBK" w:eastAsia="方正黑体_GBK" w:cs="方正黑体_GBK"/>
          <w:b w:val="0"/>
          <w:bCs w:val="0"/>
          <w:sz w:val="32"/>
          <w:szCs w:val="32"/>
          <w:shd w:val="clear" w:fill="FFFFFF"/>
        </w:rPr>
      </w:pPr>
      <w:r>
        <w:rPr>
          <w:rStyle w:val="13"/>
          <w:rFonts w:hint="eastAsia" w:ascii="方正黑体_GBK" w:hAnsi="方正黑体_GBK" w:eastAsia="方正黑体_GBK" w:cs="方正黑体_GBK"/>
          <w:b w:val="0"/>
          <w:bCs w:val="0"/>
          <w:sz w:val="32"/>
          <w:szCs w:val="32"/>
          <w:shd w:val="clear" w:fill="FFFFFF"/>
          <w:lang w:eastAsia="zh-CN"/>
        </w:rPr>
        <w:t>一、</w:t>
      </w:r>
      <w:r>
        <w:rPr>
          <w:rStyle w:val="13"/>
          <w:rFonts w:hint="eastAsia" w:ascii="方正黑体_GBK" w:hAnsi="方正黑体_GBK" w:eastAsia="方正黑体_GBK" w:cs="方正黑体_GBK"/>
          <w:b w:val="0"/>
          <w:bCs w:val="0"/>
          <w:sz w:val="32"/>
          <w:szCs w:val="32"/>
          <w:shd w:val="clear" w:fill="FFFFFF"/>
        </w:rPr>
        <w:t>部门基本情况</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firstLine="320" w:firstLineChars="100"/>
        <w:jc w:val="left"/>
        <w:textAlignment w:val="auto"/>
        <w:rPr>
          <w:rFonts w:hint="eastAsia" w:ascii="方正楷体_GBK" w:hAnsi="方正楷体_GBK" w:eastAsia="方正楷体_GBK" w:cs="方正楷体_GBK"/>
          <w:b w:val="0"/>
          <w:bCs w:val="0"/>
          <w:sz w:val="32"/>
          <w:szCs w:val="32"/>
          <w:shd w:val="clear" w:fill="FFFFFF"/>
        </w:rPr>
      </w:pPr>
      <w:r>
        <w:rPr>
          <w:rStyle w:val="13"/>
          <w:rFonts w:hint="eastAsia" w:ascii="方正楷体_GBK" w:hAnsi="方正楷体_GBK" w:eastAsia="方正楷体_GBK" w:cs="方正楷体_GBK"/>
          <w:b w:val="0"/>
          <w:bCs w:val="0"/>
          <w:sz w:val="32"/>
          <w:szCs w:val="32"/>
          <w:shd w:val="clear" w:fill="FFFFFF"/>
        </w:rPr>
        <w:t>（一）职能职责。</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i w:val="0"/>
          <w:iCs w:val="0"/>
          <w:caps w:val="0"/>
          <w:color w:val="333333"/>
          <w:spacing w:val="0"/>
          <w:kern w:val="0"/>
          <w:sz w:val="32"/>
          <w:szCs w:val="32"/>
          <w:shd w:val="clear" w:fill="FFFFFF"/>
        </w:rPr>
        <w:t>本单位主管部门委托，负责全县保障性住房的建设和管理以及轮候配租和授权的其它国有资产的管理；负责实施全县住房制度改革；负责全县物业专项维修资金的归集、使用和管理；负责全县城镇房屋住用安全的监督管理；负责全县房地产市场的监管等职责。</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firstLine="640" w:firstLineChars="200"/>
        <w:jc w:val="left"/>
        <w:textAlignment w:val="auto"/>
        <w:rPr>
          <w:rFonts w:hint="eastAsia" w:ascii="方正楷体_GBK" w:hAnsi="方正楷体_GBK" w:eastAsia="方正楷体_GBK" w:cs="方正楷体_GBK"/>
          <w:b w:val="0"/>
          <w:bCs w:val="0"/>
          <w:sz w:val="32"/>
          <w:szCs w:val="32"/>
          <w:shd w:val="clear" w:fill="FFFFFF"/>
        </w:rPr>
      </w:pPr>
      <w:r>
        <w:rPr>
          <w:rStyle w:val="13"/>
          <w:rFonts w:hint="eastAsia" w:ascii="方正楷体_GBK" w:hAnsi="方正楷体_GBK" w:eastAsia="方正楷体_GBK" w:cs="方正楷体_GBK"/>
          <w:b w:val="0"/>
          <w:bCs w:val="0"/>
          <w:sz w:val="32"/>
          <w:szCs w:val="32"/>
          <w:shd w:val="clear" w:fill="FFFFFF"/>
        </w:rPr>
        <w:t>（二）机构设置。</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leftChars="0" w:right="0" w:righ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color w:val="FF0000"/>
          <w:kern w:val="0"/>
          <w:sz w:val="32"/>
          <w:szCs w:val="32"/>
          <w:shd w:val="clear" w:fill="FFFFFF"/>
        </w:rPr>
        <w:t xml:space="preserve"> </w:t>
      </w:r>
      <w:r>
        <w:rPr>
          <w:rFonts w:hint="eastAsia" w:ascii="方正仿宋_GBK" w:hAnsi="方正仿宋_GBK" w:eastAsia="方正仿宋_GBK" w:cs="方正仿宋_GBK"/>
          <w:i w:val="0"/>
          <w:iCs w:val="0"/>
          <w:caps w:val="0"/>
          <w:color w:val="333333"/>
          <w:spacing w:val="0"/>
          <w:kern w:val="0"/>
          <w:sz w:val="32"/>
          <w:szCs w:val="32"/>
          <w:shd w:val="clear" w:fill="FFFFFF"/>
        </w:rPr>
        <w:t>本单位设内设机构</w:t>
      </w:r>
      <w:r>
        <w:rPr>
          <w:rFonts w:hint="default" w:ascii="Times New Roman" w:hAnsi="Times New Roman" w:eastAsia="方正仿宋_GBK" w:cs="Times New Roman"/>
          <w:i w:val="0"/>
          <w:iCs w:val="0"/>
          <w:caps w:val="0"/>
          <w:color w:val="333333"/>
          <w:spacing w:val="0"/>
          <w:kern w:val="0"/>
          <w:sz w:val="32"/>
          <w:szCs w:val="32"/>
          <w:shd w:val="clear" w:fill="FFFFFF"/>
        </w:rPr>
        <w:t>6</w:t>
      </w:r>
      <w:r>
        <w:rPr>
          <w:rFonts w:hint="eastAsia" w:ascii="方正仿宋_GBK" w:hAnsi="方正仿宋_GBK" w:eastAsia="方正仿宋_GBK" w:cs="方正仿宋_GBK"/>
          <w:i w:val="0"/>
          <w:iCs w:val="0"/>
          <w:caps w:val="0"/>
          <w:color w:val="333333"/>
          <w:spacing w:val="0"/>
          <w:kern w:val="0"/>
          <w:sz w:val="32"/>
          <w:szCs w:val="32"/>
          <w:shd w:val="clear" w:fill="FFFFFF"/>
        </w:rPr>
        <w:t>个：办公室、规划建设科、住房保障科、房屋租赁科、房屋监管科、物业管理科。</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firstLine="640" w:firstLineChars="200"/>
        <w:jc w:val="left"/>
        <w:textAlignment w:val="auto"/>
        <w:rPr>
          <w:rFonts w:hint="eastAsia" w:ascii="方正楷体_GBK" w:hAnsi="方正楷体_GBK" w:eastAsia="方正楷体_GBK" w:cs="方正楷体_GBK"/>
          <w:b w:val="0"/>
          <w:bCs w:val="0"/>
          <w:sz w:val="32"/>
          <w:szCs w:val="32"/>
          <w:shd w:val="clear" w:fill="FFFFFF"/>
        </w:rPr>
      </w:pPr>
      <w:r>
        <w:rPr>
          <w:rStyle w:val="13"/>
          <w:rFonts w:hint="eastAsia" w:ascii="方正楷体_GBK" w:hAnsi="方正楷体_GBK" w:eastAsia="方正楷体_GBK" w:cs="方正楷体_GBK"/>
          <w:b w:val="0"/>
          <w:bCs w:val="0"/>
          <w:sz w:val="32"/>
          <w:szCs w:val="32"/>
          <w:shd w:val="clear" w:fill="FFFFFF"/>
        </w:rPr>
        <w:t>（三）单位构成。</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i w:val="0"/>
          <w:iCs w:val="0"/>
          <w:caps w:val="0"/>
          <w:color w:val="333333"/>
          <w:spacing w:val="0"/>
          <w:kern w:val="0"/>
          <w:sz w:val="32"/>
          <w:szCs w:val="32"/>
          <w:shd w:val="clear" w:fill="FFFFFF"/>
        </w:rPr>
        <w:t>本单位无纳入</w:t>
      </w:r>
      <w:r>
        <w:rPr>
          <w:rFonts w:hint="default" w:ascii="Times New Roman" w:hAnsi="Times New Roman" w:eastAsia="方正仿宋_GBK" w:cs="Times New Roman"/>
          <w:i w:val="0"/>
          <w:iCs w:val="0"/>
          <w:caps w:val="0"/>
          <w:color w:val="333333"/>
          <w:spacing w:val="0"/>
          <w:kern w:val="0"/>
          <w:sz w:val="32"/>
          <w:szCs w:val="32"/>
          <w:shd w:val="clear" w:fill="FFFFFF"/>
        </w:rPr>
        <w:t>2020</w:t>
      </w:r>
      <w:r>
        <w:rPr>
          <w:rFonts w:hint="eastAsia" w:ascii="方正仿宋_GBK" w:hAnsi="方正仿宋_GBK" w:eastAsia="方正仿宋_GBK" w:cs="方正仿宋_GBK"/>
          <w:i w:val="0"/>
          <w:iCs w:val="0"/>
          <w:caps w:val="0"/>
          <w:color w:val="333333"/>
          <w:spacing w:val="0"/>
          <w:kern w:val="0"/>
          <w:sz w:val="32"/>
          <w:szCs w:val="32"/>
          <w:shd w:val="clear" w:fill="FFFFFF"/>
        </w:rPr>
        <w:t>年度决算编制的下级预算单位。</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eastAsia" w:ascii="方正黑体_GBK" w:hAnsi="方正黑体_GBK" w:eastAsia="方正黑体_GBK" w:cs="方正黑体_GBK"/>
          <w:b w:val="0"/>
          <w:bCs w:val="0"/>
          <w:sz w:val="32"/>
          <w:szCs w:val="32"/>
          <w:shd w:val="clear" w:fill="FFFFFF"/>
        </w:rPr>
      </w:pPr>
      <w:r>
        <w:rPr>
          <w:rStyle w:val="13"/>
          <w:rFonts w:hint="default" w:ascii="Times New Roman" w:hAnsi="Times New Roman" w:eastAsia="方正仿宋_GBK" w:cs="Times New Roman"/>
          <w:b/>
          <w:bCs/>
          <w:sz w:val="32"/>
          <w:szCs w:val="32"/>
          <w:shd w:val="clear" w:fill="FFFFFF"/>
        </w:rPr>
        <w:t xml:space="preserve"> </w:t>
      </w:r>
      <w:r>
        <w:rPr>
          <w:rStyle w:val="13"/>
          <w:rFonts w:hint="eastAsia" w:ascii="方正黑体_GBK" w:hAnsi="方正黑体_GBK" w:eastAsia="方正黑体_GBK" w:cs="方正黑体_GBK"/>
          <w:b w:val="0"/>
          <w:bCs w:val="0"/>
          <w:sz w:val="32"/>
          <w:szCs w:val="32"/>
          <w:shd w:val="clear" w:fill="FFFFFF"/>
        </w:rPr>
        <w:t>二、部门决算情况说明</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方正楷体_GBK" w:hAnsi="方正楷体_GBK" w:eastAsia="方正楷体_GBK" w:cs="方正楷体_GBK"/>
          <w:b w:val="0"/>
          <w:bCs w:val="0"/>
          <w:sz w:val="32"/>
          <w:szCs w:val="32"/>
          <w:shd w:val="clear" w:fill="FFFFFF"/>
        </w:rPr>
      </w:pPr>
      <w:r>
        <w:rPr>
          <w:rStyle w:val="13"/>
          <w:rFonts w:hint="eastAsia" w:ascii="方正楷体_GBK" w:hAnsi="方正楷体_GBK" w:eastAsia="方正楷体_GBK" w:cs="方正楷体_GBK"/>
          <w:b w:val="0"/>
          <w:bCs w:val="0"/>
          <w:sz w:val="32"/>
          <w:szCs w:val="32"/>
          <w:shd w:val="clear" w:fill="FFFFFF"/>
        </w:rPr>
        <w:t>（一）收入支出决算总体情况说明。</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default" w:ascii="Times New Roman" w:hAnsi="Times New Roman" w:eastAsia="方正仿宋_GBK" w:cs="Times New Roman"/>
          <w:kern w:val="0"/>
          <w:sz w:val="32"/>
          <w:szCs w:val="32"/>
        </w:rPr>
      </w:pPr>
      <w:r>
        <w:rPr>
          <w:rStyle w:val="13"/>
          <w:rFonts w:hint="default" w:ascii="Times New Roman" w:hAnsi="Times New Roman" w:eastAsia="方正仿宋_GBK" w:cs="Times New Roman"/>
          <w:b/>
          <w:bCs/>
          <w:sz w:val="32"/>
          <w:szCs w:val="32"/>
          <w:shd w:val="clear" w:fill="FFFFFF"/>
        </w:rPr>
        <w:t xml:space="preserve">  1.</w:t>
      </w:r>
      <w:r>
        <w:rPr>
          <w:rStyle w:val="13"/>
          <w:rFonts w:hint="eastAsia" w:ascii="方正仿宋_GBK" w:hAnsi="方正仿宋_GBK" w:eastAsia="方正仿宋_GBK" w:cs="方正仿宋_GBK"/>
          <w:b/>
          <w:bCs/>
          <w:sz w:val="32"/>
          <w:szCs w:val="32"/>
          <w:shd w:val="clear" w:fill="FFFFFF"/>
        </w:rPr>
        <w:t>总体情况。</w:t>
      </w:r>
      <w:r>
        <w:rPr>
          <w:rFonts w:hint="default" w:ascii="Times New Roman" w:hAnsi="Times New Roman" w:eastAsia="方正仿宋_GBK" w:cs="Times New Roman"/>
          <w:kern w:val="0"/>
          <w:sz w:val="32"/>
          <w:szCs w:val="32"/>
          <w:shd w:val="clear" w:fill="FFFFFF"/>
        </w:rPr>
        <w:t>2021</w:t>
      </w:r>
      <w:r>
        <w:rPr>
          <w:rFonts w:hint="eastAsia" w:ascii="方正仿宋_GBK" w:hAnsi="方正仿宋_GBK" w:eastAsia="方正仿宋_GBK" w:cs="方正仿宋_GBK"/>
          <w:kern w:val="0"/>
          <w:sz w:val="32"/>
          <w:szCs w:val="32"/>
          <w:shd w:val="clear" w:fill="FFFFFF"/>
        </w:rPr>
        <w:t>年度收入总计</w:t>
      </w:r>
      <w:r>
        <w:rPr>
          <w:rFonts w:hint="default" w:ascii="Times New Roman" w:hAnsi="Times New Roman" w:eastAsia="方正仿宋_GBK" w:cs="Times New Roman"/>
          <w:kern w:val="0"/>
          <w:sz w:val="32"/>
          <w:szCs w:val="32"/>
          <w:shd w:val="clear" w:fill="FFFFFF"/>
        </w:rPr>
        <w:t>1,592.47</w:t>
      </w:r>
      <w:r>
        <w:rPr>
          <w:rFonts w:hint="eastAsia" w:ascii="方正仿宋_GBK" w:hAnsi="方正仿宋_GBK" w:eastAsia="方正仿宋_GBK" w:cs="方正仿宋_GBK"/>
          <w:kern w:val="0"/>
          <w:sz w:val="32"/>
          <w:szCs w:val="32"/>
          <w:shd w:val="clear" w:fill="FFFFFF"/>
        </w:rPr>
        <w:t>万元，支出总计</w:t>
      </w:r>
      <w:r>
        <w:rPr>
          <w:rFonts w:hint="default" w:ascii="Times New Roman" w:hAnsi="Times New Roman" w:eastAsia="方正仿宋_GBK" w:cs="Times New Roman"/>
          <w:kern w:val="0"/>
          <w:sz w:val="32"/>
          <w:szCs w:val="32"/>
          <w:shd w:val="clear" w:fill="FFFFFF"/>
        </w:rPr>
        <w:t>1,592.47</w:t>
      </w:r>
      <w:r>
        <w:rPr>
          <w:rFonts w:hint="eastAsia" w:ascii="方正仿宋_GBK" w:hAnsi="方正仿宋_GBK" w:eastAsia="方正仿宋_GBK" w:cs="方正仿宋_GBK"/>
          <w:kern w:val="0"/>
          <w:sz w:val="32"/>
          <w:szCs w:val="32"/>
          <w:shd w:val="clear" w:fill="FFFFFF"/>
        </w:rPr>
        <w:t>万元。收支较上年决算数减少</w:t>
      </w:r>
      <w:r>
        <w:rPr>
          <w:rFonts w:hint="default" w:ascii="Times New Roman" w:hAnsi="Times New Roman" w:eastAsia="方正仿宋_GBK" w:cs="Times New Roman"/>
          <w:kern w:val="0"/>
          <w:sz w:val="32"/>
          <w:szCs w:val="32"/>
          <w:shd w:val="clear" w:fill="FFFFFF"/>
        </w:rPr>
        <w:t>1,452.19</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47.7%</w:t>
      </w:r>
      <w:r>
        <w:rPr>
          <w:rFonts w:hint="eastAsia" w:ascii="方正仿宋_GBK" w:hAnsi="方正仿宋_GBK" w:eastAsia="方正仿宋_GBK" w:cs="方正仿宋_GBK"/>
          <w:kern w:val="0"/>
          <w:sz w:val="32"/>
          <w:szCs w:val="32"/>
          <w:shd w:val="clear" w:fill="FFFFFF"/>
        </w:rPr>
        <w:t>，主要原因</w:t>
      </w:r>
      <w:r>
        <w:rPr>
          <w:rFonts w:hint="eastAsia" w:ascii="方正仿宋_GBK" w:hAnsi="方正仿宋_GBK" w:eastAsia="方正仿宋_GBK" w:cs="方正仿宋_GBK"/>
          <w:i w:val="0"/>
          <w:iCs w:val="0"/>
          <w:caps w:val="0"/>
          <w:color w:val="333333"/>
          <w:spacing w:val="0"/>
          <w:kern w:val="0"/>
          <w:sz w:val="32"/>
          <w:szCs w:val="32"/>
          <w:shd w:val="clear" w:fill="FFFFFF"/>
        </w:rPr>
        <w:t>是本年度保障性住房投资减少。</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default" w:ascii="Times New Roman" w:hAnsi="Times New Roman" w:eastAsia="方正仿宋_GBK" w:cs="Times New Roman"/>
          <w:kern w:val="0"/>
          <w:sz w:val="32"/>
          <w:szCs w:val="32"/>
          <w:shd w:val="clear" w:fill="FFFFFF"/>
        </w:rPr>
      </w:pPr>
      <w:r>
        <w:rPr>
          <w:rStyle w:val="13"/>
          <w:rFonts w:hint="default" w:ascii="Times New Roman" w:hAnsi="Times New Roman" w:eastAsia="方正仿宋_GBK" w:cs="Times New Roman"/>
          <w:b/>
          <w:bCs/>
          <w:sz w:val="32"/>
          <w:szCs w:val="32"/>
          <w:shd w:val="clear" w:fill="FFFFFF"/>
        </w:rPr>
        <w:t xml:space="preserve">  2.</w:t>
      </w:r>
      <w:r>
        <w:rPr>
          <w:rStyle w:val="13"/>
          <w:rFonts w:hint="eastAsia" w:ascii="方正仿宋_GBK" w:hAnsi="方正仿宋_GBK" w:eastAsia="方正仿宋_GBK" w:cs="方正仿宋_GBK"/>
          <w:b/>
          <w:bCs/>
          <w:sz w:val="32"/>
          <w:szCs w:val="32"/>
          <w:shd w:val="clear" w:fill="FFFFFF"/>
        </w:rPr>
        <w:t>收入情况。</w:t>
      </w:r>
      <w:r>
        <w:rPr>
          <w:rFonts w:hint="default" w:ascii="Times New Roman" w:hAnsi="Times New Roman" w:eastAsia="方正仿宋_GBK" w:cs="Times New Roman"/>
          <w:kern w:val="0"/>
          <w:sz w:val="32"/>
          <w:szCs w:val="32"/>
          <w:shd w:val="clear" w:fill="FFFFFF"/>
        </w:rPr>
        <w:t>2021</w:t>
      </w:r>
      <w:r>
        <w:rPr>
          <w:rFonts w:hint="eastAsia" w:ascii="方正仿宋_GBK" w:hAnsi="方正仿宋_GBK" w:eastAsia="方正仿宋_GBK" w:cs="方正仿宋_GBK"/>
          <w:kern w:val="0"/>
          <w:sz w:val="32"/>
          <w:szCs w:val="32"/>
          <w:shd w:val="clear" w:fill="FFFFFF"/>
        </w:rPr>
        <w:t>年度收入合计</w:t>
      </w:r>
      <w:r>
        <w:rPr>
          <w:rFonts w:hint="default" w:ascii="Times New Roman" w:hAnsi="Times New Roman" w:eastAsia="方正仿宋_GBK" w:cs="Times New Roman"/>
          <w:kern w:val="0"/>
          <w:sz w:val="32"/>
          <w:szCs w:val="32"/>
          <w:shd w:val="clear" w:fill="FFFFFF"/>
        </w:rPr>
        <w:t>1,592.47</w:t>
      </w:r>
      <w:r>
        <w:rPr>
          <w:rFonts w:hint="eastAsia" w:ascii="方正仿宋_GBK" w:hAnsi="方正仿宋_GBK" w:eastAsia="方正仿宋_GBK" w:cs="方正仿宋_GBK"/>
          <w:kern w:val="0"/>
          <w:sz w:val="32"/>
          <w:szCs w:val="32"/>
          <w:shd w:val="clear" w:fill="FFFFFF"/>
        </w:rPr>
        <w:t>万元，较上年决算数减少</w:t>
      </w:r>
      <w:r>
        <w:rPr>
          <w:rFonts w:hint="default" w:ascii="Times New Roman" w:hAnsi="Times New Roman" w:eastAsia="方正仿宋_GBK" w:cs="Times New Roman"/>
          <w:kern w:val="0"/>
          <w:sz w:val="32"/>
          <w:szCs w:val="32"/>
          <w:shd w:val="clear" w:fill="FFFFFF"/>
        </w:rPr>
        <w:t>1,452.19</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47.7%</w:t>
      </w:r>
      <w:r>
        <w:rPr>
          <w:rFonts w:hint="eastAsia" w:ascii="方正仿宋_GBK" w:hAnsi="方正仿宋_GBK" w:eastAsia="方正仿宋_GBK" w:cs="方正仿宋_GBK"/>
          <w:kern w:val="0"/>
          <w:sz w:val="32"/>
          <w:szCs w:val="32"/>
          <w:shd w:val="clear" w:fill="FFFFFF"/>
        </w:rPr>
        <w:t>，主要原因是</w:t>
      </w:r>
      <w:r>
        <w:rPr>
          <w:rFonts w:hint="eastAsia" w:ascii="方正仿宋_GBK" w:hAnsi="方正仿宋_GBK" w:eastAsia="方正仿宋_GBK" w:cs="方正仿宋_GBK"/>
          <w:i w:val="0"/>
          <w:iCs w:val="0"/>
          <w:caps w:val="0"/>
          <w:color w:val="333333"/>
          <w:spacing w:val="0"/>
          <w:kern w:val="0"/>
          <w:sz w:val="32"/>
          <w:szCs w:val="32"/>
          <w:shd w:val="clear" w:fill="FFFFFF"/>
        </w:rPr>
        <w:t>本年度保障性住房投资减少。</w:t>
      </w:r>
      <w:r>
        <w:rPr>
          <w:rFonts w:hint="eastAsia" w:ascii="方正仿宋_GBK" w:hAnsi="方正仿宋_GBK" w:eastAsia="方正仿宋_GBK" w:cs="方正仿宋_GBK"/>
          <w:kern w:val="0"/>
          <w:sz w:val="32"/>
          <w:szCs w:val="32"/>
          <w:shd w:val="clear" w:fill="FFFFFF"/>
        </w:rPr>
        <w:t>其中：财政拨款收入</w:t>
      </w:r>
      <w:r>
        <w:rPr>
          <w:rFonts w:hint="default" w:ascii="Times New Roman" w:hAnsi="Times New Roman" w:eastAsia="方正仿宋_GBK" w:cs="Times New Roman"/>
          <w:kern w:val="0"/>
          <w:sz w:val="32"/>
          <w:szCs w:val="32"/>
          <w:shd w:val="clear" w:fill="FFFFFF"/>
        </w:rPr>
        <w:t>1,592.47</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100%</w:t>
      </w:r>
      <w:r>
        <w:rPr>
          <w:rFonts w:hint="eastAsia" w:ascii="方正仿宋_GBK" w:hAnsi="方正仿宋_GBK" w:eastAsia="方正仿宋_GBK" w:cs="方正仿宋_GBK"/>
          <w:kern w:val="0"/>
          <w:sz w:val="32"/>
          <w:szCs w:val="32"/>
          <w:shd w:val="clear" w:fill="FFFFFF"/>
        </w:rPr>
        <w:t>；事业收入</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；经营收入</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；其他收入</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。此外，使用非财政拨款结余</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万元，年初结转和结余</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default" w:ascii="Times New Roman" w:hAnsi="Times New Roman" w:eastAsia="方正仿宋_GBK" w:cs="Times New Roman"/>
          <w:kern w:val="0"/>
          <w:sz w:val="32"/>
          <w:szCs w:val="32"/>
          <w:shd w:val="clear" w:fill="FFFFFF"/>
        </w:rPr>
      </w:pPr>
      <w:r>
        <w:rPr>
          <w:rStyle w:val="13"/>
          <w:rFonts w:hint="default" w:ascii="Times New Roman" w:hAnsi="Times New Roman" w:eastAsia="方正仿宋_GBK" w:cs="Times New Roman"/>
          <w:b/>
          <w:bCs/>
          <w:sz w:val="32"/>
          <w:szCs w:val="32"/>
          <w:shd w:val="clear" w:fill="FFFFFF"/>
        </w:rPr>
        <w:t>3.</w:t>
      </w:r>
      <w:r>
        <w:rPr>
          <w:rStyle w:val="13"/>
          <w:rFonts w:hint="eastAsia" w:ascii="方正仿宋_GBK" w:hAnsi="方正仿宋_GBK" w:eastAsia="方正仿宋_GBK" w:cs="方正仿宋_GBK"/>
          <w:b/>
          <w:bCs/>
          <w:sz w:val="32"/>
          <w:szCs w:val="32"/>
          <w:shd w:val="clear" w:fill="FFFFFF"/>
        </w:rPr>
        <w:t>支出情况。</w:t>
      </w:r>
      <w:r>
        <w:rPr>
          <w:rFonts w:hint="default" w:ascii="Times New Roman" w:hAnsi="Times New Roman" w:eastAsia="方正仿宋_GBK" w:cs="Times New Roman"/>
          <w:kern w:val="0"/>
          <w:sz w:val="32"/>
          <w:szCs w:val="32"/>
          <w:shd w:val="clear" w:fill="FFFFFF"/>
        </w:rPr>
        <w:t>2021</w:t>
      </w:r>
      <w:r>
        <w:rPr>
          <w:rFonts w:hint="eastAsia" w:ascii="方正仿宋_GBK" w:hAnsi="方正仿宋_GBK" w:eastAsia="方正仿宋_GBK" w:cs="方正仿宋_GBK"/>
          <w:kern w:val="0"/>
          <w:sz w:val="32"/>
          <w:szCs w:val="32"/>
          <w:shd w:val="clear" w:fill="FFFFFF"/>
        </w:rPr>
        <w:t>年度支出合计</w:t>
      </w:r>
      <w:r>
        <w:rPr>
          <w:rFonts w:hint="default" w:ascii="Times New Roman" w:hAnsi="Times New Roman" w:eastAsia="方正仿宋_GBK" w:cs="Times New Roman"/>
          <w:kern w:val="0"/>
          <w:sz w:val="32"/>
          <w:szCs w:val="32"/>
          <w:shd w:val="clear" w:fill="FFFFFF"/>
        </w:rPr>
        <w:t>1,592.47</w:t>
      </w:r>
      <w:r>
        <w:rPr>
          <w:rFonts w:hint="eastAsia" w:ascii="方正仿宋_GBK" w:hAnsi="方正仿宋_GBK" w:eastAsia="方正仿宋_GBK" w:cs="方正仿宋_GBK"/>
          <w:kern w:val="0"/>
          <w:sz w:val="32"/>
          <w:szCs w:val="32"/>
          <w:shd w:val="clear" w:fill="FFFFFF"/>
        </w:rPr>
        <w:t>万元，较上年决算数减少</w:t>
      </w:r>
      <w:r>
        <w:rPr>
          <w:rFonts w:hint="default" w:ascii="Times New Roman" w:hAnsi="Times New Roman" w:eastAsia="方正仿宋_GBK" w:cs="Times New Roman"/>
          <w:kern w:val="0"/>
          <w:sz w:val="32"/>
          <w:szCs w:val="32"/>
          <w:shd w:val="clear" w:fill="FFFFFF"/>
        </w:rPr>
        <w:t>1,452.19</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47.7%</w:t>
      </w:r>
      <w:r>
        <w:rPr>
          <w:rFonts w:hint="eastAsia" w:ascii="方正仿宋_GBK" w:hAnsi="方正仿宋_GBK" w:eastAsia="方正仿宋_GBK" w:cs="方正仿宋_GBK"/>
          <w:kern w:val="0"/>
          <w:sz w:val="32"/>
          <w:szCs w:val="32"/>
          <w:shd w:val="clear" w:fill="FFFFFF"/>
        </w:rPr>
        <w:t>，主要原因是</w:t>
      </w:r>
      <w:r>
        <w:rPr>
          <w:rFonts w:hint="eastAsia" w:ascii="方正仿宋_GBK" w:hAnsi="方正仿宋_GBK" w:eastAsia="方正仿宋_GBK" w:cs="方正仿宋_GBK"/>
          <w:i w:val="0"/>
          <w:iCs w:val="0"/>
          <w:caps w:val="0"/>
          <w:color w:val="333333"/>
          <w:spacing w:val="0"/>
          <w:kern w:val="0"/>
          <w:sz w:val="32"/>
          <w:szCs w:val="32"/>
          <w:shd w:val="clear" w:fill="FFFFFF"/>
        </w:rPr>
        <w:t>本年度保障性住房投资减少。</w:t>
      </w:r>
      <w:r>
        <w:rPr>
          <w:rFonts w:hint="eastAsia" w:ascii="方正仿宋_GBK" w:hAnsi="方正仿宋_GBK" w:eastAsia="方正仿宋_GBK" w:cs="方正仿宋_GBK"/>
          <w:kern w:val="0"/>
          <w:sz w:val="32"/>
          <w:szCs w:val="32"/>
          <w:shd w:val="clear" w:fill="FFFFFF"/>
        </w:rPr>
        <w:t>其中：基本支出</w:t>
      </w:r>
      <w:r>
        <w:rPr>
          <w:rFonts w:hint="default" w:ascii="Times New Roman" w:hAnsi="Times New Roman" w:eastAsia="方正仿宋_GBK" w:cs="Times New Roman"/>
          <w:kern w:val="0"/>
          <w:sz w:val="32"/>
          <w:szCs w:val="32"/>
          <w:shd w:val="clear" w:fill="FFFFFF"/>
        </w:rPr>
        <w:t>413.37</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26%</w:t>
      </w:r>
      <w:r>
        <w:rPr>
          <w:rFonts w:hint="eastAsia" w:ascii="方正仿宋_GBK" w:hAnsi="方正仿宋_GBK" w:eastAsia="方正仿宋_GBK" w:cs="方正仿宋_GBK"/>
          <w:kern w:val="0"/>
          <w:sz w:val="32"/>
          <w:szCs w:val="32"/>
          <w:shd w:val="clear" w:fill="FFFFFF"/>
        </w:rPr>
        <w:t>；项目支出</w:t>
      </w:r>
      <w:r>
        <w:rPr>
          <w:rFonts w:hint="default" w:ascii="Times New Roman" w:hAnsi="Times New Roman" w:eastAsia="方正仿宋_GBK" w:cs="Times New Roman"/>
          <w:kern w:val="0"/>
          <w:sz w:val="32"/>
          <w:szCs w:val="32"/>
          <w:shd w:val="clear" w:fill="FFFFFF"/>
        </w:rPr>
        <w:t>1,179.10</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74%</w:t>
      </w:r>
      <w:r>
        <w:rPr>
          <w:rFonts w:hint="eastAsia" w:ascii="方正仿宋_GBK" w:hAnsi="方正仿宋_GBK" w:eastAsia="方正仿宋_GBK" w:cs="方正仿宋_GBK"/>
          <w:kern w:val="0"/>
          <w:sz w:val="32"/>
          <w:szCs w:val="32"/>
          <w:shd w:val="clear" w:fill="FFFFFF"/>
        </w:rPr>
        <w:t>；经营支出</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。此外，结余分配</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default" w:ascii="Times New Roman" w:hAnsi="Times New Roman" w:eastAsia="方正仿宋_GBK" w:cs="Times New Roman"/>
          <w:i w:val="0"/>
          <w:iCs w:val="0"/>
          <w:caps w:val="0"/>
          <w:color w:val="333333"/>
          <w:spacing w:val="0"/>
          <w:kern w:val="0"/>
          <w:sz w:val="32"/>
          <w:szCs w:val="32"/>
          <w:shd w:val="clear" w:fill="FFFFFF"/>
        </w:rPr>
      </w:pPr>
      <w:r>
        <w:rPr>
          <w:rStyle w:val="13"/>
          <w:rFonts w:hint="default" w:ascii="Times New Roman" w:hAnsi="Times New Roman" w:eastAsia="方正仿宋_GBK" w:cs="Times New Roman"/>
          <w:b/>
          <w:bCs/>
          <w:sz w:val="32"/>
          <w:szCs w:val="32"/>
          <w:shd w:val="clear" w:fill="FFFFFF"/>
        </w:rPr>
        <w:t xml:space="preserve">  4.</w:t>
      </w:r>
      <w:r>
        <w:rPr>
          <w:rStyle w:val="13"/>
          <w:rFonts w:hint="eastAsia" w:ascii="方正仿宋_GBK" w:hAnsi="方正仿宋_GBK" w:eastAsia="方正仿宋_GBK" w:cs="方正仿宋_GBK"/>
          <w:b/>
          <w:bCs/>
          <w:sz w:val="32"/>
          <w:szCs w:val="32"/>
          <w:shd w:val="clear" w:fill="FFFFFF"/>
        </w:rPr>
        <w:t>结转结余情况。</w:t>
      </w:r>
      <w:r>
        <w:rPr>
          <w:rFonts w:hint="default" w:ascii="Times New Roman" w:hAnsi="Times New Roman" w:eastAsia="方正仿宋_GBK" w:cs="Times New Roman"/>
          <w:i w:val="0"/>
          <w:iCs w:val="0"/>
          <w:caps w:val="0"/>
          <w:color w:val="333333"/>
          <w:spacing w:val="0"/>
          <w:kern w:val="0"/>
          <w:sz w:val="32"/>
          <w:szCs w:val="32"/>
          <w:shd w:val="clear" w:fill="FFFFFF"/>
        </w:rPr>
        <w:t>2021</w:t>
      </w:r>
      <w:r>
        <w:rPr>
          <w:rFonts w:hint="eastAsia" w:ascii="方正仿宋_GBK" w:hAnsi="方正仿宋_GBK" w:eastAsia="方正仿宋_GBK" w:cs="方正仿宋_GBK"/>
          <w:i w:val="0"/>
          <w:iCs w:val="0"/>
          <w:caps w:val="0"/>
          <w:color w:val="333333"/>
          <w:spacing w:val="0"/>
          <w:kern w:val="0"/>
          <w:sz w:val="32"/>
          <w:szCs w:val="32"/>
          <w:shd w:val="clear" w:fill="FFFFFF"/>
        </w:rPr>
        <w:t>年度年末无结转和结余，</w:t>
      </w:r>
      <w:r>
        <w:rPr>
          <w:rFonts w:hint="default" w:ascii="Times New Roman" w:hAnsi="Times New Roman" w:eastAsia="方正仿宋_GBK" w:cs="Times New Roman"/>
          <w:i w:val="0"/>
          <w:iCs w:val="0"/>
          <w:caps w:val="0"/>
          <w:color w:val="333333"/>
          <w:spacing w:val="0"/>
          <w:kern w:val="0"/>
          <w:sz w:val="32"/>
          <w:szCs w:val="32"/>
          <w:shd w:val="clear" w:fill="FFFFFF"/>
        </w:rPr>
        <w:t>2020</w:t>
      </w:r>
      <w:r>
        <w:rPr>
          <w:rFonts w:hint="eastAsia" w:ascii="方正仿宋_GBK" w:hAnsi="方正仿宋_GBK" w:eastAsia="方正仿宋_GBK" w:cs="方正仿宋_GBK"/>
          <w:i w:val="0"/>
          <w:iCs w:val="0"/>
          <w:caps w:val="0"/>
          <w:color w:val="333333"/>
          <w:spacing w:val="0"/>
          <w:kern w:val="0"/>
          <w:sz w:val="32"/>
          <w:szCs w:val="32"/>
          <w:shd w:val="clear" w:fill="FFFFFF"/>
        </w:rPr>
        <w:t>年末也无结转结余。</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方正楷体_GBK" w:hAnsi="方正楷体_GBK" w:eastAsia="方正楷体_GBK" w:cs="方正楷体_GBK"/>
          <w:b w:val="0"/>
          <w:bCs w:val="0"/>
          <w:sz w:val="32"/>
          <w:szCs w:val="32"/>
          <w:shd w:val="clear" w:fill="FFFFFF"/>
        </w:rPr>
      </w:pPr>
      <w:r>
        <w:rPr>
          <w:rStyle w:val="13"/>
          <w:rFonts w:hint="eastAsia" w:ascii="方正楷体_GBK" w:hAnsi="方正楷体_GBK" w:eastAsia="方正楷体_GBK" w:cs="方正楷体_GBK"/>
          <w:b w:val="0"/>
          <w:bCs w:val="0"/>
          <w:sz w:val="32"/>
          <w:szCs w:val="32"/>
          <w:shd w:val="clear" w:fill="FFFFFF"/>
        </w:rPr>
        <w:t>（二）财政拨款收入支出决算总体情况说明。</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fill="FFFFFF"/>
        </w:rPr>
        <w:t>2021</w:t>
      </w:r>
      <w:r>
        <w:rPr>
          <w:rFonts w:hint="eastAsia" w:ascii="方正仿宋_GBK" w:hAnsi="方正仿宋_GBK" w:eastAsia="方正仿宋_GBK" w:cs="方正仿宋_GBK"/>
          <w:kern w:val="0"/>
          <w:sz w:val="32"/>
          <w:szCs w:val="32"/>
          <w:shd w:val="clear" w:fill="FFFFFF"/>
        </w:rPr>
        <w:t>年度财政拨款收、支总计</w:t>
      </w:r>
      <w:r>
        <w:rPr>
          <w:rFonts w:hint="default" w:ascii="Times New Roman" w:hAnsi="Times New Roman" w:eastAsia="方正仿宋_GBK" w:cs="Times New Roman"/>
          <w:kern w:val="0"/>
          <w:sz w:val="32"/>
          <w:szCs w:val="32"/>
          <w:shd w:val="clear" w:fill="FFFFFF"/>
        </w:rPr>
        <w:t>1,592.47</w:t>
      </w:r>
      <w:r>
        <w:rPr>
          <w:rFonts w:hint="eastAsia" w:ascii="方正仿宋_GBK" w:hAnsi="方正仿宋_GBK" w:eastAsia="方正仿宋_GBK" w:cs="方正仿宋_GBK"/>
          <w:kern w:val="0"/>
          <w:sz w:val="32"/>
          <w:szCs w:val="32"/>
          <w:shd w:val="clear" w:fill="FFFFFF"/>
        </w:rPr>
        <w:t>万元。与</w:t>
      </w:r>
      <w:r>
        <w:rPr>
          <w:rFonts w:hint="default" w:ascii="Times New Roman" w:hAnsi="Times New Roman" w:eastAsia="方正仿宋_GBK" w:cs="Times New Roman"/>
          <w:kern w:val="0"/>
          <w:sz w:val="32"/>
          <w:szCs w:val="32"/>
          <w:shd w:val="clear" w:fill="FFFFFF"/>
        </w:rPr>
        <w:t>2020</w:t>
      </w:r>
      <w:r>
        <w:rPr>
          <w:rFonts w:hint="eastAsia" w:ascii="方正仿宋_GBK" w:hAnsi="方正仿宋_GBK" w:eastAsia="方正仿宋_GBK" w:cs="方正仿宋_GBK"/>
          <w:kern w:val="0"/>
          <w:sz w:val="32"/>
          <w:szCs w:val="32"/>
          <w:shd w:val="clear" w:fill="FFFFFF"/>
        </w:rPr>
        <w:t>年相比，财政拨款收、支总计各减少</w:t>
      </w:r>
      <w:r>
        <w:rPr>
          <w:rFonts w:hint="default" w:ascii="Times New Roman" w:hAnsi="Times New Roman" w:eastAsia="方正仿宋_GBK" w:cs="Times New Roman"/>
          <w:kern w:val="0"/>
          <w:sz w:val="32"/>
          <w:szCs w:val="32"/>
          <w:shd w:val="clear" w:fill="FFFFFF"/>
        </w:rPr>
        <w:t>1,452.19</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47.7%</w:t>
      </w:r>
      <w:r>
        <w:rPr>
          <w:rFonts w:hint="eastAsia" w:ascii="方正仿宋_GBK" w:hAnsi="方正仿宋_GBK" w:eastAsia="方正仿宋_GBK" w:cs="方正仿宋_GBK"/>
          <w:kern w:val="0"/>
          <w:sz w:val="32"/>
          <w:szCs w:val="32"/>
          <w:shd w:val="clear" w:fill="FFFFFF"/>
        </w:rPr>
        <w:t>。主要原因是</w:t>
      </w:r>
      <w:r>
        <w:rPr>
          <w:rFonts w:hint="eastAsia" w:ascii="方正仿宋_GBK" w:hAnsi="方正仿宋_GBK" w:eastAsia="方正仿宋_GBK" w:cs="方正仿宋_GBK"/>
          <w:i w:val="0"/>
          <w:iCs w:val="0"/>
          <w:caps w:val="0"/>
          <w:color w:val="333333"/>
          <w:spacing w:val="0"/>
          <w:kern w:val="0"/>
          <w:sz w:val="32"/>
          <w:szCs w:val="32"/>
          <w:shd w:val="clear" w:fill="FFFFFF"/>
        </w:rPr>
        <w:t>本年度保障性住房投资减少。</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方正楷体_GBK" w:hAnsi="方正楷体_GBK" w:eastAsia="方正楷体_GBK" w:cs="方正楷体_GBK"/>
          <w:b w:val="0"/>
          <w:bCs w:val="0"/>
          <w:sz w:val="32"/>
          <w:szCs w:val="32"/>
          <w:shd w:val="clear" w:fill="FFFFFF"/>
        </w:rPr>
      </w:pPr>
      <w:r>
        <w:rPr>
          <w:rStyle w:val="13"/>
          <w:rFonts w:hint="eastAsia" w:ascii="方正楷体_GBK" w:hAnsi="方正楷体_GBK" w:eastAsia="方正楷体_GBK" w:cs="方正楷体_GBK"/>
          <w:b w:val="0"/>
          <w:bCs w:val="0"/>
          <w:sz w:val="32"/>
          <w:szCs w:val="32"/>
          <w:shd w:val="clear" w:fill="FFFFFF"/>
        </w:rPr>
        <w:t>（三）一般公共预算财政拨款收入支出决算情况说明。</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default" w:ascii="Times New Roman" w:hAnsi="Times New Roman" w:eastAsia="方正仿宋_GBK" w:cs="Times New Roman"/>
          <w:kern w:val="0"/>
          <w:sz w:val="32"/>
          <w:szCs w:val="32"/>
        </w:rPr>
      </w:pPr>
      <w:r>
        <w:rPr>
          <w:rStyle w:val="13"/>
          <w:rFonts w:hint="default" w:ascii="Times New Roman" w:hAnsi="Times New Roman" w:eastAsia="方正仿宋_GBK" w:cs="Times New Roman"/>
          <w:b/>
          <w:bCs/>
          <w:sz w:val="32"/>
          <w:szCs w:val="32"/>
          <w:shd w:val="clear" w:fill="FFFFFF"/>
        </w:rPr>
        <w:t xml:space="preserve">  1.</w:t>
      </w:r>
      <w:r>
        <w:rPr>
          <w:rStyle w:val="13"/>
          <w:rFonts w:hint="eastAsia" w:ascii="方正仿宋_GBK" w:hAnsi="方正仿宋_GBK" w:eastAsia="方正仿宋_GBK" w:cs="方正仿宋_GBK"/>
          <w:b/>
          <w:bCs/>
          <w:sz w:val="32"/>
          <w:szCs w:val="32"/>
          <w:shd w:val="clear" w:fill="FFFFFF"/>
        </w:rPr>
        <w:t>收入情况。</w:t>
      </w:r>
      <w:r>
        <w:rPr>
          <w:rFonts w:hint="default" w:ascii="Times New Roman" w:hAnsi="Times New Roman" w:eastAsia="方正仿宋_GBK" w:cs="Times New Roman"/>
          <w:kern w:val="0"/>
          <w:sz w:val="32"/>
          <w:szCs w:val="32"/>
          <w:shd w:val="clear" w:fill="FFFFFF"/>
        </w:rPr>
        <w:t>2021</w:t>
      </w:r>
      <w:r>
        <w:rPr>
          <w:rFonts w:hint="eastAsia" w:ascii="方正仿宋_GBK" w:hAnsi="方正仿宋_GBK" w:eastAsia="方正仿宋_GBK" w:cs="方正仿宋_GBK"/>
          <w:kern w:val="0"/>
          <w:sz w:val="32"/>
          <w:szCs w:val="32"/>
          <w:shd w:val="clear" w:fill="FFFFFF"/>
        </w:rPr>
        <w:t>年度一般公共预算财政拨款收入</w:t>
      </w:r>
      <w:r>
        <w:rPr>
          <w:rFonts w:hint="default" w:ascii="Times New Roman" w:hAnsi="Times New Roman" w:eastAsia="方正仿宋_GBK" w:cs="Times New Roman"/>
          <w:kern w:val="0"/>
          <w:sz w:val="32"/>
          <w:szCs w:val="32"/>
          <w:shd w:val="clear" w:fill="FFFFFF"/>
        </w:rPr>
        <w:t>1,592.47</w:t>
      </w:r>
      <w:r>
        <w:rPr>
          <w:rFonts w:hint="eastAsia" w:ascii="方正仿宋_GBK" w:hAnsi="方正仿宋_GBK" w:eastAsia="方正仿宋_GBK" w:cs="方正仿宋_GBK"/>
          <w:kern w:val="0"/>
          <w:sz w:val="32"/>
          <w:szCs w:val="32"/>
          <w:shd w:val="clear" w:fill="FFFFFF"/>
        </w:rPr>
        <w:t>万元，较上年决算数减少</w:t>
      </w:r>
      <w:r>
        <w:rPr>
          <w:rFonts w:hint="default" w:ascii="Times New Roman" w:hAnsi="Times New Roman" w:eastAsia="方正仿宋_GBK" w:cs="Times New Roman"/>
          <w:kern w:val="0"/>
          <w:sz w:val="32"/>
          <w:szCs w:val="32"/>
          <w:shd w:val="clear" w:fill="FFFFFF"/>
        </w:rPr>
        <w:t>1,452.19</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47.7%</w:t>
      </w:r>
      <w:r>
        <w:rPr>
          <w:rFonts w:hint="eastAsia" w:ascii="方正仿宋_GBK" w:hAnsi="方正仿宋_GBK" w:eastAsia="方正仿宋_GBK" w:cs="方正仿宋_GBK"/>
          <w:kern w:val="0"/>
          <w:sz w:val="32"/>
          <w:szCs w:val="32"/>
          <w:shd w:val="clear" w:fill="FFFFFF"/>
        </w:rPr>
        <w:t>。主要原因是</w:t>
      </w:r>
      <w:r>
        <w:rPr>
          <w:rFonts w:hint="eastAsia" w:ascii="方正仿宋_GBK" w:hAnsi="方正仿宋_GBK" w:eastAsia="方正仿宋_GBK" w:cs="方正仿宋_GBK"/>
          <w:i w:val="0"/>
          <w:iCs w:val="0"/>
          <w:caps w:val="0"/>
          <w:color w:val="333333"/>
          <w:spacing w:val="0"/>
          <w:kern w:val="0"/>
          <w:sz w:val="32"/>
          <w:szCs w:val="32"/>
          <w:shd w:val="clear" w:fill="FFFFFF"/>
        </w:rPr>
        <w:t>本年度保障性住房投资减少。</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575.31</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56.6%</w:t>
      </w:r>
      <w:r>
        <w:rPr>
          <w:rFonts w:hint="eastAsia" w:ascii="方正仿宋_GBK" w:hAnsi="方正仿宋_GBK" w:eastAsia="方正仿宋_GBK" w:cs="方正仿宋_GBK"/>
          <w:kern w:val="0"/>
          <w:sz w:val="32"/>
          <w:szCs w:val="32"/>
          <w:shd w:val="clear" w:fill="FFFFFF"/>
        </w:rPr>
        <w:t>。主要原因是</w:t>
      </w:r>
      <w:r>
        <w:rPr>
          <w:rFonts w:hint="eastAsia" w:ascii="方正仿宋_GBK" w:hAnsi="方正仿宋_GBK" w:eastAsia="方正仿宋_GBK" w:cs="方正仿宋_GBK"/>
          <w:i w:val="0"/>
          <w:iCs w:val="0"/>
          <w:caps w:val="0"/>
          <w:color w:val="333333"/>
          <w:spacing w:val="0"/>
          <w:kern w:val="0"/>
          <w:sz w:val="32"/>
          <w:szCs w:val="32"/>
          <w:shd w:val="clear" w:fill="FFFFFF"/>
        </w:rPr>
        <w:t>本年度保障性住房投资减少。</w:t>
      </w:r>
      <w:r>
        <w:rPr>
          <w:rFonts w:hint="eastAsia" w:ascii="方正仿宋_GBK" w:hAnsi="方正仿宋_GBK" w:eastAsia="方正仿宋_GBK" w:cs="方正仿宋_GBK"/>
          <w:kern w:val="0"/>
          <w:sz w:val="32"/>
          <w:szCs w:val="32"/>
          <w:shd w:val="clear" w:fill="FFFFFF"/>
        </w:rPr>
        <w:t>此外，年初财政拨款结转和结余</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default" w:ascii="Times New Roman" w:hAnsi="Times New Roman" w:eastAsia="方正仿宋_GBK" w:cs="Times New Roman"/>
          <w:kern w:val="0"/>
          <w:sz w:val="32"/>
          <w:szCs w:val="32"/>
        </w:rPr>
      </w:pPr>
      <w:r>
        <w:rPr>
          <w:rStyle w:val="13"/>
          <w:rFonts w:hint="default" w:ascii="Times New Roman" w:hAnsi="Times New Roman" w:eastAsia="方正仿宋_GBK" w:cs="Times New Roman"/>
          <w:b/>
          <w:bCs/>
          <w:sz w:val="32"/>
          <w:szCs w:val="32"/>
          <w:shd w:val="clear" w:fill="FFFFFF"/>
        </w:rPr>
        <w:t>2.</w:t>
      </w:r>
      <w:r>
        <w:rPr>
          <w:rStyle w:val="13"/>
          <w:rFonts w:hint="eastAsia" w:ascii="方正仿宋_GBK" w:hAnsi="方正仿宋_GBK" w:eastAsia="方正仿宋_GBK" w:cs="方正仿宋_GBK"/>
          <w:b/>
          <w:bCs/>
          <w:sz w:val="32"/>
          <w:szCs w:val="32"/>
          <w:shd w:val="clear" w:fill="FFFFFF"/>
        </w:rPr>
        <w:t>支出情况。</w:t>
      </w:r>
      <w:r>
        <w:rPr>
          <w:rFonts w:hint="default" w:ascii="Times New Roman" w:hAnsi="Times New Roman" w:eastAsia="方正仿宋_GBK" w:cs="Times New Roman"/>
          <w:kern w:val="0"/>
          <w:sz w:val="32"/>
          <w:szCs w:val="32"/>
          <w:shd w:val="clear" w:fill="FFFFFF"/>
        </w:rPr>
        <w:t>2021</w:t>
      </w:r>
      <w:r>
        <w:rPr>
          <w:rFonts w:hint="eastAsia" w:ascii="方正仿宋_GBK" w:hAnsi="方正仿宋_GBK" w:eastAsia="方正仿宋_GBK" w:cs="方正仿宋_GBK"/>
          <w:kern w:val="0"/>
          <w:sz w:val="32"/>
          <w:szCs w:val="32"/>
          <w:shd w:val="clear" w:fill="FFFFFF"/>
        </w:rPr>
        <w:t>年度一般公共预算财政拨款支出</w:t>
      </w:r>
      <w:r>
        <w:rPr>
          <w:rFonts w:hint="default" w:ascii="Times New Roman" w:hAnsi="Times New Roman" w:eastAsia="方正仿宋_GBK" w:cs="Times New Roman"/>
          <w:kern w:val="0"/>
          <w:sz w:val="32"/>
          <w:szCs w:val="32"/>
          <w:shd w:val="clear" w:fill="FFFFFF"/>
        </w:rPr>
        <w:t>1,592.47</w:t>
      </w:r>
      <w:r>
        <w:rPr>
          <w:rFonts w:hint="eastAsia" w:ascii="方正仿宋_GBK" w:hAnsi="方正仿宋_GBK" w:eastAsia="方正仿宋_GBK" w:cs="方正仿宋_GBK"/>
          <w:kern w:val="0"/>
          <w:sz w:val="32"/>
          <w:szCs w:val="32"/>
          <w:shd w:val="clear" w:fill="FFFFFF"/>
        </w:rPr>
        <w:t>万元，较上年决算数减少</w:t>
      </w:r>
      <w:r>
        <w:rPr>
          <w:rFonts w:hint="default" w:ascii="Times New Roman" w:hAnsi="Times New Roman" w:eastAsia="方正仿宋_GBK" w:cs="Times New Roman"/>
          <w:kern w:val="0"/>
          <w:sz w:val="32"/>
          <w:szCs w:val="32"/>
          <w:shd w:val="clear" w:fill="FFFFFF"/>
        </w:rPr>
        <w:t>1,452.19</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47.7%</w:t>
      </w:r>
      <w:r>
        <w:rPr>
          <w:rFonts w:hint="eastAsia" w:ascii="方正仿宋_GBK" w:hAnsi="方正仿宋_GBK" w:eastAsia="方正仿宋_GBK" w:cs="方正仿宋_GBK"/>
          <w:kern w:val="0"/>
          <w:sz w:val="32"/>
          <w:szCs w:val="32"/>
          <w:shd w:val="clear" w:fill="FFFFFF"/>
        </w:rPr>
        <w:t>。主要原因是</w:t>
      </w:r>
      <w:r>
        <w:rPr>
          <w:rFonts w:hint="eastAsia" w:ascii="方正仿宋_GBK" w:hAnsi="方正仿宋_GBK" w:eastAsia="方正仿宋_GBK" w:cs="方正仿宋_GBK"/>
          <w:i w:val="0"/>
          <w:iCs w:val="0"/>
          <w:caps w:val="0"/>
          <w:color w:val="333333"/>
          <w:spacing w:val="0"/>
          <w:kern w:val="0"/>
          <w:sz w:val="32"/>
          <w:szCs w:val="32"/>
          <w:shd w:val="clear" w:fill="FFFFFF"/>
        </w:rPr>
        <w:t>本年度保障性住房投资减少。</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575.31</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56.6%</w:t>
      </w:r>
      <w:r>
        <w:rPr>
          <w:rFonts w:hint="eastAsia" w:ascii="方正仿宋_GBK" w:hAnsi="方正仿宋_GBK" w:eastAsia="方正仿宋_GBK" w:cs="方正仿宋_GBK"/>
          <w:kern w:val="0"/>
          <w:sz w:val="32"/>
          <w:szCs w:val="32"/>
          <w:shd w:val="clear" w:fill="FFFFFF"/>
        </w:rPr>
        <w:t>。主要原因是</w:t>
      </w:r>
      <w:r>
        <w:rPr>
          <w:rFonts w:hint="eastAsia" w:ascii="方正仿宋_GBK" w:hAnsi="方正仿宋_GBK" w:eastAsia="方正仿宋_GBK" w:cs="方正仿宋_GBK"/>
          <w:i w:val="0"/>
          <w:iCs w:val="0"/>
          <w:caps w:val="0"/>
          <w:color w:val="333333"/>
          <w:spacing w:val="0"/>
          <w:kern w:val="0"/>
          <w:sz w:val="32"/>
          <w:szCs w:val="32"/>
          <w:shd w:val="clear" w:fill="FFFFFF"/>
        </w:rPr>
        <w:t>本年度保障性住房投资减少。</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default" w:ascii="Times New Roman" w:hAnsi="Times New Roman" w:eastAsia="方正仿宋_GBK" w:cs="Times New Roman"/>
          <w:kern w:val="0"/>
          <w:sz w:val="32"/>
          <w:szCs w:val="32"/>
        </w:rPr>
      </w:pPr>
      <w:r>
        <w:rPr>
          <w:rStyle w:val="13"/>
          <w:rFonts w:hint="default" w:ascii="Times New Roman" w:hAnsi="Times New Roman" w:eastAsia="方正仿宋_GBK" w:cs="Times New Roman"/>
          <w:b/>
          <w:bCs/>
          <w:sz w:val="32"/>
          <w:szCs w:val="32"/>
          <w:shd w:val="clear" w:fill="FFFFFF"/>
        </w:rPr>
        <w:t xml:space="preserve">  3.</w:t>
      </w:r>
      <w:r>
        <w:rPr>
          <w:rStyle w:val="13"/>
          <w:rFonts w:hint="eastAsia" w:ascii="方正仿宋_GBK" w:hAnsi="方正仿宋_GBK" w:eastAsia="方正仿宋_GBK" w:cs="方正仿宋_GBK"/>
          <w:b/>
          <w:bCs/>
          <w:sz w:val="32"/>
          <w:szCs w:val="32"/>
          <w:shd w:val="clear" w:fill="FFFFFF"/>
        </w:rPr>
        <w:t>结转结余情况。</w:t>
      </w:r>
      <w:r>
        <w:rPr>
          <w:rFonts w:hint="default" w:ascii="Times New Roman" w:hAnsi="Times New Roman" w:eastAsia="方正仿宋_GBK" w:cs="Times New Roman"/>
          <w:kern w:val="0"/>
          <w:sz w:val="32"/>
          <w:szCs w:val="32"/>
          <w:shd w:val="clear" w:fill="FFFFFF"/>
        </w:rPr>
        <w:t>2021</w:t>
      </w:r>
      <w:r>
        <w:rPr>
          <w:rFonts w:hint="eastAsia" w:ascii="方正仿宋_GBK" w:hAnsi="方正仿宋_GBK" w:eastAsia="方正仿宋_GBK" w:cs="方正仿宋_GBK"/>
          <w:kern w:val="0"/>
          <w:sz w:val="32"/>
          <w:szCs w:val="32"/>
          <w:shd w:val="clear" w:fill="FFFFFF"/>
        </w:rPr>
        <w:t>年度年末一般公共预算财政拨款结转和结余</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，主要原因是</w:t>
      </w:r>
      <w:r>
        <w:rPr>
          <w:rFonts w:hint="eastAsia" w:ascii="方正仿宋_GBK" w:hAnsi="方正仿宋_GBK" w:eastAsia="方正仿宋_GBK" w:cs="方正仿宋_GBK"/>
          <w:i w:val="0"/>
          <w:iCs w:val="0"/>
          <w:caps w:val="0"/>
          <w:color w:val="333333"/>
          <w:spacing w:val="0"/>
          <w:kern w:val="0"/>
          <w:sz w:val="32"/>
          <w:szCs w:val="32"/>
          <w:shd w:val="clear" w:fill="FFFFFF"/>
        </w:rPr>
        <w:t>本年度保障性住房投资减少。</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default" w:ascii="Times New Roman" w:hAnsi="Times New Roman" w:eastAsia="方正仿宋_GBK" w:cs="Times New Roman"/>
          <w:kern w:val="0"/>
          <w:sz w:val="32"/>
          <w:szCs w:val="32"/>
        </w:rPr>
      </w:pPr>
      <w:r>
        <w:rPr>
          <w:rStyle w:val="13"/>
          <w:rFonts w:hint="default" w:ascii="Times New Roman" w:hAnsi="Times New Roman" w:eastAsia="方正仿宋_GBK" w:cs="Times New Roman"/>
          <w:b/>
          <w:bCs/>
          <w:sz w:val="32"/>
          <w:szCs w:val="32"/>
          <w:shd w:val="clear" w:fill="FFFFFF"/>
        </w:rPr>
        <w:t xml:space="preserve">  4.</w:t>
      </w:r>
      <w:r>
        <w:rPr>
          <w:rStyle w:val="13"/>
          <w:rFonts w:hint="eastAsia" w:ascii="方正仿宋_GBK" w:hAnsi="方正仿宋_GBK" w:eastAsia="方正仿宋_GBK" w:cs="方正仿宋_GBK"/>
          <w:b/>
          <w:bCs/>
          <w:sz w:val="32"/>
          <w:szCs w:val="32"/>
          <w:shd w:val="clear" w:fill="FFFFFF"/>
        </w:rPr>
        <w:t>比较情况。</w:t>
      </w:r>
      <w:r>
        <w:rPr>
          <w:rFonts w:hint="eastAsia" w:ascii="方正仿宋_GBK" w:hAnsi="方正仿宋_GBK" w:eastAsia="方正仿宋_GBK" w:cs="方正仿宋_GBK"/>
          <w:kern w:val="0"/>
          <w:sz w:val="32"/>
          <w:szCs w:val="32"/>
          <w:shd w:val="clear" w:fill="FFFFFF"/>
        </w:rPr>
        <w:t>本部门</w:t>
      </w:r>
      <w:r>
        <w:rPr>
          <w:rFonts w:hint="default" w:ascii="Times New Roman" w:hAnsi="Times New Roman" w:eastAsia="方正仿宋_GBK" w:cs="Times New Roman"/>
          <w:kern w:val="0"/>
          <w:sz w:val="32"/>
          <w:szCs w:val="32"/>
          <w:shd w:val="clear" w:fill="FFFFFF"/>
        </w:rPr>
        <w:t>2021</w:t>
      </w:r>
      <w:r>
        <w:rPr>
          <w:rFonts w:hint="eastAsia" w:ascii="方正仿宋_GBK" w:hAnsi="方正仿宋_GBK" w:eastAsia="方正仿宋_GBK" w:cs="方正仿宋_GBK"/>
          <w:kern w:val="0"/>
          <w:sz w:val="32"/>
          <w:szCs w:val="32"/>
          <w:shd w:val="clear" w:fill="FFFFFF"/>
        </w:rPr>
        <w:t>年度一般公共预算财政拨款支出主要用于以下几个方面：</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）一般公共服务支出</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，主要原因是本年度无因一般公共服务支出费用。</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fill="FFFFFF"/>
        </w:rPr>
        <w:t xml:space="preserve"> </w:t>
      </w: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2</w:t>
      </w:r>
      <w:r>
        <w:rPr>
          <w:rFonts w:hint="eastAsia" w:ascii="方正仿宋_GBK" w:hAnsi="方正仿宋_GBK" w:eastAsia="方正仿宋_GBK" w:cs="方正仿宋_GBK"/>
          <w:kern w:val="0"/>
          <w:sz w:val="32"/>
          <w:szCs w:val="32"/>
          <w:shd w:val="clear" w:fill="FFFFFF"/>
        </w:rPr>
        <w:t>）外交支出</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，主要原因是</w:t>
      </w:r>
      <w:r>
        <w:rPr>
          <w:rFonts w:hint="eastAsia" w:ascii="方正仿宋_GBK" w:hAnsi="方正仿宋_GBK" w:eastAsia="方正仿宋_GBK" w:cs="方正仿宋_GBK"/>
          <w:i w:val="0"/>
          <w:iCs w:val="0"/>
          <w:caps w:val="0"/>
          <w:color w:val="333333"/>
          <w:spacing w:val="0"/>
          <w:kern w:val="0"/>
          <w:sz w:val="32"/>
          <w:szCs w:val="32"/>
          <w:shd w:val="clear" w:fill="FFFFFF"/>
        </w:rPr>
        <w:t>本年度无因公出国（境）人员及费用。</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fill="FFFFFF"/>
        </w:rPr>
        <w:t xml:space="preserve"> </w:t>
      </w: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3</w:t>
      </w:r>
      <w:r>
        <w:rPr>
          <w:rFonts w:hint="eastAsia" w:ascii="方正仿宋_GBK" w:hAnsi="方正仿宋_GBK" w:eastAsia="方正仿宋_GBK" w:cs="方正仿宋_GBK"/>
          <w:kern w:val="0"/>
          <w:sz w:val="32"/>
          <w:szCs w:val="32"/>
          <w:shd w:val="clear" w:fill="FFFFFF"/>
        </w:rPr>
        <w:t>）国防支出</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，主要原因是本年度无国防支出费用。</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fill="FFFFFF"/>
        </w:rPr>
        <w:t xml:space="preserve"> </w:t>
      </w: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4</w:t>
      </w:r>
      <w:r>
        <w:rPr>
          <w:rFonts w:hint="eastAsia" w:ascii="方正仿宋_GBK" w:hAnsi="方正仿宋_GBK" w:eastAsia="方正仿宋_GBK" w:cs="方正仿宋_GBK"/>
          <w:kern w:val="0"/>
          <w:sz w:val="32"/>
          <w:szCs w:val="32"/>
          <w:shd w:val="clear" w:fill="FFFFFF"/>
        </w:rPr>
        <w:t>）公共安全支出</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，主要原因是本年度无公共安全支出费用。</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fill="FFFFFF"/>
        </w:rPr>
        <w:t xml:space="preserve"> </w:t>
      </w: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5</w:t>
      </w:r>
      <w:r>
        <w:rPr>
          <w:rFonts w:hint="eastAsia" w:ascii="方正仿宋_GBK" w:hAnsi="方正仿宋_GBK" w:eastAsia="方正仿宋_GBK" w:cs="方正仿宋_GBK"/>
          <w:kern w:val="0"/>
          <w:sz w:val="32"/>
          <w:szCs w:val="32"/>
          <w:shd w:val="clear" w:fill="FFFFFF"/>
        </w:rPr>
        <w:t>）教育支出</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，主要原因是本年度无教育支出费用。</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6</w:t>
      </w:r>
      <w:r>
        <w:rPr>
          <w:rFonts w:hint="eastAsia" w:ascii="方正仿宋_GBK" w:hAnsi="方正仿宋_GBK" w:eastAsia="方正仿宋_GBK" w:cs="方正仿宋_GBK"/>
          <w:kern w:val="0"/>
          <w:sz w:val="32"/>
          <w:szCs w:val="32"/>
          <w:shd w:val="clear" w:fill="FFFFFF"/>
        </w:rPr>
        <w:t>）科学技术支出</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，主要原因是本年度无教育支出费用。</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7</w:t>
      </w:r>
      <w:r>
        <w:rPr>
          <w:rFonts w:hint="eastAsia" w:ascii="方正仿宋_GBK" w:hAnsi="方正仿宋_GBK" w:eastAsia="方正仿宋_GBK" w:cs="方正仿宋_GBK"/>
          <w:kern w:val="0"/>
          <w:sz w:val="32"/>
          <w:szCs w:val="32"/>
          <w:shd w:val="clear" w:fill="FFFFFF"/>
        </w:rPr>
        <w:t>）文化旅游体育与传媒支出</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，主要原因是本年度无文化旅游与传媒支出费用。</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8</w:t>
      </w:r>
      <w:r>
        <w:rPr>
          <w:rFonts w:hint="eastAsia" w:ascii="方正仿宋_GBK" w:hAnsi="方正仿宋_GBK" w:eastAsia="方正仿宋_GBK" w:cs="方正仿宋_GBK"/>
          <w:kern w:val="0"/>
          <w:sz w:val="32"/>
          <w:szCs w:val="32"/>
          <w:shd w:val="clear" w:fill="FFFFFF"/>
        </w:rPr>
        <w:t>）社会保障与就业支出</w:t>
      </w:r>
      <w:r>
        <w:rPr>
          <w:rFonts w:hint="default" w:ascii="Times New Roman" w:hAnsi="Times New Roman" w:eastAsia="方正仿宋_GBK" w:cs="Times New Roman"/>
          <w:kern w:val="0"/>
          <w:sz w:val="32"/>
          <w:szCs w:val="32"/>
          <w:shd w:val="clear" w:fill="FFFFFF"/>
        </w:rPr>
        <w:t>64.57</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4.1%</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12.38</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23.7%</w:t>
      </w:r>
      <w:r>
        <w:rPr>
          <w:rFonts w:hint="eastAsia" w:ascii="方正仿宋_GBK" w:hAnsi="方正仿宋_GBK" w:eastAsia="方正仿宋_GBK" w:cs="方正仿宋_GBK"/>
          <w:kern w:val="0"/>
          <w:sz w:val="32"/>
          <w:szCs w:val="32"/>
          <w:shd w:val="clear" w:fill="FFFFFF"/>
        </w:rPr>
        <w:t>，主要原因是本年度</w:t>
      </w:r>
      <w:r>
        <w:rPr>
          <w:rFonts w:hint="eastAsia" w:ascii="方正仿宋_GBK" w:hAnsi="方正仿宋_GBK" w:eastAsia="方正仿宋_GBK" w:cs="方正仿宋_GBK"/>
          <w:i w:val="0"/>
          <w:iCs w:val="0"/>
          <w:caps w:val="0"/>
          <w:color w:val="333333"/>
          <w:spacing w:val="0"/>
          <w:kern w:val="0"/>
          <w:sz w:val="32"/>
          <w:szCs w:val="32"/>
          <w:shd w:val="clear" w:fill="FFFFFF"/>
        </w:rPr>
        <w:t>社保及住房公积金调整。</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9</w:t>
      </w:r>
      <w:r>
        <w:rPr>
          <w:rFonts w:hint="eastAsia" w:ascii="方正仿宋_GBK" w:hAnsi="方正仿宋_GBK" w:eastAsia="方正仿宋_GBK" w:cs="方正仿宋_GBK"/>
          <w:kern w:val="0"/>
          <w:sz w:val="32"/>
          <w:szCs w:val="32"/>
          <w:shd w:val="clear" w:fill="FFFFFF"/>
        </w:rPr>
        <w:t>）卫生健康支出</w:t>
      </w:r>
      <w:r>
        <w:rPr>
          <w:rFonts w:hint="default" w:ascii="Times New Roman" w:hAnsi="Times New Roman" w:eastAsia="方正仿宋_GBK" w:cs="Times New Roman"/>
          <w:kern w:val="0"/>
          <w:sz w:val="32"/>
          <w:szCs w:val="32"/>
          <w:shd w:val="clear" w:fill="FFFFFF"/>
        </w:rPr>
        <w:t>22.20</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1.4%</w:t>
      </w:r>
      <w:r>
        <w:rPr>
          <w:rFonts w:hint="eastAsia" w:ascii="方正仿宋_GBK" w:hAnsi="方正仿宋_GBK" w:eastAsia="方正仿宋_GBK" w:cs="方正仿宋_GBK"/>
          <w:kern w:val="0"/>
          <w:sz w:val="32"/>
          <w:szCs w:val="32"/>
          <w:shd w:val="clear" w:fill="FFFFFF"/>
        </w:rPr>
        <w:t>，较年初预算数减少</w:t>
      </w:r>
      <w:r>
        <w:rPr>
          <w:rFonts w:hint="default" w:ascii="Times New Roman" w:hAnsi="Times New Roman" w:eastAsia="方正仿宋_GBK" w:cs="Times New Roman"/>
          <w:kern w:val="0"/>
          <w:sz w:val="32"/>
          <w:szCs w:val="32"/>
          <w:shd w:val="clear" w:fill="FFFFFF"/>
        </w:rPr>
        <w:t>2.02</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8.3%</w:t>
      </w:r>
      <w:r>
        <w:rPr>
          <w:rFonts w:hint="eastAsia" w:ascii="方正仿宋_GBK" w:hAnsi="方正仿宋_GBK" w:eastAsia="方正仿宋_GBK" w:cs="方正仿宋_GBK"/>
          <w:kern w:val="0"/>
          <w:sz w:val="32"/>
          <w:szCs w:val="32"/>
          <w:shd w:val="clear" w:fill="FFFFFF"/>
        </w:rPr>
        <w:t>，主要原因是</w:t>
      </w:r>
      <w:r>
        <w:rPr>
          <w:rFonts w:hint="eastAsia" w:ascii="方正仿宋_GBK" w:hAnsi="方正仿宋_GBK" w:eastAsia="方正仿宋_GBK" w:cs="方正仿宋_GBK"/>
          <w:i w:val="0"/>
          <w:iCs w:val="0"/>
          <w:caps w:val="0"/>
          <w:color w:val="333333"/>
          <w:spacing w:val="0"/>
          <w:kern w:val="0"/>
          <w:sz w:val="32"/>
          <w:szCs w:val="32"/>
          <w:shd w:val="clear" w:fill="FFFFFF"/>
        </w:rPr>
        <w:t>基本医疗、大额医疗及公务员医疗保险调整等。</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FF0000"/>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10</w:t>
      </w:r>
      <w:r>
        <w:rPr>
          <w:rFonts w:hint="eastAsia" w:ascii="方正仿宋_GBK" w:hAnsi="方正仿宋_GBK" w:eastAsia="方正仿宋_GBK" w:cs="方正仿宋_GBK"/>
          <w:kern w:val="0"/>
          <w:sz w:val="32"/>
          <w:szCs w:val="32"/>
          <w:shd w:val="clear" w:fill="FFFFFF"/>
        </w:rPr>
        <w:t>）节能环保支出</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，主要原因是本年度无节能环保支出费用。</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11</w:t>
      </w:r>
      <w:r>
        <w:rPr>
          <w:rFonts w:hint="eastAsia" w:ascii="方正仿宋_GBK" w:hAnsi="方正仿宋_GBK" w:eastAsia="方正仿宋_GBK" w:cs="方正仿宋_GBK"/>
          <w:kern w:val="0"/>
          <w:sz w:val="32"/>
          <w:szCs w:val="32"/>
          <w:shd w:val="clear" w:fill="FFFFFF"/>
        </w:rPr>
        <w:t>）城乡社区支出</w:t>
      </w:r>
      <w:r>
        <w:rPr>
          <w:rFonts w:hint="default" w:ascii="Times New Roman" w:hAnsi="Times New Roman" w:eastAsia="方正仿宋_GBK" w:cs="Times New Roman"/>
          <w:kern w:val="0"/>
          <w:sz w:val="32"/>
          <w:szCs w:val="32"/>
          <w:shd w:val="clear" w:fill="FFFFFF"/>
        </w:rPr>
        <w:t>299.90</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18.8%</w:t>
      </w:r>
      <w:r>
        <w:rPr>
          <w:rFonts w:hint="eastAsia" w:ascii="方正仿宋_GBK" w:hAnsi="方正仿宋_GBK" w:eastAsia="方正仿宋_GBK" w:cs="方正仿宋_GBK"/>
          <w:kern w:val="0"/>
          <w:sz w:val="32"/>
          <w:szCs w:val="32"/>
          <w:shd w:val="clear" w:fill="FFFFFF"/>
        </w:rPr>
        <w:t>，较年初预算数减少</w:t>
      </w:r>
      <w:r>
        <w:rPr>
          <w:rFonts w:hint="default" w:ascii="Times New Roman" w:hAnsi="Times New Roman" w:eastAsia="方正仿宋_GBK" w:cs="Times New Roman"/>
          <w:kern w:val="0"/>
          <w:sz w:val="32"/>
          <w:szCs w:val="32"/>
          <w:shd w:val="clear" w:fill="FFFFFF"/>
        </w:rPr>
        <w:t>166.77</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35.73%</w:t>
      </w:r>
      <w:r>
        <w:rPr>
          <w:rFonts w:hint="eastAsia" w:ascii="方正仿宋_GBK" w:hAnsi="方正仿宋_GBK" w:eastAsia="方正仿宋_GBK" w:cs="方正仿宋_GBK"/>
          <w:kern w:val="0"/>
          <w:sz w:val="32"/>
          <w:szCs w:val="32"/>
          <w:shd w:val="clear" w:fill="FFFFFF"/>
        </w:rPr>
        <w:t>，主要原因是</w:t>
      </w:r>
      <w:r>
        <w:rPr>
          <w:rFonts w:hint="eastAsia" w:ascii="方正仿宋_GBK" w:hAnsi="方正仿宋_GBK" w:eastAsia="方正仿宋_GBK" w:cs="方正仿宋_GBK"/>
          <w:i w:val="0"/>
          <w:iCs w:val="0"/>
          <w:caps w:val="0"/>
          <w:color w:val="333333"/>
          <w:spacing w:val="0"/>
          <w:kern w:val="0"/>
          <w:sz w:val="32"/>
          <w:szCs w:val="32"/>
          <w:shd w:val="clear" w:fill="FFFFFF"/>
        </w:rPr>
        <w:t>人员工资、公用经费调整以及项目科目调整。</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12</w:t>
      </w:r>
      <w:r>
        <w:rPr>
          <w:rFonts w:hint="eastAsia" w:ascii="方正仿宋_GBK" w:hAnsi="方正仿宋_GBK" w:eastAsia="方正仿宋_GBK" w:cs="方正仿宋_GBK"/>
          <w:kern w:val="0"/>
          <w:sz w:val="32"/>
          <w:szCs w:val="32"/>
          <w:shd w:val="clear" w:fill="FFFFFF"/>
        </w:rPr>
        <w:t>）农林水支出</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，主要原因是无农林水支出费用。</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13</w:t>
      </w:r>
      <w:r>
        <w:rPr>
          <w:rFonts w:hint="eastAsia" w:ascii="方正仿宋_GBK" w:hAnsi="方正仿宋_GBK" w:eastAsia="方正仿宋_GBK" w:cs="方正仿宋_GBK"/>
          <w:kern w:val="0"/>
          <w:sz w:val="32"/>
          <w:szCs w:val="32"/>
          <w:shd w:val="clear" w:fill="FFFFFF"/>
        </w:rPr>
        <w:t>）交通运输支出</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，主要原因是无交通运输支出费用。</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14</w:t>
      </w:r>
      <w:r>
        <w:rPr>
          <w:rFonts w:hint="eastAsia" w:ascii="方正仿宋_GBK" w:hAnsi="方正仿宋_GBK" w:eastAsia="方正仿宋_GBK" w:cs="方正仿宋_GBK"/>
          <w:kern w:val="0"/>
          <w:sz w:val="32"/>
          <w:szCs w:val="32"/>
          <w:shd w:val="clear" w:fill="FFFFFF"/>
        </w:rPr>
        <w:t>）资源勘探信息等支出</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，主要原因是无资源勘探信息支出费用。</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15</w:t>
      </w:r>
      <w:r>
        <w:rPr>
          <w:rFonts w:hint="eastAsia" w:ascii="方正仿宋_GBK" w:hAnsi="方正仿宋_GBK" w:eastAsia="方正仿宋_GBK" w:cs="方正仿宋_GBK"/>
          <w:kern w:val="0"/>
          <w:sz w:val="32"/>
          <w:szCs w:val="32"/>
          <w:shd w:val="clear" w:fill="FFFFFF"/>
        </w:rPr>
        <w:t>）商业服务业等支出</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，主要原因是无商业服务业支出费用。</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16</w:t>
      </w:r>
      <w:r>
        <w:rPr>
          <w:rFonts w:hint="eastAsia" w:ascii="方正仿宋_GBK" w:hAnsi="方正仿宋_GBK" w:eastAsia="方正仿宋_GBK" w:cs="方正仿宋_GBK"/>
          <w:kern w:val="0"/>
          <w:sz w:val="32"/>
          <w:szCs w:val="32"/>
          <w:shd w:val="clear" w:fill="FFFFFF"/>
        </w:rPr>
        <w:t>）金融支出</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，主要原因是无金融支出费用。</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17</w:t>
      </w:r>
      <w:r>
        <w:rPr>
          <w:rFonts w:hint="eastAsia" w:ascii="方正仿宋_GBK" w:hAnsi="方正仿宋_GBK" w:eastAsia="方正仿宋_GBK" w:cs="方正仿宋_GBK"/>
          <w:kern w:val="0"/>
          <w:sz w:val="32"/>
          <w:szCs w:val="32"/>
          <w:shd w:val="clear" w:fill="FFFFFF"/>
        </w:rPr>
        <w:t>）援助其他地区支出</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，主要原因是无援助其他地区支出费用。</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18</w:t>
      </w:r>
      <w:r>
        <w:rPr>
          <w:rFonts w:hint="eastAsia" w:ascii="方正仿宋_GBK" w:hAnsi="方正仿宋_GBK" w:eastAsia="方正仿宋_GBK" w:cs="方正仿宋_GBK"/>
          <w:kern w:val="0"/>
          <w:sz w:val="32"/>
          <w:szCs w:val="32"/>
          <w:shd w:val="clear" w:fill="FFFFFF"/>
        </w:rPr>
        <w:t>）自然资源海洋气象等支出</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，主要原因是无自然资源海洋气象支出费用。</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fill="FFFFFF"/>
        </w:rPr>
        <w:t xml:space="preserve"> </w:t>
      </w: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19</w:t>
      </w:r>
      <w:r>
        <w:rPr>
          <w:rFonts w:hint="eastAsia" w:ascii="方正仿宋_GBK" w:hAnsi="方正仿宋_GBK" w:eastAsia="方正仿宋_GBK" w:cs="方正仿宋_GBK"/>
          <w:kern w:val="0"/>
          <w:sz w:val="32"/>
          <w:szCs w:val="32"/>
          <w:shd w:val="clear" w:fill="FFFFFF"/>
        </w:rPr>
        <w:t>）住房保障支出</w:t>
      </w:r>
      <w:r>
        <w:rPr>
          <w:rFonts w:hint="default" w:ascii="Times New Roman" w:hAnsi="Times New Roman" w:eastAsia="方正仿宋_GBK" w:cs="Times New Roman"/>
          <w:kern w:val="0"/>
          <w:sz w:val="32"/>
          <w:szCs w:val="32"/>
          <w:shd w:val="clear" w:fill="FFFFFF"/>
        </w:rPr>
        <w:t>1,205.80</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75.7%</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731.71</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154.3%</w:t>
      </w:r>
      <w:r>
        <w:rPr>
          <w:rFonts w:hint="eastAsia" w:ascii="方正仿宋_GBK" w:hAnsi="方正仿宋_GBK" w:eastAsia="方正仿宋_GBK" w:cs="方正仿宋_GBK"/>
          <w:kern w:val="0"/>
          <w:sz w:val="32"/>
          <w:szCs w:val="32"/>
          <w:shd w:val="clear" w:fill="FFFFFF"/>
        </w:rPr>
        <w:t>，主要原因是</w:t>
      </w:r>
      <w:r>
        <w:rPr>
          <w:rFonts w:hint="eastAsia" w:ascii="方正仿宋_GBK" w:hAnsi="方正仿宋_GBK" w:eastAsia="方正仿宋_GBK" w:cs="方正仿宋_GBK"/>
          <w:i w:val="0"/>
          <w:iCs w:val="0"/>
          <w:caps w:val="0"/>
          <w:color w:val="333333"/>
          <w:spacing w:val="0"/>
          <w:kern w:val="0"/>
          <w:sz w:val="32"/>
          <w:szCs w:val="32"/>
          <w:shd w:val="clear" w:fill="FFFFFF"/>
        </w:rPr>
        <w:t>保障性住房建设资金上级专项未纳入年初预算，实行调整预算。</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20</w:t>
      </w:r>
      <w:r>
        <w:rPr>
          <w:rFonts w:hint="eastAsia" w:ascii="方正仿宋_GBK" w:hAnsi="方正仿宋_GBK" w:eastAsia="方正仿宋_GBK" w:cs="方正仿宋_GBK"/>
          <w:kern w:val="0"/>
          <w:sz w:val="32"/>
          <w:szCs w:val="32"/>
          <w:shd w:val="clear" w:fill="FFFFFF"/>
        </w:rPr>
        <w:t>）粮油物资储备支出</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，主要原因是无粮油物资储备支出费用。</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21</w:t>
      </w:r>
      <w:r>
        <w:rPr>
          <w:rFonts w:hint="eastAsia" w:ascii="方正仿宋_GBK" w:hAnsi="方正仿宋_GBK" w:eastAsia="方正仿宋_GBK" w:cs="方正仿宋_GBK"/>
          <w:kern w:val="0"/>
          <w:sz w:val="32"/>
          <w:szCs w:val="32"/>
          <w:shd w:val="clear" w:fill="FFFFFF"/>
        </w:rPr>
        <w:t>）国有资本经营预算支出</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，主要原因是无国有资本经营预算支出费用。</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22</w:t>
      </w:r>
      <w:r>
        <w:rPr>
          <w:rFonts w:hint="eastAsia" w:ascii="方正仿宋_GBK" w:hAnsi="方正仿宋_GBK" w:eastAsia="方正仿宋_GBK" w:cs="方正仿宋_GBK"/>
          <w:kern w:val="0"/>
          <w:sz w:val="32"/>
          <w:szCs w:val="32"/>
          <w:shd w:val="clear" w:fill="FFFFFF"/>
        </w:rPr>
        <w:t>）灾害防治及应急管理支出</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，主要原因是无灾害防治及应急管理支出费用。</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23</w:t>
      </w:r>
      <w:r>
        <w:rPr>
          <w:rFonts w:hint="eastAsia" w:ascii="方正仿宋_GBK" w:hAnsi="方正仿宋_GBK" w:eastAsia="方正仿宋_GBK" w:cs="方正仿宋_GBK"/>
          <w:kern w:val="0"/>
          <w:sz w:val="32"/>
          <w:szCs w:val="32"/>
          <w:shd w:val="clear" w:fill="FFFFFF"/>
        </w:rPr>
        <w:t>）其他支出</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，主要原因是无其他支出费用。</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24</w:t>
      </w:r>
      <w:r>
        <w:rPr>
          <w:rFonts w:hint="eastAsia" w:ascii="方正仿宋_GBK" w:hAnsi="方正仿宋_GBK" w:eastAsia="方正仿宋_GBK" w:cs="方正仿宋_GBK"/>
          <w:kern w:val="0"/>
          <w:sz w:val="32"/>
          <w:szCs w:val="32"/>
          <w:shd w:val="clear" w:fill="FFFFFF"/>
        </w:rPr>
        <w:t>）债务还本支出</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元，增长</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，主要原因是无债务还本支出费用。</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25</w:t>
      </w:r>
      <w:r>
        <w:rPr>
          <w:rFonts w:hint="eastAsia" w:ascii="方正仿宋_GBK" w:hAnsi="方正仿宋_GBK" w:eastAsia="方正仿宋_GBK" w:cs="方正仿宋_GBK"/>
          <w:kern w:val="0"/>
          <w:sz w:val="32"/>
          <w:szCs w:val="32"/>
          <w:shd w:val="clear" w:fill="FFFFFF"/>
        </w:rPr>
        <w:t>）债务付息支出</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元，增长</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，主要原因是无债务付息支出费用。</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 xml:space="preserve">  </w:t>
      </w: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26</w:t>
      </w:r>
      <w:r>
        <w:rPr>
          <w:rFonts w:hint="eastAsia" w:ascii="方正仿宋_GBK" w:hAnsi="方正仿宋_GBK" w:eastAsia="方正仿宋_GBK" w:cs="方正仿宋_GBK"/>
          <w:kern w:val="0"/>
          <w:sz w:val="32"/>
          <w:szCs w:val="32"/>
          <w:shd w:val="clear" w:fill="FFFFFF"/>
        </w:rPr>
        <w:t>）抗疫特别国债安排的支出</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元，增长</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，主要原因是无抗疫特别国债安排的支出费用。</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方正楷体_GBK" w:hAnsi="方正楷体_GBK" w:eastAsia="方正楷体_GBK" w:cs="方正楷体_GBK"/>
          <w:b w:val="0"/>
          <w:bCs w:val="0"/>
          <w:sz w:val="32"/>
          <w:szCs w:val="32"/>
          <w:shd w:val="clear" w:fill="FFFFFF"/>
        </w:rPr>
      </w:pPr>
      <w:r>
        <w:rPr>
          <w:rStyle w:val="13"/>
          <w:rFonts w:hint="eastAsia" w:ascii="方正楷体_GBK" w:hAnsi="方正楷体_GBK" w:eastAsia="方正楷体_GBK" w:cs="方正楷体_GBK"/>
          <w:b w:val="0"/>
          <w:bCs w:val="0"/>
          <w:sz w:val="32"/>
          <w:szCs w:val="32"/>
          <w:shd w:val="clear" w:fill="FFFFFF"/>
        </w:rPr>
        <w:t>（四）一般公共预算财政拨款基本支出决算情况说明。</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fill="FFFFFF"/>
        </w:rPr>
        <w:t xml:space="preserve"> 2021</w:t>
      </w:r>
      <w:r>
        <w:rPr>
          <w:rFonts w:hint="eastAsia" w:ascii="方正仿宋_GBK" w:hAnsi="方正仿宋_GBK" w:eastAsia="方正仿宋_GBK" w:cs="方正仿宋_GBK"/>
          <w:kern w:val="0"/>
          <w:sz w:val="32"/>
          <w:szCs w:val="32"/>
          <w:shd w:val="clear" w:fill="FFFFFF"/>
        </w:rPr>
        <w:t>年度一般公共财政拨款基本支出</w:t>
      </w:r>
      <w:r>
        <w:rPr>
          <w:rFonts w:hint="default" w:ascii="Times New Roman" w:hAnsi="Times New Roman" w:eastAsia="方正仿宋_GBK" w:cs="Times New Roman"/>
          <w:kern w:val="0"/>
          <w:sz w:val="32"/>
          <w:szCs w:val="32"/>
          <w:shd w:val="clear" w:fill="FFFFFF"/>
        </w:rPr>
        <w:t>413.37</w:t>
      </w:r>
      <w:r>
        <w:rPr>
          <w:rFonts w:hint="eastAsia" w:ascii="方正仿宋_GBK" w:hAnsi="方正仿宋_GBK" w:eastAsia="方正仿宋_GBK" w:cs="方正仿宋_GBK"/>
          <w:kern w:val="0"/>
          <w:sz w:val="32"/>
          <w:szCs w:val="32"/>
          <w:shd w:val="clear" w:fill="FFFFFF"/>
        </w:rPr>
        <w:t>万元。其中：人员经费</w:t>
      </w:r>
      <w:r>
        <w:rPr>
          <w:rFonts w:hint="default" w:ascii="Times New Roman" w:hAnsi="Times New Roman" w:eastAsia="方正仿宋_GBK" w:cs="Times New Roman"/>
          <w:kern w:val="0"/>
          <w:sz w:val="32"/>
          <w:szCs w:val="32"/>
          <w:shd w:val="clear" w:fill="FFFFFF"/>
        </w:rPr>
        <w:t>365.65</w:t>
      </w:r>
      <w:r>
        <w:rPr>
          <w:rFonts w:hint="eastAsia" w:ascii="方正仿宋_GBK" w:hAnsi="方正仿宋_GBK" w:eastAsia="方正仿宋_GBK" w:cs="方正仿宋_GBK"/>
          <w:kern w:val="0"/>
          <w:sz w:val="32"/>
          <w:szCs w:val="32"/>
          <w:shd w:val="clear" w:fill="FFFFFF"/>
        </w:rPr>
        <w:t>万元，较上年决算数减少</w:t>
      </w:r>
      <w:r>
        <w:rPr>
          <w:rFonts w:hint="default" w:ascii="Times New Roman" w:hAnsi="Times New Roman" w:eastAsia="方正仿宋_GBK" w:cs="Times New Roman"/>
          <w:kern w:val="0"/>
          <w:sz w:val="32"/>
          <w:szCs w:val="32"/>
          <w:shd w:val="clear" w:fill="FFFFFF"/>
        </w:rPr>
        <w:t>18.71</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4.9%</w:t>
      </w:r>
      <w:r>
        <w:rPr>
          <w:rFonts w:hint="eastAsia" w:ascii="方正仿宋_GBK" w:hAnsi="方正仿宋_GBK" w:eastAsia="方正仿宋_GBK" w:cs="方正仿宋_GBK"/>
          <w:kern w:val="0"/>
          <w:sz w:val="32"/>
          <w:szCs w:val="32"/>
          <w:shd w:val="clear" w:fill="FFFFFF"/>
        </w:rPr>
        <w:t>，主要原因是</w:t>
      </w:r>
      <w:r>
        <w:rPr>
          <w:rFonts w:hint="default" w:ascii="Times New Roman" w:hAnsi="Times New Roman" w:eastAsia="方正仿宋_GBK" w:cs="Times New Roman"/>
          <w:kern w:val="0"/>
          <w:sz w:val="32"/>
          <w:szCs w:val="32"/>
          <w:shd w:val="clear" w:fill="FFFFFF"/>
        </w:rPr>
        <w:t>2021</w:t>
      </w:r>
      <w:r>
        <w:rPr>
          <w:rFonts w:hint="eastAsia" w:ascii="方正仿宋_GBK" w:hAnsi="方正仿宋_GBK" w:eastAsia="方正仿宋_GBK" w:cs="方正仿宋_GBK"/>
          <w:kern w:val="0"/>
          <w:sz w:val="32"/>
          <w:szCs w:val="32"/>
          <w:shd w:val="clear" w:fill="FFFFFF"/>
        </w:rPr>
        <w:t>年</w:t>
      </w:r>
      <w:r>
        <w:rPr>
          <w:rFonts w:hint="eastAsia" w:ascii="方正仿宋_GBK" w:hAnsi="方正仿宋_GBK" w:eastAsia="方正仿宋_GBK" w:cs="方正仿宋_GBK"/>
          <w:i w:val="0"/>
          <w:iCs w:val="0"/>
          <w:caps w:val="0"/>
          <w:color w:val="333333"/>
          <w:spacing w:val="0"/>
          <w:kern w:val="0"/>
          <w:sz w:val="32"/>
          <w:szCs w:val="32"/>
          <w:shd w:val="clear" w:fill="FFFFFF"/>
        </w:rPr>
        <w:t>职工未休年休假工资报酬未发放。</w:t>
      </w:r>
      <w:r>
        <w:rPr>
          <w:rFonts w:hint="eastAsia" w:ascii="方正仿宋_GBK" w:hAnsi="方正仿宋_GBK" w:eastAsia="方正仿宋_GBK" w:cs="方正仿宋_GBK"/>
          <w:kern w:val="0"/>
          <w:sz w:val="32"/>
          <w:szCs w:val="32"/>
          <w:shd w:val="clear" w:fill="FFFFFF"/>
        </w:rPr>
        <w:t>人员经费用途主要包括</w:t>
      </w:r>
      <w:r>
        <w:rPr>
          <w:rFonts w:hint="eastAsia" w:ascii="方正仿宋_GBK" w:hAnsi="方正仿宋_GBK" w:eastAsia="方正仿宋_GBK" w:cs="方正仿宋_GBK"/>
          <w:i w:val="0"/>
          <w:iCs w:val="0"/>
          <w:caps w:val="0"/>
          <w:color w:val="333333"/>
          <w:spacing w:val="0"/>
          <w:kern w:val="0"/>
          <w:sz w:val="32"/>
          <w:szCs w:val="32"/>
          <w:shd w:val="clear" w:fill="FFFFFF"/>
        </w:rPr>
        <w:t>基本工资、津贴补贴、绩效工资、社会保障缴费、住房公积金、医保垫底、未休年休假工资报酬、退休人员健康休养费、退休人员独生子一次性补贴等支出。</w:t>
      </w:r>
      <w:r>
        <w:rPr>
          <w:rFonts w:hint="eastAsia" w:ascii="方正仿宋_GBK" w:hAnsi="方正仿宋_GBK" w:eastAsia="方正仿宋_GBK" w:cs="方正仿宋_GBK"/>
          <w:kern w:val="0"/>
          <w:sz w:val="32"/>
          <w:szCs w:val="32"/>
          <w:shd w:val="clear" w:fill="FFFFFF"/>
        </w:rPr>
        <w:t>公用经费</w:t>
      </w:r>
      <w:r>
        <w:rPr>
          <w:rFonts w:hint="default" w:ascii="Times New Roman" w:hAnsi="Times New Roman" w:eastAsia="方正仿宋_GBK" w:cs="Times New Roman"/>
          <w:kern w:val="0"/>
          <w:sz w:val="32"/>
          <w:szCs w:val="32"/>
          <w:shd w:val="clear" w:fill="FFFFFF"/>
        </w:rPr>
        <w:t>47.72</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23.37</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96%</w:t>
      </w:r>
      <w:r>
        <w:rPr>
          <w:rFonts w:hint="eastAsia" w:ascii="方正仿宋_GBK" w:hAnsi="方正仿宋_GBK" w:eastAsia="方正仿宋_GBK" w:cs="方正仿宋_GBK"/>
          <w:kern w:val="0"/>
          <w:sz w:val="32"/>
          <w:szCs w:val="32"/>
          <w:shd w:val="clear" w:fill="FFFFFF"/>
        </w:rPr>
        <w:t>，主要原因是</w:t>
      </w:r>
      <w:r>
        <w:rPr>
          <w:rFonts w:hint="eastAsia" w:ascii="方正仿宋_GBK" w:hAnsi="方正仿宋_GBK" w:eastAsia="方正仿宋_GBK" w:cs="方正仿宋_GBK"/>
          <w:i w:val="0"/>
          <w:iCs w:val="0"/>
          <w:caps w:val="0"/>
          <w:color w:val="333333"/>
          <w:spacing w:val="0"/>
          <w:kern w:val="0"/>
          <w:sz w:val="32"/>
          <w:szCs w:val="32"/>
          <w:shd w:val="clear" w:fill="FFFFFF"/>
        </w:rPr>
        <w:t>工会经费、车辆运行维护费、外出培训费用、委托业务费等增多。</w:t>
      </w:r>
      <w:r>
        <w:rPr>
          <w:rFonts w:hint="eastAsia" w:ascii="方正仿宋_GBK" w:hAnsi="方正仿宋_GBK" w:eastAsia="方正仿宋_GBK" w:cs="方正仿宋_GBK"/>
          <w:kern w:val="0"/>
          <w:sz w:val="32"/>
          <w:szCs w:val="32"/>
          <w:shd w:val="clear" w:fill="FFFFFF"/>
        </w:rPr>
        <w:t>公用经费用途主要包括</w:t>
      </w:r>
      <w:r>
        <w:rPr>
          <w:rFonts w:hint="eastAsia" w:ascii="方正仿宋_GBK" w:hAnsi="方正仿宋_GBK" w:eastAsia="方正仿宋_GBK" w:cs="方正仿宋_GBK"/>
          <w:i w:val="0"/>
          <w:iCs w:val="0"/>
          <w:caps w:val="0"/>
          <w:color w:val="333333"/>
          <w:spacing w:val="0"/>
          <w:kern w:val="0"/>
          <w:sz w:val="32"/>
          <w:szCs w:val="32"/>
          <w:shd w:val="clear" w:fill="FFFFFF"/>
        </w:rPr>
        <w:t>办公费、水费、电费、邮电费、差旅费、公务接待费、工会经费、车辆运行费、职工伙食费等支出。</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方正楷体_GBK" w:hAnsi="方正楷体_GBK" w:eastAsia="方正楷体_GBK" w:cs="方正楷体_GBK"/>
          <w:b w:val="0"/>
          <w:bCs w:val="0"/>
          <w:sz w:val="32"/>
          <w:szCs w:val="32"/>
          <w:shd w:val="clear" w:fill="FFFFFF"/>
        </w:rPr>
      </w:pPr>
      <w:r>
        <w:rPr>
          <w:rStyle w:val="13"/>
          <w:rFonts w:hint="eastAsia" w:ascii="方正楷体_GBK" w:hAnsi="方正楷体_GBK" w:eastAsia="方正楷体_GBK" w:cs="方正楷体_GBK"/>
          <w:b w:val="0"/>
          <w:bCs w:val="0"/>
          <w:sz w:val="32"/>
          <w:szCs w:val="32"/>
          <w:shd w:val="clear" w:fill="FFFFFF"/>
        </w:rPr>
        <w:t>（五）政府性基金预算收支决算情况说明。</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fill="FFFFFF"/>
        </w:rPr>
        <w:t xml:space="preserve">  2021</w:t>
      </w:r>
      <w:r>
        <w:rPr>
          <w:rFonts w:hint="eastAsia" w:ascii="方正仿宋_GBK" w:hAnsi="方正仿宋_GBK" w:eastAsia="方正仿宋_GBK" w:cs="方正仿宋_GBK"/>
          <w:kern w:val="0"/>
          <w:sz w:val="32"/>
          <w:szCs w:val="32"/>
          <w:shd w:val="clear" w:fill="FFFFFF"/>
        </w:rPr>
        <w:t>年度政府性基金预算财政拨款年初结转结余</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万元，年末结转结余</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万元。本年收入</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，主要原因是本部门</w:t>
      </w:r>
      <w:r>
        <w:rPr>
          <w:rFonts w:hint="default" w:ascii="Times New Roman" w:hAnsi="Times New Roman" w:eastAsia="方正仿宋_GBK" w:cs="Times New Roman"/>
          <w:i w:val="0"/>
          <w:iCs w:val="0"/>
          <w:caps w:val="0"/>
          <w:color w:val="333333"/>
          <w:spacing w:val="0"/>
          <w:kern w:val="0"/>
          <w:sz w:val="32"/>
          <w:szCs w:val="32"/>
          <w:shd w:val="clear" w:fill="FFFFFF"/>
        </w:rPr>
        <w:t>2021</w:t>
      </w:r>
      <w:r>
        <w:rPr>
          <w:rFonts w:hint="eastAsia" w:ascii="方正仿宋_GBK" w:hAnsi="方正仿宋_GBK" w:eastAsia="方正仿宋_GBK" w:cs="方正仿宋_GBK"/>
          <w:i w:val="0"/>
          <w:iCs w:val="0"/>
          <w:caps w:val="0"/>
          <w:color w:val="333333"/>
          <w:spacing w:val="0"/>
          <w:kern w:val="0"/>
          <w:sz w:val="32"/>
          <w:szCs w:val="32"/>
          <w:shd w:val="clear" w:fill="FFFFFF"/>
        </w:rPr>
        <w:t>年度无政府性基金预算财政拨款收支。</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shd w:val="clear" w:fill="FFFFFF"/>
        </w:rPr>
        <w:t>本年支出</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，主要原因是本部门</w:t>
      </w:r>
      <w:r>
        <w:rPr>
          <w:rFonts w:hint="default" w:ascii="Times New Roman" w:hAnsi="Times New Roman" w:eastAsia="方正仿宋_GBK" w:cs="Times New Roman"/>
          <w:i w:val="0"/>
          <w:iCs w:val="0"/>
          <w:caps w:val="0"/>
          <w:color w:val="333333"/>
          <w:spacing w:val="0"/>
          <w:kern w:val="0"/>
          <w:sz w:val="32"/>
          <w:szCs w:val="32"/>
          <w:shd w:val="clear" w:fill="FFFFFF"/>
        </w:rPr>
        <w:t>2021</w:t>
      </w:r>
      <w:r>
        <w:rPr>
          <w:rFonts w:hint="eastAsia" w:ascii="方正仿宋_GBK" w:hAnsi="方正仿宋_GBK" w:eastAsia="方正仿宋_GBK" w:cs="方正仿宋_GBK"/>
          <w:i w:val="0"/>
          <w:iCs w:val="0"/>
          <w:caps w:val="0"/>
          <w:color w:val="333333"/>
          <w:spacing w:val="0"/>
          <w:kern w:val="0"/>
          <w:sz w:val="32"/>
          <w:szCs w:val="32"/>
          <w:shd w:val="clear" w:fill="FFFFFF"/>
        </w:rPr>
        <w:t>年度无政府性基金预算财政拨款收支。</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r>
        <w:rPr>
          <w:rFonts w:hint="eastAsia" w:ascii="方正仿宋_GBK" w:hAnsi="方正仿宋_GBK" w:eastAsia="方正仿宋_GBK" w:cs="方正仿宋_GBK"/>
          <w:kern w:val="0"/>
          <w:sz w:val="32"/>
          <w:szCs w:val="32"/>
        </w:rPr>
        <w:t>（六）国有资本经营预算财政拨款支出决算情况说明。</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fill="FFFFFF"/>
        </w:rPr>
        <w:t xml:space="preserve">  2021</w:t>
      </w:r>
      <w:r>
        <w:rPr>
          <w:rFonts w:hint="eastAsia" w:ascii="方正仿宋_GBK" w:hAnsi="方正仿宋_GBK" w:eastAsia="方正仿宋_GBK" w:cs="方正仿宋_GBK"/>
          <w:kern w:val="0"/>
          <w:sz w:val="32"/>
          <w:szCs w:val="32"/>
          <w:shd w:val="clear" w:fill="FFFFFF"/>
        </w:rPr>
        <w:t>年度国有资本经营预算财政拨本年支出</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万元，基本支出</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万元，项目支出</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万元，主要用途用于</w:t>
      </w:r>
      <w:r>
        <w:rPr>
          <w:rFonts w:hint="eastAsia" w:ascii="方正仿宋_GBK" w:hAnsi="方正仿宋_GBK" w:eastAsia="方正仿宋_GBK" w:cs="方正仿宋_GBK"/>
          <w:i w:val="0"/>
          <w:iCs w:val="0"/>
          <w:caps w:val="0"/>
          <w:color w:val="333333"/>
          <w:spacing w:val="0"/>
          <w:kern w:val="0"/>
          <w:sz w:val="32"/>
          <w:szCs w:val="32"/>
          <w:shd w:val="clear" w:fill="FFFFFF"/>
        </w:rPr>
        <w:t>本部门</w:t>
      </w:r>
      <w:r>
        <w:rPr>
          <w:rFonts w:hint="default" w:ascii="Times New Roman" w:hAnsi="Times New Roman" w:eastAsia="方正仿宋_GBK" w:cs="Times New Roman"/>
          <w:i w:val="0"/>
          <w:iCs w:val="0"/>
          <w:caps w:val="0"/>
          <w:color w:val="333333"/>
          <w:spacing w:val="0"/>
          <w:kern w:val="0"/>
          <w:sz w:val="32"/>
          <w:szCs w:val="32"/>
          <w:shd w:val="clear" w:fill="FFFFFF"/>
        </w:rPr>
        <w:t>2020</w:t>
      </w:r>
      <w:r>
        <w:rPr>
          <w:rFonts w:hint="eastAsia" w:ascii="方正仿宋_GBK" w:hAnsi="方正仿宋_GBK" w:eastAsia="方正仿宋_GBK" w:cs="方正仿宋_GBK"/>
          <w:i w:val="0"/>
          <w:iCs w:val="0"/>
          <w:caps w:val="0"/>
          <w:color w:val="333333"/>
          <w:spacing w:val="0"/>
          <w:kern w:val="0"/>
          <w:sz w:val="32"/>
          <w:szCs w:val="32"/>
          <w:shd w:val="clear" w:fill="FFFFFF"/>
        </w:rPr>
        <w:t>年度无国有资本经营预算财政拨款支出。</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方正黑体_GBK" w:hAnsi="方正黑体_GBK" w:eastAsia="方正黑体_GBK" w:cs="方正黑体_GBK"/>
          <w:b w:val="0"/>
          <w:bCs w:val="0"/>
          <w:sz w:val="32"/>
          <w:szCs w:val="32"/>
          <w:shd w:val="clear" w:fill="FFFFFF"/>
        </w:rPr>
      </w:pPr>
      <w:r>
        <w:rPr>
          <w:rStyle w:val="13"/>
          <w:rFonts w:hint="eastAsia" w:ascii="方正黑体_GBK" w:hAnsi="方正黑体_GBK" w:eastAsia="方正黑体_GBK" w:cs="方正黑体_GBK"/>
          <w:b w:val="0"/>
          <w:bCs w:val="0"/>
          <w:sz w:val="32"/>
          <w:szCs w:val="32"/>
          <w:shd w:val="clear" w:fill="FFFFFF"/>
        </w:rPr>
        <w:t xml:space="preserve">  三、“三公”经费情况说明</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eastAsia" w:ascii="方正楷体_GBK" w:hAnsi="方正楷体_GBK" w:eastAsia="方正楷体_GBK" w:cs="方正楷体_GBK"/>
          <w:kern w:val="0"/>
          <w:sz w:val="32"/>
          <w:szCs w:val="32"/>
        </w:rPr>
      </w:pPr>
      <w:r>
        <w:rPr>
          <w:rStyle w:val="13"/>
          <w:rFonts w:hint="eastAsia" w:ascii="方正楷体_GBK" w:hAnsi="方正楷体_GBK" w:eastAsia="方正楷体_GBK" w:cs="方正楷体_GBK"/>
          <w:b/>
          <w:bCs/>
          <w:sz w:val="32"/>
          <w:szCs w:val="32"/>
          <w:shd w:val="clear" w:fill="FFFFFF"/>
        </w:rPr>
        <w:t xml:space="preserve">  </w:t>
      </w:r>
      <w:r>
        <w:rPr>
          <w:rFonts w:hint="eastAsia" w:ascii="方正楷体_GBK" w:hAnsi="方正楷体_GBK" w:eastAsia="方正楷体_GBK" w:cs="方正楷体_GBK"/>
          <w:kern w:val="0"/>
          <w:sz w:val="32"/>
          <w:szCs w:val="32"/>
        </w:rPr>
        <w:t>（一）“三公”经费支出总体情况说明</w:t>
      </w:r>
      <w:r>
        <w:rPr>
          <w:rStyle w:val="13"/>
          <w:rFonts w:hint="eastAsia" w:ascii="方正楷体_GBK" w:hAnsi="方正楷体_GBK" w:eastAsia="方正楷体_GBK" w:cs="方正楷体_GBK"/>
          <w:b/>
          <w:bCs/>
          <w:sz w:val="32"/>
          <w:szCs w:val="32"/>
          <w:shd w:val="clear" w:fill="FFFFFF"/>
        </w:rPr>
        <w:t>。</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fill="FFFFFF"/>
        </w:rPr>
        <w:t xml:space="preserve">  2021</w:t>
      </w:r>
      <w:r>
        <w:rPr>
          <w:rFonts w:hint="eastAsia" w:ascii="方正仿宋_GBK" w:hAnsi="方正仿宋_GBK" w:eastAsia="方正仿宋_GBK" w:cs="方正仿宋_GBK"/>
          <w:kern w:val="0"/>
          <w:sz w:val="32"/>
          <w:szCs w:val="32"/>
          <w:shd w:val="clear" w:fill="FFFFFF"/>
        </w:rPr>
        <w:t>年度</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三公</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经费支出共计</w:t>
      </w:r>
      <w:r>
        <w:rPr>
          <w:rFonts w:hint="default" w:ascii="Times New Roman" w:hAnsi="Times New Roman" w:eastAsia="方正仿宋_GBK" w:cs="Times New Roman"/>
          <w:kern w:val="0"/>
          <w:sz w:val="32"/>
          <w:szCs w:val="32"/>
          <w:shd w:val="clear" w:fill="FFFFFF"/>
        </w:rPr>
        <w:t>2.33</w:t>
      </w:r>
      <w:r>
        <w:rPr>
          <w:rFonts w:hint="eastAsia" w:ascii="方正仿宋_GBK" w:hAnsi="方正仿宋_GBK" w:eastAsia="方正仿宋_GBK" w:cs="方正仿宋_GBK"/>
          <w:kern w:val="0"/>
          <w:sz w:val="32"/>
          <w:szCs w:val="32"/>
          <w:shd w:val="clear" w:fill="FFFFFF"/>
        </w:rPr>
        <w:t>万元，较年初预算数减少</w:t>
      </w:r>
      <w:r>
        <w:rPr>
          <w:rFonts w:hint="default" w:ascii="Times New Roman" w:hAnsi="Times New Roman" w:eastAsia="方正仿宋_GBK" w:cs="Times New Roman"/>
          <w:kern w:val="0"/>
          <w:sz w:val="32"/>
          <w:szCs w:val="32"/>
          <w:shd w:val="clear" w:fill="FFFFFF"/>
        </w:rPr>
        <w:t>14.17</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85.9%</w:t>
      </w:r>
      <w:r>
        <w:rPr>
          <w:rFonts w:hint="eastAsia" w:ascii="方正仿宋_GBK" w:hAnsi="方正仿宋_GBK" w:eastAsia="方正仿宋_GBK" w:cs="方正仿宋_GBK"/>
          <w:kern w:val="0"/>
          <w:sz w:val="32"/>
          <w:szCs w:val="32"/>
          <w:shd w:val="clear" w:fill="FFFFFF"/>
        </w:rPr>
        <w:t>，主要原因是</w:t>
      </w:r>
      <w:r>
        <w:rPr>
          <w:rFonts w:hint="eastAsia" w:ascii="方正仿宋_GBK" w:hAnsi="方正仿宋_GBK" w:eastAsia="方正仿宋_GBK" w:cs="方正仿宋_GBK"/>
          <w:i w:val="0"/>
          <w:iCs w:val="0"/>
          <w:caps w:val="0"/>
          <w:color w:val="333333"/>
          <w:spacing w:val="0"/>
          <w:kern w:val="0"/>
          <w:sz w:val="32"/>
          <w:szCs w:val="32"/>
          <w:shd w:val="clear" w:fill="FFFFFF"/>
        </w:rPr>
        <w:t>车辆运行费用、公务接待费用及公务出行费用减少。</w:t>
      </w:r>
      <w:r>
        <w:rPr>
          <w:rFonts w:hint="eastAsia" w:ascii="方正仿宋_GBK" w:hAnsi="方正仿宋_GBK" w:eastAsia="方正仿宋_GBK" w:cs="方正仿宋_GBK"/>
          <w:kern w:val="0"/>
          <w:sz w:val="32"/>
          <w:szCs w:val="32"/>
          <w:shd w:val="clear" w:fill="FFFFFF"/>
        </w:rPr>
        <w:t>较上年支出数减少</w:t>
      </w:r>
      <w:r>
        <w:rPr>
          <w:rFonts w:hint="default" w:ascii="Times New Roman" w:hAnsi="Times New Roman" w:eastAsia="方正仿宋_GBK" w:cs="Times New Roman"/>
          <w:kern w:val="0"/>
          <w:sz w:val="32"/>
          <w:szCs w:val="32"/>
          <w:shd w:val="clear" w:fill="FFFFFF"/>
        </w:rPr>
        <w:t>0.45</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16.2%</w:t>
      </w:r>
      <w:r>
        <w:rPr>
          <w:rFonts w:hint="eastAsia" w:ascii="方正仿宋_GBK" w:hAnsi="方正仿宋_GBK" w:eastAsia="方正仿宋_GBK" w:cs="方正仿宋_GBK"/>
          <w:kern w:val="0"/>
          <w:sz w:val="32"/>
          <w:szCs w:val="32"/>
          <w:shd w:val="clear" w:fill="FFFFFF"/>
        </w:rPr>
        <w:t>，主要原因是</w:t>
      </w:r>
      <w:r>
        <w:rPr>
          <w:rFonts w:hint="eastAsia" w:ascii="方正仿宋_GBK" w:hAnsi="方正仿宋_GBK" w:eastAsia="方正仿宋_GBK" w:cs="方正仿宋_GBK"/>
          <w:i w:val="0"/>
          <w:iCs w:val="0"/>
          <w:caps w:val="0"/>
          <w:color w:val="333333"/>
          <w:spacing w:val="0"/>
          <w:kern w:val="0"/>
          <w:sz w:val="32"/>
          <w:szCs w:val="32"/>
          <w:shd w:val="clear" w:fill="FFFFFF"/>
        </w:rPr>
        <w:t>车辆运行费用、公务接待费用及公务出行费用减少。</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方正楷体_GBK" w:hAnsi="方正楷体_GBK" w:eastAsia="方正楷体_GBK" w:cs="方正楷体_GBK"/>
          <w:b w:val="0"/>
          <w:bCs w:val="0"/>
          <w:sz w:val="32"/>
          <w:szCs w:val="32"/>
          <w:shd w:val="clear" w:fill="FFFFFF"/>
        </w:rPr>
      </w:pPr>
      <w:r>
        <w:rPr>
          <w:rStyle w:val="13"/>
          <w:rFonts w:hint="eastAsia" w:ascii="方正楷体_GBK" w:hAnsi="方正楷体_GBK" w:eastAsia="方正楷体_GBK" w:cs="方正楷体_GBK"/>
          <w:b w:val="0"/>
          <w:bCs w:val="0"/>
          <w:sz w:val="32"/>
          <w:szCs w:val="32"/>
          <w:shd w:val="clear" w:fill="FFFFFF"/>
        </w:rPr>
        <w:t xml:space="preserve">  （二）“三公”经费分项支出情况。</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fill="FFFFFF"/>
        </w:rPr>
        <w:t xml:space="preserve">  2021</w:t>
      </w:r>
      <w:r>
        <w:rPr>
          <w:rFonts w:hint="eastAsia" w:ascii="方正仿宋_GBK" w:hAnsi="方正仿宋_GBK" w:eastAsia="方正仿宋_GBK" w:cs="方正仿宋_GBK"/>
          <w:kern w:val="0"/>
          <w:sz w:val="32"/>
          <w:szCs w:val="32"/>
          <w:shd w:val="clear" w:fill="FFFFFF"/>
        </w:rPr>
        <w:t>年度本部门因公出国（境）费用</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w:t>
      </w:r>
      <w:r>
        <w:rPr>
          <w:rFonts w:hint="eastAsia" w:ascii="方正仿宋_GBK" w:hAnsi="方正仿宋_GBK" w:eastAsia="方正仿宋_GBK" w:cs="方正仿宋_GBK"/>
          <w:i w:val="0"/>
          <w:iCs w:val="0"/>
          <w:caps w:val="0"/>
          <w:color w:val="333333"/>
          <w:spacing w:val="0"/>
          <w:kern w:val="0"/>
          <w:sz w:val="32"/>
          <w:szCs w:val="32"/>
          <w:shd w:val="clear" w:fill="FFFFFF"/>
        </w:rPr>
        <w:t>主要原因是本年度无因公出国（境）人员及费用。</w:t>
      </w:r>
      <w:r>
        <w:rPr>
          <w:rFonts w:hint="eastAsia" w:ascii="方正仿宋_GBK" w:hAnsi="方正仿宋_GBK" w:eastAsia="方正仿宋_GBK" w:cs="方正仿宋_GBK"/>
          <w:kern w:val="0"/>
          <w:sz w:val="32"/>
          <w:szCs w:val="32"/>
          <w:shd w:val="clear" w:fill="FFFFFF"/>
        </w:rPr>
        <w:t>费用支出较年初预算数增加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w:t>
      </w:r>
      <w:r>
        <w:rPr>
          <w:rFonts w:hint="eastAsia" w:ascii="方正仿宋_GBK" w:hAnsi="方正仿宋_GBK" w:eastAsia="方正仿宋_GBK" w:cs="方正仿宋_GBK"/>
          <w:i w:val="0"/>
          <w:iCs w:val="0"/>
          <w:caps w:val="0"/>
          <w:color w:val="333333"/>
          <w:spacing w:val="0"/>
          <w:kern w:val="0"/>
          <w:sz w:val="32"/>
          <w:szCs w:val="32"/>
          <w:shd w:val="clear" w:fill="FFFFFF"/>
        </w:rPr>
        <w:t>主要原因是本年度无因公出国（境）人员及费用。</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shd w:val="clear" w:fill="FFFFFF"/>
        </w:rPr>
        <w:t>较上年支出数增加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w:t>
      </w:r>
      <w:r>
        <w:rPr>
          <w:rFonts w:hint="eastAsia" w:ascii="方正仿宋_GBK" w:hAnsi="方正仿宋_GBK" w:eastAsia="方正仿宋_GBK" w:cs="方正仿宋_GBK"/>
          <w:i w:val="0"/>
          <w:iCs w:val="0"/>
          <w:caps w:val="0"/>
          <w:color w:val="333333"/>
          <w:spacing w:val="0"/>
          <w:kern w:val="0"/>
          <w:sz w:val="32"/>
          <w:szCs w:val="32"/>
          <w:shd w:val="clear" w:fill="FFFFFF"/>
        </w:rPr>
        <w:t>主要原因是本年度无因公出国（境）人员及费用。</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i w:val="0"/>
          <w:iCs w:val="0"/>
          <w:caps w:val="0"/>
          <w:color w:val="333333"/>
          <w:spacing w:val="0"/>
          <w:kern w:val="0"/>
          <w:sz w:val="32"/>
          <w:szCs w:val="32"/>
          <w:shd w:val="clear" w:fill="FFFFFF"/>
        </w:rPr>
      </w:pPr>
      <w:r>
        <w:rPr>
          <w:rFonts w:hint="default" w:ascii="Times New Roman" w:hAnsi="Times New Roman" w:eastAsia="方正仿宋_GBK" w:cs="Times New Roman"/>
          <w:kern w:val="0"/>
          <w:sz w:val="32"/>
          <w:szCs w:val="32"/>
          <w:shd w:val="clear" w:fill="FFFFFF"/>
        </w:rPr>
        <w:t xml:space="preserve">  </w:t>
      </w:r>
      <w:r>
        <w:rPr>
          <w:rFonts w:hint="eastAsia" w:ascii="方正仿宋_GBK" w:hAnsi="方正仿宋_GBK" w:eastAsia="方正仿宋_GBK" w:cs="方正仿宋_GBK"/>
          <w:kern w:val="0"/>
          <w:sz w:val="32"/>
          <w:szCs w:val="32"/>
          <w:shd w:val="clear" w:fill="FFFFFF"/>
        </w:rPr>
        <w:t>公务车购置费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万元，主要用于车辆购置费用支出。费用支出较年初预算数增加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，主要原因是本</w:t>
      </w:r>
      <w:r>
        <w:rPr>
          <w:rFonts w:hint="eastAsia" w:ascii="方正仿宋_GBK" w:hAnsi="方正仿宋_GBK" w:eastAsia="方正仿宋_GBK" w:cs="方正仿宋_GBK"/>
          <w:i w:val="0"/>
          <w:iCs w:val="0"/>
          <w:caps w:val="0"/>
          <w:color w:val="333333"/>
          <w:spacing w:val="0"/>
          <w:kern w:val="0"/>
          <w:sz w:val="32"/>
          <w:szCs w:val="32"/>
          <w:shd w:val="clear" w:fill="FFFFFF"/>
        </w:rPr>
        <w:t>年度未发生公务车购置费用支出。</w:t>
      </w:r>
      <w:r>
        <w:rPr>
          <w:rFonts w:hint="eastAsia" w:ascii="方正仿宋_GBK" w:hAnsi="方正仿宋_GBK" w:eastAsia="方正仿宋_GBK" w:cs="方正仿宋_GBK"/>
          <w:kern w:val="0"/>
          <w:sz w:val="32"/>
          <w:szCs w:val="32"/>
          <w:shd w:val="clear" w:fill="FFFFFF"/>
        </w:rPr>
        <w:t>较上年支出数增加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，主要原因是本</w:t>
      </w:r>
      <w:r>
        <w:rPr>
          <w:rFonts w:hint="eastAsia" w:ascii="方正仿宋_GBK" w:hAnsi="方正仿宋_GBK" w:eastAsia="方正仿宋_GBK" w:cs="方正仿宋_GBK"/>
          <w:i w:val="0"/>
          <w:iCs w:val="0"/>
          <w:caps w:val="0"/>
          <w:color w:val="333333"/>
          <w:spacing w:val="0"/>
          <w:kern w:val="0"/>
          <w:sz w:val="32"/>
          <w:szCs w:val="32"/>
          <w:shd w:val="clear" w:fill="FFFFFF"/>
        </w:rPr>
        <w:t>年度未发生公务车购置费用支出。</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 xml:space="preserve">  </w:t>
      </w:r>
      <w:r>
        <w:rPr>
          <w:rFonts w:hint="eastAsia" w:ascii="方正仿宋_GBK" w:hAnsi="方正仿宋_GBK" w:eastAsia="方正仿宋_GBK" w:cs="方正仿宋_GBK"/>
          <w:kern w:val="0"/>
          <w:sz w:val="32"/>
          <w:szCs w:val="32"/>
          <w:shd w:val="clear" w:fill="FFFFFF"/>
        </w:rPr>
        <w:t>公务车运行维护费</w:t>
      </w:r>
      <w:r>
        <w:rPr>
          <w:rFonts w:hint="default" w:ascii="Times New Roman" w:hAnsi="Times New Roman" w:eastAsia="方正仿宋_GBK" w:cs="Times New Roman"/>
          <w:kern w:val="0"/>
          <w:sz w:val="32"/>
          <w:szCs w:val="32"/>
          <w:shd w:val="clear" w:fill="FFFFFF"/>
        </w:rPr>
        <w:t>1.83</w:t>
      </w:r>
      <w:r>
        <w:rPr>
          <w:rFonts w:hint="eastAsia" w:ascii="方正仿宋_GBK" w:hAnsi="方正仿宋_GBK" w:eastAsia="方正仿宋_GBK" w:cs="方正仿宋_GBK"/>
          <w:kern w:val="0"/>
          <w:sz w:val="32"/>
          <w:szCs w:val="32"/>
          <w:shd w:val="clear" w:fill="FFFFFF"/>
        </w:rPr>
        <w:t>万元，主要用于</w:t>
      </w:r>
      <w:r>
        <w:rPr>
          <w:rFonts w:hint="eastAsia" w:ascii="方正仿宋_GBK" w:hAnsi="方正仿宋_GBK" w:eastAsia="方正仿宋_GBK" w:cs="方正仿宋_GBK"/>
          <w:i w:val="0"/>
          <w:iCs w:val="0"/>
          <w:caps w:val="0"/>
          <w:color w:val="333333"/>
          <w:spacing w:val="0"/>
          <w:kern w:val="0"/>
          <w:sz w:val="32"/>
          <w:szCs w:val="32"/>
          <w:shd w:val="clear" w:fill="FFFFFF"/>
        </w:rPr>
        <w:t>城镇房屋安全监管到各乡镇巡察及保障性住房管理应急保障用车。</w:t>
      </w:r>
      <w:r>
        <w:rPr>
          <w:rFonts w:hint="eastAsia" w:ascii="方正仿宋_GBK" w:hAnsi="方正仿宋_GBK" w:eastAsia="方正仿宋_GBK" w:cs="方正仿宋_GBK"/>
          <w:kern w:val="0"/>
          <w:sz w:val="32"/>
          <w:szCs w:val="32"/>
          <w:shd w:val="clear" w:fill="FFFFFF"/>
        </w:rPr>
        <w:t>费用支出较年初预算数减少</w:t>
      </w:r>
      <w:r>
        <w:rPr>
          <w:rFonts w:hint="default" w:ascii="Times New Roman" w:hAnsi="Times New Roman" w:eastAsia="方正仿宋_GBK" w:cs="Times New Roman"/>
          <w:kern w:val="0"/>
          <w:sz w:val="32"/>
          <w:szCs w:val="32"/>
          <w:shd w:val="clear" w:fill="FFFFFF"/>
        </w:rPr>
        <w:t>6.17</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77.1%</w:t>
      </w:r>
      <w:r>
        <w:rPr>
          <w:rFonts w:hint="eastAsia" w:ascii="方正仿宋_GBK" w:hAnsi="方正仿宋_GBK" w:eastAsia="方正仿宋_GBK" w:cs="方正仿宋_GBK"/>
          <w:kern w:val="0"/>
          <w:sz w:val="32"/>
          <w:szCs w:val="32"/>
          <w:shd w:val="clear" w:fill="FFFFFF"/>
        </w:rPr>
        <w:t>，主要原因是车辆运行费用减少。较上年支出数减少</w:t>
      </w:r>
      <w:r>
        <w:rPr>
          <w:rFonts w:hint="default" w:ascii="Times New Roman" w:hAnsi="Times New Roman" w:eastAsia="方正仿宋_GBK" w:cs="Times New Roman"/>
          <w:kern w:val="0"/>
          <w:sz w:val="32"/>
          <w:szCs w:val="32"/>
          <w:shd w:val="clear" w:fill="FFFFFF"/>
        </w:rPr>
        <w:t>0.05</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2.7%</w:t>
      </w:r>
      <w:r>
        <w:rPr>
          <w:rFonts w:hint="eastAsia" w:ascii="方正仿宋_GBK" w:hAnsi="方正仿宋_GBK" w:eastAsia="方正仿宋_GBK" w:cs="方正仿宋_GBK"/>
          <w:kern w:val="0"/>
          <w:sz w:val="32"/>
          <w:szCs w:val="32"/>
          <w:shd w:val="clear" w:fill="FFFFFF"/>
        </w:rPr>
        <w:t>，主要原因是车辆运行费用减少。</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fill="FFFFFF"/>
        </w:rPr>
        <w:t xml:space="preserve">  </w:t>
      </w:r>
      <w:r>
        <w:rPr>
          <w:rFonts w:hint="eastAsia" w:ascii="方正仿宋_GBK" w:hAnsi="方正仿宋_GBK" w:eastAsia="方正仿宋_GBK" w:cs="方正仿宋_GBK"/>
          <w:kern w:val="0"/>
          <w:sz w:val="32"/>
          <w:szCs w:val="32"/>
          <w:shd w:val="clear" w:fill="FFFFFF"/>
        </w:rPr>
        <w:t>公务接待费</w:t>
      </w:r>
      <w:r>
        <w:rPr>
          <w:rFonts w:hint="default" w:ascii="Times New Roman" w:hAnsi="Times New Roman" w:eastAsia="方正仿宋_GBK" w:cs="Times New Roman"/>
          <w:kern w:val="0"/>
          <w:sz w:val="32"/>
          <w:szCs w:val="32"/>
          <w:shd w:val="clear" w:fill="FFFFFF"/>
        </w:rPr>
        <w:t>0.50</w:t>
      </w:r>
      <w:r>
        <w:rPr>
          <w:rFonts w:hint="eastAsia" w:ascii="方正仿宋_GBK" w:hAnsi="方正仿宋_GBK" w:eastAsia="方正仿宋_GBK" w:cs="方正仿宋_GBK"/>
          <w:kern w:val="0"/>
          <w:sz w:val="32"/>
          <w:szCs w:val="32"/>
          <w:shd w:val="clear" w:fill="FFFFFF"/>
        </w:rPr>
        <w:t>万元，主要用于接待</w:t>
      </w:r>
      <w:r>
        <w:rPr>
          <w:rFonts w:hint="eastAsia" w:ascii="方正仿宋_GBK" w:hAnsi="方正仿宋_GBK" w:eastAsia="方正仿宋_GBK" w:cs="方正仿宋_GBK"/>
          <w:i w:val="0"/>
          <w:iCs w:val="0"/>
          <w:caps w:val="0"/>
          <w:color w:val="333333"/>
          <w:spacing w:val="0"/>
          <w:kern w:val="0"/>
          <w:sz w:val="32"/>
          <w:szCs w:val="32"/>
          <w:shd w:val="clear" w:fill="FFFFFF"/>
        </w:rPr>
        <w:t>保障性住房公务接待及扶贫工作公务接待费用。</w:t>
      </w:r>
      <w:r>
        <w:rPr>
          <w:rFonts w:hint="eastAsia" w:ascii="方正仿宋_GBK" w:hAnsi="方正仿宋_GBK" w:eastAsia="方正仿宋_GBK" w:cs="方正仿宋_GBK"/>
          <w:kern w:val="0"/>
          <w:sz w:val="32"/>
          <w:szCs w:val="32"/>
          <w:shd w:val="clear" w:fill="FFFFFF"/>
        </w:rPr>
        <w:t>费用支出较年初预算数减少</w:t>
      </w:r>
      <w:r>
        <w:rPr>
          <w:rFonts w:hint="default" w:ascii="Times New Roman" w:hAnsi="Times New Roman" w:eastAsia="方正仿宋_GBK" w:cs="Times New Roman"/>
          <w:kern w:val="0"/>
          <w:sz w:val="32"/>
          <w:szCs w:val="32"/>
          <w:shd w:val="clear" w:fill="FFFFFF"/>
        </w:rPr>
        <w:t>8.00</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94.1%</w:t>
      </w:r>
      <w:r>
        <w:rPr>
          <w:rFonts w:hint="eastAsia" w:ascii="方正仿宋_GBK" w:hAnsi="方正仿宋_GBK" w:eastAsia="方正仿宋_GBK" w:cs="方正仿宋_GBK"/>
          <w:kern w:val="0"/>
          <w:sz w:val="32"/>
          <w:szCs w:val="32"/>
          <w:shd w:val="clear" w:fill="FFFFFF"/>
        </w:rPr>
        <w:t>，主要原因是</w:t>
      </w:r>
      <w:r>
        <w:rPr>
          <w:rFonts w:hint="eastAsia" w:ascii="方正仿宋_GBK" w:hAnsi="方正仿宋_GBK" w:eastAsia="方正仿宋_GBK" w:cs="方正仿宋_GBK"/>
          <w:i w:val="0"/>
          <w:iCs w:val="0"/>
          <w:caps w:val="0"/>
          <w:color w:val="333333"/>
          <w:spacing w:val="0"/>
          <w:kern w:val="0"/>
          <w:sz w:val="32"/>
          <w:szCs w:val="32"/>
          <w:shd w:val="clear" w:fill="FFFFFF"/>
        </w:rPr>
        <w:t>严格控制保障性住房工作公务接待次数。</w:t>
      </w:r>
      <w:r>
        <w:rPr>
          <w:rFonts w:hint="eastAsia" w:ascii="方正仿宋_GBK" w:hAnsi="方正仿宋_GBK" w:eastAsia="方正仿宋_GBK" w:cs="方正仿宋_GBK"/>
          <w:kern w:val="0"/>
          <w:sz w:val="32"/>
          <w:szCs w:val="32"/>
          <w:shd w:val="clear" w:fill="FFFFFF"/>
        </w:rPr>
        <w:t>较上年支出数减少</w:t>
      </w:r>
      <w:r>
        <w:rPr>
          <w:rFonts w:hint="default" w:ascii="Times New Roman" w:hAnsi="Times New Roman" w:eastAsia="方正仿宋_GBK" w:cs="Times New Roman"/>
          <w:kern w:val="0"/>
          <w:sz w:val="32"/>
          <w:szCs w:val="32"/>
          <w:shd w:val="clear" w:fill="FFFFFF"/>
        </w:rPr>
        <w:t>0.40</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44.4%</w:t>
      </w:r>
      <w:r>
        <w:rPr>
          <w:rFonts w:hint="eastAsia" w:ascii="方正仿宋_GBK" w:hAnsi="方正仿宋_GBK" w:eastAsia="方正仿宋_GBK" w:cs="方正仿宋_GBK"/>
          <w:kern w:val="0"/>
          <w:sz w:val="32"/>
          <w:szCs w:val="32"/>
          <w:shd w:val="clear" w:fill="FFFFFF"/>
        </w:rPr>
        <w:t>，主要原因是</w:t>
      </w:r>
      <w:r>
        <w:rPr>
          <w:rFonts w:hint="eastAsia" w:ascii="方正仿宋_GBK" w:hAnsi="方正仿宋_GBK" w:eastAsia="方正仿宋_GBK" w:cs="方正仿宋_GBK"/>
          <w:i w:val="0"/>
          <w:iCs w:val="0"/>
          <w:caps w:val="0"/>
          <w:color w:val="333333"/>
          <w:spacing w:val="0"/>
          <w:kern w:val="0"/>
          <w:sz w:val="32"/>
          <w:szCs w:val="32"/>
          <w:shd w:val="clear" w:fill="FFFFFF"/>
        </w:rPr>
        <w:t>严格控制保障性住房工作公务接待次数。</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方正楷体_GBK" w:hAnsi="方正楷体_GBK" w:eastAsia="方正楷体_GBK" w:cs="方正楷体_GBK"/>
          <w:b w:val="0"/>
          <w:bCs w:val="0"/>
          <w:sz w:val="32"/>
          <w:szCs w:val="32"/>
          <w:shd w:val="clear" w:fill="FFFFFF"/>
        </w:rPr>
      </w:pPr>
      <w:r>
        <w:rPr>
          <w:rStyle w:val="13"/>
          <w:rFonts w:hint="eastAsia" w:ascii="方正楷体_GBK" w:hAnsi="方正楷体_GBK" w:eastAsia="方正楷体_GBK" w:cs="方正楷体_GBK"/>
          <w:b w:val="0"/>
          <w:bCs w:val="0"/>
          <w:sz w:val="32"/>
          <w:szCs w:val="32"/>
          <w:shd w:val="clear" w:fill="FFFFFF"/>
        </w:rPr>
        <w:t xml:space="preserve">  （三）“三公”经费实物量情况。</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fill="FFFFFF"/>
        </w:rPr>
        <w:t xml:space="preserve">  2021</w:t>
      </w:r>
      <w:r>
        <w:rPr>
          <w:rFonts w:hint="eastAsia" w:ascii="方正仿宋_GBK" w:hAnsi="方正仿宋_GBK" w:eastAsia="方正仿宋_GBK" w:cs="方正仿宋_GBK"/>
          <w:kern w:val="0"/>
          <w:sz w:val="32"/>
          <w:szCs w:val="32"/>
          <w:shd w:val="clear" w:fill="FFFFFF"/>
        </w:rPr>
        <w:t>年度本部门因公出国（境）共计</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个团组，</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人；公务用车购置</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辆，公务车保有量为</w:t>
      </w: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辆；国内公务接待</w:t>
      </w:r>
      <w:r>
        <w:rPr>
          <w:rFonts w:hint="default" w:ascii="Times New Roman" w:hAnsi="Times New Roman" w:eastAsia="方正仿宋_GBK" w:cs="Times New Roman"/>
          <w:kern w:val="0"/>
          <w:sz w:val="32"/>
          <w:szCs w:val="32"/>
          <w:shd w:val="clear" w:fill="FFFFFF"/>
        </w:rPr>
        <w:t>12</w:t>
      </w:r>
      <w:r>
        <w:rPr>
          <w:rFonts w:hint="eastAsia" w:ascii="方正仿宋_GBK" w:hAnsi="方正仿宋_GBK" w:eastAsia="方正仿宋_GBK" w:cs="方正仿宋_GBK"/>
          <w:kern w:val="0"/>
          <w:sz w:val="32"/>
          <w:szCs w:val="32"/>
          <w:shd w:val="clear" w:fill="FFFFFF"/>
        </w:rPr>
        <w:t>批次</w:t>
      </w:r>
      <w:r>
        <w:rPr>
          <w:rFonts w:hint="default" w:ascii="Times New Roman" w:hAnsi="Times New Roman" w:eastAsia="方正仿宋_GBK" w:cs="Times New Roman"/>
          <w:kern w:val="0"/>
          <w:sz w:val="32"/>
          <w:szCs w:val="32"/>
          <w:shd w:val="clear" w:fill="FFFFFF"/>
        </w:rPr>
        <w:t>52</w:t>
      </w:r>
      <w:r>
        <w:rPr>
          <w:rFonts w:hint="eastAsia" w:ascii="方正仿宋_GBK" w:hAnsi="方正仿宋_GBK" w:eastAsia="方正仿宋_GBK" w:cs="方正仿宋_GBK"/>
          <w:kern w:val="0"/>
          <w:sz w:val="32"/>
          <w:szCs w:val="32"/>
          <w:shd w:val="clear" w:fill="FFFFFF"/>
        </w:rPr>
        <w:t>人，其中：国内外事接待</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批次，</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人；国（境）外公务接待</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批次，</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人。</w:t>
      </w:r>
      <w:r>
        <w:rPr>
          <w:rFonts w:hint="default" w:ascii="Times New Roman" w:hAnsi="Times New Roman" w:eastAsia="方正仿宋_GBK" w:cs="Times New Roman"/>
          <w:kern w:val="0"/>
          <w:sz w:val="32"/>
          <w:szCs w:val="32"/>
          <w:shd w:val="clear" w:fill="FFFFFF"/>
        </w:rPr>
        <w:t>2021</w:t>
      </w:r>
      <w:r>
        <w:rPr>
          <w:rFonts w:hint="eastAsia" w:ascii="方正仿宋_GBK" w:hAnsi="方正仿宋_GBK" w:eastAsia="方正仿宋_GBK" w:cs="方正仿宋_GBK"/>
          <w:kern w:val="0"/>
          <w:sz w:val="32"/>
          <w:szCs w:val="32"/>
          <w:shd w:val="clear" w:fill="FFFFFF"/>
        </w:rPr>
        <w:t>年本部门人均接待费</w:t>
      </w:r>
      <w:r>
        <w:rPr>
          <w:rFonts w:hint="default" w:ascii="Times New Roman" w:hAnsi="Times New Roman" w:eastAsia="方正仿宋_GBK" w:cs="Times New Roman"/>
          <w:kern w:val="0"/>
          <w:sz w:val="32"/>
          <w:szCs w:val="32"/>
          <w:shd w:val="clear" w:fill="FFFFFF"/>
        </w:rPr>
        <w:t>96.54</w:t>
      </w:r>
      <w:r>
        <w:rPr>
          <w:rFonts w:hint="eastAsia" w:ascii="方正仿宋_GBK" w:hAnsi="方正仿宋_GBK" w:eastAsia="方正仿宋_GBK" w:cs="方正仿宋_GBK"/>
          <w:kern w:val="0"/>
          <w:sz w:val="32"/>
          <w:szCs w:val="32"/>
          <w:shd w:val="clear" w:fill="FFFFFF"/>
        </w:rPr>
        <w:t>元，车均购置费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万元，车均维护费</w:t>
      </w:r>
      <w:r>
        <w:rPr>
          <w:rFonts w:hint="default" w:ascii="Times New Roman" w:hAnsi="Times New Roman" w:eastAsia="方正仿宋_GBK" w:cs="Times New Roman"/>
          <w:kern w:val="0"/>
          <w:sz w:val="32"/>
          <w:szCs w:val="32"/>
          <w:shd w:val="clear" w:fill="FFFFFF"/>
        </w:rPr>
        <w:t>1.83</w:t>
      </w:r>
      <w:r>
        <w:rPr>
          <w:rFonts w:hint="eastAsia" w:ascii="方正仿宋_GBK" w:hAnsi="方正仿宋_GBK" w:eastAsia="方正仿宋_GBK" w:cs="方正仿宋_GBK"/>
          <w:kern w:val="0"/>
          <w:sz w:val="32"/>
          <w:szCs w:val="32"/>
          <w:shd w:val="clear" w:fill="FFFFFF"/>
        </w:rPr>
        <w:t>万元。</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方正黑体_GBK" w:hAnsi="方正黑体_GBK" w:eastAsia="方正黑体_GBK" w:cs="方正黑体_GBK"/>
          <w:b w:val="0"/>
          <w:bCs w:val="0"/>
          <w:sz w:val="32"/>
          <w:szCs w:val="32"/>
          <w:shd w:val="clear" w:fill="FFFFFF"/>
        </w:rPr>
      </w:pPr>
      <w:r>
        <w:rPr>
          <w:rStyle w:val="13"/>
          <w:rFonts w:hint="eastAsia" w:ascii="方正黑体_GBK" w:hAnsi="方正黑体_GBK" w:eastAsia="方正黑体_GBK" w:cs="方正黑体_GBK"/>
          <w:b w:val="0"/>
          <w:bCs w:val="0"/>
          <w:sz w:val="32"/>
          <w:szCs w:val="32"/>
          <w:shd w:val="clear" w:fill="FFFFFF"/>
        </w:rPr>
        <w:t xml:space="preserve">  四、其他需要说明的事项</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方正楷体_GBK" w:hAnsi="方正楷体_GBK" w:eastAsia="方正楷体_GBK" w:cs="方正楷体_GBK"/>
          <w:b w:val="0"/>
          <w:bCs w:val="0"/>
          <w:sz w:val="32"/>
          <w:szCs w:val="32"/>
          <w:shd w:val="clear" w:fill="FFFFFF"/>
        </w:rPr>
      </w:pPr>
      <w:r>
        <w:rPr>
          <w:rStyle w:val="13"/>
          <w:rFonts w:hint="eastAsia" w:ascii="方正楷体_GBK" w:hAnsi="方正楷体_GBK" w:eastAsia="方正楷体_GBK" w:cs="方正楷体_GBK"/>
          <w:b w:val="0"/>
          <w:bCs w:val="0"/>
          <w:sz w:val="32"/>
          <w:szCs w:val="32"/>
          <w:shd w:val="clear" w:fill="FFFFFF"/>
        </w:rPr>
        <w:t xml:space="preserve">  （一）一般公共预算财政拨款会议费和培训费情况说明。</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fill="FFFFFF"/>
        </w:rPr>
        <w:t xml:space="preserve">  </w:t>
      </w:r>
      <w:r>
        <w:rPr>
          <w:rFonts w:hint="eastAsia" w:ascii="方正仿宋_GBK" w:hAnsi="方正仿宋_GBK" w:eastAsia="方正仿宋_GBK" w:cs="方正仿宋_GBK"/>
          <w:kern w:val="0"/>
          <w:sz w:val="32"/>
          <w:szCs w:val="32"/>
          <w:shd w:val="clear" w:fill="FFFFFF"/>
        </w:rPr>
        <w:t>本年度会议费支出</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，主要原因是</w:t>
      </w:r>
      <w:r>
        <w:rPr>
          <w:rFonts w:hint="eastAsia" w:ascii="方正仿宋_GBK" w:hAnsi="方正仿宋_GBK" w:eastAsia="方正仿宋_GBK" w:cs="方正仿宋_GBK"/>
          <w:i w:val="0"/>
          <w:iCs w:val="0"/>
          <w:caps w:val="0"/>
          <w:color w:val="333333"/>
          <w:spacing w:val="0"/>
          <w:kern w:val="0"/>
          <w:sz w:val="32"/>
          <w:szCs w:val="32"/>
          <w:shd w:val="clear" w:fill="FFFFFF"/>
        </w:rPr>
        <w:t>本年度未举行大型会议。</w:t>
      </w:r>
      <w:r>
        <w:rPr>
          <w:rFonts w:hint="eastAsia" w:ascii="方正仿宋_GBK" w:hAnsi="方正仿宋_GBK" w:eastAsia="方正仿宋_GBK" w:cs="方正仿宋_GBK"/>
          <w:kern w:val="0"/>
          <w:sz w:val="32"/>
          <w:szCs w:val="32"/>
          <w:shd w:val="clear" w:fill="FFFFFF"/>
        </w:rPr>
        <w:t>本年度培训费支出</w:t>
      </w:r>
      <w:r>
        <w:rPr>
          <w:rFonts w:hint="default" w:ascii="Times New Roman" w:hAnsi="Times New Roman" w:eastAsia="方正仿宋_GBK" w:cs="Times New Roman"/>
          <w:kern w:val="0"/>
          <w:sz w:val="32"/>
          <w:szCs w:val="32"/>
          <w:shd w:val="clear" w:fill="FFFFFF"/>
        </w:rPr>
        <w:t>0.25</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0.25</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，主要原因是</w:t>
      </w:r>
      <w:r>
        <w:rPr>
          <w:rFonts w:hint="eastAsia" w:ascii="方正仿宋_GBK" w:hAnsi="方正仿宋_GBK" w:eastAsia="方正仿宋_GBK" w:cs="方正仿宋_GBK"/>
          <w:i w:val="0"/>
          <w:iCs w:val="0"/>
          <w:caps w:val="0"/>
          <w:color w:val="333333"/>
          <w:spacing w:val="0"/>
          <w:kern w:val="0"/>
          <w:sz w:val="32"/>
          <w:szCs w:val="32"/>
          <w:shd w:val="clear" w:fill="FFFFFF"/>
        </w:rPr>
        <w:t>本年度有人员参加各项培训，产生培训费用。</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eastAsia" w:ascii="方正楷体_GBK" w:hAnsi="方正楷体_GBK" w:eastAsia="方正楷体_GBK" w:cs="方正楷体_GBK"/>
          <w:b w:val="0"/>
          <w:bCs w:val="0"/>
          <w:sz w:val="32"/>
          <w:szCs w:val="32"/>
          <w:shd w:val="clear" w:fill="FFFFFF"/>
        </w:rPr>
      </w:pPr>
      <w:r>
        <w:rPr>
          <w:rStyle w:val="13"/>
          <w:rFonts w:hint="default" w:ascii="Times New Roman" w:hAnsi="Times New Roman" w:eastAsia="方正仿宋_GBK" w:cs="Times New Roman"/>
          <w:b/>
          <w:bCs/>
          <w:sz w:val="32"/>
          <w:szCs w:val="32"/>
          <w:shd w:val="clear" w:fill="FFFFFF"/>
        </w:rPr>
        <w:t xml:space="preserve"> </w:t>
      </w:r>
      <w:r>
        <w:rPr>
          <w:rStyle w:val="13"/>
          <w:rFonts w:hint="eastAsia" w:ascii="方正楷体_GBK" w:hAnsi="方正楷体_GBK" w:eastAsia="方正楷体_GBK" w:cs="方正楷体_GBK"/>
          <w:b w:val="0"/>
          <w:bCs w:val="0"/>
          <w:sz w:val="32"/>
          <w:szCs w:val="32"/>
          <w:shd w:val="clear" w:fill="FFFFFF"/>
        </w:rPr>
        <w:t xml:space="preserve"> （二）机关运行经费情况说明。</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fill="FFFFFF"/>
        </w:rPr>
        <w:t xml:space="preserve">  2021</w:t>
      </w:r>
      <w:r>
        <w:rPr>
          <w:rFonts w:hint="eastAsia" w:ascii="方正仿宋_GBK" w:hAnsi="方正仿宋_GBK" w:eastAsia="方正仿宋_GBK" w:cs="方正仿宋_GBK"/>
          <w:kern w:val="0"/>
          <w:sz w:val="32"/>
          <w:szCs w:val="32"/>
          <w:shd w:val="clear" w:fill="FFFFFF"/>
        </w:rPr>
        <w:t>年度本部门机关运行经费支出</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万元，机关运行经费主要用于开支</w:t>
      </w:r>
      <w:r>
        <w:rPr>
          <w:rFonts w:hint="eastAsia" w:ascii="方正仿宋_GBK" w:hAnsi="方正仿宋_GBK" w:eastAsia="方正仿宋_GBK" w:cs="方正仿宋_GBK"/>
          <w:i w:val="0"/>
          <w:iCs w:val="0"/>
          <w:caps w:val="0"/>
          <w:color w:val="333333"/>
          <w:spacing w:val="0"/>
          <w:kern w:val="0"/>
          <w:sz w:val="32"/>
          <w:szCs w:val="32"/>
          <w:shd w:val="clear" w:fill="FFFFFF"/>
        </w:rPr>
        <w:t>按照部门决算列报口径，我单位不在机关运行经费统计范围之内。</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shd w:val="clear" w:fill="FFFFFF"/>
        </w:rPr>
        <w:t>机关运行经费较上年决算数增加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，主要原因是</w:t>
      </w:r>
      <w:r>
        <w:rPr>
          <w:rFonts w:hint="eastAsia" w:ascii="方正仿宋_GBK" w:hAnsi="方正仿宋_GBK" w:eastAsia="方正仿宋_GBK" w:cs="方正仿宋_GBK"/>
          <w:i w:val="0"/>
          <w:iCs w:val="0"/>
          <w:caps w:val="0"/>
          <w:color w:val="333333"/>
          <w:spacing w:val="0"/>
          <w:kern w:val="0"/>
          <w:sz w:val="32"/>
          <w:szCs w:val="32"/>
          <w:shd w:val="clear" w:fill="FFFFFF"/>
        </w:rPr>
        <w:t>按照部门决算列报口径，我单位不在机关运行经费统计范围之内。</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方正楷体_GBK" w:hAnsi="方正楷体_GBK" w:eastAsia="方正楷体_GBK" w:cs="方正楷体_GBK"/>
          <w:b w:val="0"/>
          <w:bCs w:val="0"/>
          <w:sz w:val="32"/>
          <w:szCs w:val="32"/>
          <w:shd w:val="clear" w:fill="FFFFFF"/>
        </w:rPr>
      </w:pPr>
      <w:r>
        <w:rPr>
          <w:rStyle w:val="13"/>
          <w:rFonts w:hint="eastAsia" w:ascii="方正楷体_GBK" w:hAnsi="方正楷体_GBK" w:eastAsia="方正楷体_GBK" w:cs="方正楷体_GBK"/>
          <w:b w:val="0"/>
          <w:bCs w:val="0"/>
          <w:sz w:val="32"/>
          <w:szCs w:val="32"/>
          <w:shd w:val="clear" w:fill="FFFFFF"/>
        </w:rPr>
        <w:t xml:space="preserve"> （三）国有资产占用情况说明。</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fill="FFFFFF"/>
        </w:rPr>
        <w:t xml:space="preserve">  </w:t>
      </w:r>
      <w:r>
        <w:rPr>
          <w:rFonts w:hint="eastAsia" w:ascii="方正仿宋_GBK" w:hAnsi="方正仿宋_GBK" w:eastAsia="方正仿宋_GBK" w:cs="方正仿宋_GBK"/>
          <w:kern w:val="0"/>
          <w:sz w:val="32"/>
          <w:szCs w:val="32"/>
          <w:shd w:val="clear" w:fill="FFFFFF"/>
        </w:rPr>
        <w:t>截至</w:t>
      </w:r>
      <w:r>
        <w:rPr>
          <w:rFonts w:hint="default" w:ascii="Times New Roman" w:hAnsi="Times New Roman" w:eastAsia="方正仿宋_GBK" w:cs="Times New Roman"/>
          <w:kern w:val="0"/>
          <w:sz w:val="32"/>
          <w:szCs w:val="32"/>
          <w:shd w:val="clear" w:fill="FFFFFF"/>
        </w:rPr>
        <w:t>2021</w:t>
      </w:r>
      <w:r>
        <w:rPr>
          <w:rFonts w:hint="eastAsia" w:ascii="方正仿宋_GBK" w:hAnsi="方正仿宋_GBK" w:eastAsia="方正仿宋_GBK" w:cs="方正仿宋_GBK"/>
          <w:kern w:val="0"/>
          <w:sz w:val="32"/>
          <w:szCs w:val="32"/>
          <w:shd w:val="clear" w:fill="FFFFFF"/>
        </w:rPr>
        <w:t>年</w:t>
      </w:r>
      <w:r>
        <w:rPr>
          <w:rFonts w:hint="default" w:ascii="Times New Roman" w:hAnsi="Times New Roman" w:eastAsia="方正仿宋_GBK" w:cs="Times New Roman"/>
          <w:kern w:val="0"/>
          <w:sz w:val="32"/>
          <w:szCs w:val="32"/>
          <w:shd w:val="clear" w:fill="FFFFFF"/>
        </w:rPr>
        <w:t>12</w:t>
      </w:r>
      <w:r>
        <w:rPr>
          <w:rFonts w:hint="eastAsia" w:ascii="方正仿宋_GBK" w:hAnsi="方正仿宋_GBK" w:eastAsia="方正仿宋_GBK" w:cs="方正仿宋_GBK"/>
          <w:kern w:val="0"/>
          <w:sz w:val="32"/>
          <w:szCs w:val="32"/>
          <w:shd w:val="clear" w:fill="FFFFFF"/>
        </w:rPr>
        <w:t>月</w:t>
      </w:r>
      <w:r>
        <w:rPr>
          <w:rFonts w:hint="default" w:ascii="Times New Roman" w:hAnsi="Times New Roman" w:eastAsia="方正仿宋_GBK" w:cs="Times New Roman"/>
          <w:kern w:val="0"/>
          <w:sz w:val="32"/>
          <w:szCs w:val="32"/>
          <w:shd w:val="clear" w:fill="FFFFFF"/>
        </w:rPr>
        <w:t>31</w:t>
      </w:r>
      <w:r>
        <w:rPr>
          <w:rFonts w:hint="eastAsia" w:ascii="方正仿宋_GBK" w:hAnsi="方正仿宋_GBK" w:eastAsia="方正仿宋_GBK" w:cs="方正仿宋_GBK"/>
          <w:kern w:val="0"/>
          <w:sz w:val="32"/>
          <w:szCs w:val="32"/>
          <w:shd w:val="clear" w:fill="FFFFFF"/>
        </w:rPr>
        <w:t>日，本部门共有车辆</w:t>
      </w: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辆，其中，副部（省）级及以上领导用车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辆、主要领导干部用车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辆、机要通信用车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辆、应急保障用车</w:t>
      </w: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辆、执法执勤用车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辆，特种专业技术用车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辆，离退休干部用车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辆，其他用车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辆，其他用车主要是用于</w:t>
      </w:r>
      <w:r>
        <w:rPr>
          <w:rFonts w:hint="eastAsia" w:ascii="方正仿宋_GBK" w:hAnsi="方正仿宋_GBK" w:eastAsia="方正仿宋_GBK" w:cs="方正仿宋_GBK"/>
          <w:i w:val="0"/>
          <w:iCs w:val="0"/>
          <w:caps w:val="0"/>
          <w:spacing w:val="0"/>
          <w:kern w:val="0"/>
          <w:sz w:val="32"/>
          <w:szCs w:val="32"/>
          <w:shd w:val="clear" w:fill="FFFFFF"/>
        </w:rPr>
        <w:t>城</w:t>
      </w:r>
      <w:r>
        <w:rPr>
          <w:rFonts w:hint="eastAsia" w:ascii="方正仿宋_GBK" w:hAnsi="方正仿宋_GBK" w:eastAsia="方正仿宋_GBK" w:cs="方正仿宋_GBK"/>
          <w:i w:val="0"/>
          <w:iCs w:val="0"/>
          <w:caps w:val="0"/>
          <w:color w:val="333333"/>
          <w:spacing w:val="0"/>
          <w:kern w:val="0"/>
          <w:sz w:val="32"/>
          <w:szCs w:val="32"/>
          <w:shd w:val="clear" w:fill="FFFFFF"/>
        </w:rPr>
        <w:t>镇房屋安全监管到各乡镇巡察及保障性住房管理应急保障用车。</w:t>
      </w:r>
      <w:r>
        <w:rPr>
          <w:rFonts w:hint="eastAsia" w:ascii="方正仿宋_GBK" w:hAnsi="方正仿宋_GBK" w:eastAsia="方正仿宋_GBK" w:cs="方正仿宋_GBK"/>
          <w:kern w:val="0"/>
          <w:sz w:val="32"/>
          <w:szCs w:val="32"/>
          <w:shd w:val="clear" w:fill="FFFFFF"/>
        </w:rPr>
        <w:t>单价</w:t>
      </w:r>
      <w:r>
        <w:rPr>
          <w:rFonts w:hint="default" w:ascii="Times New Roman" w:hAnsi="Times New Roman" w:eastAsia="方正仿宋_GBK" w:cs="Times New Roman"/>
          <w:kern w:val="0"/>
          <w:sz w:val="32"/>
          <w:szCs w:val="32"/>
          <w:shd w:val="clear" w:fill="FFFFFF"/>
        </w:rPr>
        <w:t>50</w:t>
      </w:r>
      <w:r>
        <w:rPr>
          <w:rFonts w:hint="eastAsia" w:ascii="方正仿宋_GBK" w:hAnsi="方正仿宋_GBK" w:eastAsia="方正仿宋_GBK" w:cs="方正仿宋_GBK"/>
          <w:kern w:val="0"/>
          <w:sz w:val="32"/>
          <w:szCs w:val="32"/>
          <w:shd w:val="clear" w:fill="FFFFFF"/>
        </w:rPr>
        <w:t>万元（含）以上通用设备</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台（套），单价</w:t>
      </w:r>
      <w:r>
        <w:rPr>
          <w:rFonts w:hint="default" w:ascii="Times New Roman" w:hAnsi="Times New Roman" w:eastAsia="方正仿宋_GBK" w:cs="Times New Roman"/>
          <w:kern w:val="0"/>
          <w:sz w:val="32"/>
          <w:szCs w:val="32"/>
          <w:shd w:val="clear" w:fill="FFFFFF"/>
        </w:rPr>
        <w:t>100</w:t>
      </w:r>
      <w:r>
        <w:rPr>
          <w:rFonts w:hint="eastAsia" w:ascii="方正仿宋_GBK" w:hAnsi="方正仿宋_GBK" w:eastAsia="方正仿宋_GBK" w:cs="方正仿宋_GBK"/>
          <w:kern w:val="0"/>
          <w:sz w:val="32"/>
          <w:szCs w:val="32"/>
          <w:shd w:val="clear" w:fill="FFFFFF"/>
        </w:rPr>
        <w:t>万元（含）以上专用设备</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台（套）。</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default" w:ascii="Times New Roman" w:hAnsi="Times New Roman" w:eastAsia="方正仿宋_GBK" w:cs="Times New Roman"/>
          <w:kern w:val="0"/>
          <w:sz w:val="32"/>
          <w:szCs w:val="32"/>
        </w:rPr>
      </w:pPr>
      <w:r>
        <w:rPr>
          <w:rStyle w:val="13"/>
          <w:rFonts w:hint="default" w:ascii="Times New Roman" w:hAnsi="Times New Roman" w:eastAsia="方正仿宋_GBK" w:cs="Times New Roman"/>
          <w:b/>
          <w:bCs/>
          <w:sz w:val="32"/>
          <w:szCs w:val="32"/>
          <w:shd w:val="clear" w:fill="FFFFFF"/>
        </w:rPr>
        <w:t xml:space="preserve"> </w:t>
      </w:r>
      <w:r>
        <w:rPr>
          <w:rStyle w:val="13"/>
          <w:rFonts w:hint="eastAsia" w:ascii="方正楷体_GBK" w:hAnsi="方正楷体_GBK" w:eastAsia="方正楷体_GBK" w:cs="方正楷体_GBK"/>
          <w:b w:val="0"/>
          <w:bCs w:val="0"/>
          <w:sz w:val="32"/>
          <w:szCs w:val="32"/>
          <w:shd w:val="clear" w:fill="FFFFFF"/>
        </w:rPr>
        <w:t xml:space="preserve"> （四）政府采购支出情况说明。</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FF0000"/>
          <w:kern w:val="0"/>
          <w:sz w:val="32"/>
          <w:szCs w:val="32"/>
          <w:shd w:val="clear" w:fill="FFFFFF"/>
        </w:rPr>
      </w:pPr>
      <w:r>
        <w:rPr>
          <w:rFonts w:hint="default" w:ascii="Times New Roman" w:hAnsi="Times New Roman" w:eastAsia="方正仿宋_GBK" w:cs="Times New Roman"/>
          <w:kern w:val="0"/>
          <w:sz w:val="32"/>
          <w:szCs w:val="32"/>
          <w:shd w:val="clear" w:fill="FFFFFF"/>
        </w:rPr>
        <w:t xml:space="preserve">  2021</w:t>
      </w:r>
      <w:r>
        <w:rPr>
          <w:rFonts w:hint="eastAsia" w:ascii="方正仿宋_GBK" w:hAnsi="方正仿宋_GBK" w:eastAsia="方正仿宋_GBK" w:cs="方正仿宋_GBK"/>
          <w:kern w:val="0"/>
          <w:sz w:val="32"/>
          <w:szCs w:val="32"/>
          <w:shd w:val="clear" w:fill="FFFFFF"/>
        </w:rPr>
        <w:t>年度本部门政府采购支出总额</w:t>
      </w:r>
      <w:r>
        <w:rPr>
          <w:rFonts w:hint="default" w:ascii="Times New Roman" w:hAnsi="Times New Roman" w:eastAsia="方正仿宋_GBK" w:cs="Times New Roman"/>
          <w:kern w:val="0"/>
          <w:sz w:val="32"/>
          <w:szCs w:val="32"/>
          <w:shd w:val="clear" w:fill="FFFFFF"/>
        </w:rPr>
        <w:t>3.00</w:t>
      </w:r>
      <w:r>
        <w:rPr>
          <w:rFonts w:hint="eastAsia" w:ascii="方正仿宋_GBK" w:hAnsi="方正仿宋_GBK" w:eastAsia="方正仿宋_GBK" w:cs="方正仿宋_GBK"/>
          <w:kern w:val="0"/>
          <w:sz w:val="32"/>
          <w:szCs w:val="32"/>
          <w:shd w:val="clear" w:fill="FFFFFF"/>
        </w:rPr>
        <w:t>万元，其中：政府采购货物支出</w:t>
      </w:r>
      <w:r>
        <w:rPr>
          <w:rFonts w:hint="default" w:ascii="Times New Roman" w:hAnsi="Times New Roman" w:eastAsia="方正仿宋_GBK" w:cs="Times New Roman"/>
          <w:kern w:val="0"/>
          <w:sz w:val="32"/>
          <w:szCs w:val="32"/>
          <w:shd w:val="clear" w:fill="FFFFFF"/>
        </w:rPr>
        <w:t>3.00</w:t>
      </w:r>
      <w:r>
        <w:rPr>
          <w:rFonts w:hint="eastAsia" w:ascii="方正仿宋_GBK" w:hAnsi="方正仿宋_GBK" w:eastAsia="方正仿宋_GBK" w:cs="方正仿宋_GBK"/>
          <w:kern w:val="0"/>
          <w:sz w:val="32"/>
          <w:szCs w:val="32"/>
          <w:shd w:val="clear" w:fill="FFFFFF"/>
        </w:rPr>
        <w:t>万元、政府采购工程支出</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万元、政府采购服务支出</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万元。授予中小企业合同金额</w:t>
      </w:r>
      <w:r>
        <w:rPr>
          <w:rFonts w:hint="default" w:ascii="Times New Roman" w:hAnsi="Times New Roman" w:eastAsia="方正仿宋_GBK" w:cs="Times New Roman"/>
          <w:kern w:val="0"/>
          <w:sz w:val="32"/>
          <w:szCs w:val="32"/>
          <w:shd w:val="clear" w:fill="FFFFFF"/>
        </w:rPr>
        <w:t>3.00</w:t>
      </w:r>
      <w:r>
        <w:rPr>
          <w:rFonts w:hint="eastAsia" w:ascii="方正仿宋_GBK" w:hAnsi="方正仿宋_GBK" w:eastAsia="方正仿宋_GBK" w:cs="方正仿宋_GBK"/>
          <w:kern w:val="0"/>
          <w:sz w:val="32"/>
          <w:szCs w:val="32"/>
          <w:shd w:val="clear" w:fill="FFFFFF"/>
        </w:rPr>
        <w:t>万元，占政府采购支出总额的</w:t>
      </w:r>
      <w:r>
        <w:rPr>
          <w:rFonts w:hint="default" w:ascii="Times New Roman" w:hAnsi="Times New Roman" w:eastAsia="方正仿宋_GBK" w:cs="Times New Roman"/>
          <w:kern w:val="0"/>
          <w:sz w:val="32"/>
          <w:szCs w:val="32"/>
          <w:shd w:val="clear" w:fill="FFFFFF"/>
        </w:rPr>
        <w:t>100%</w:t>
      </w:r>
      <w:r>
        <w:rPr>
          <w:rFonts w:hint="eastAsia" w:ascii="方正仿宋_GBK" w:hAnsi="方正仿宋_GBK" w:eastAsia="方正仿宋_GBK" w:cs="方正仿宋_GBK"/>
          <w:kern w:val="0"/>
          <w:sz w:val="32"/>
          <w:szCs w:val="32"/>
          <w:shd w:val="clear" w:fill="FFFFFF"/>
        </w:rPr>
        <w:t>，其中：授予小微企业合同金额</w:t>
      </w:r>
      <w:r>
        <w:rPr>
          <w:rFonts w:hint="default" w:ascii="Times New Roman" w:hAnsi="Times New Roman" w:eastAsia="方正仿宋_GBK" w:cs="Times New Roman"/>
          <w:kern w:val="0"/>
          <w:sz w:val="32"/>
          <w:szCs w:val="32"/>
          <w:shd w:val="clear" w:fill="FFFFFF"/>
        </w:rPr>
        <w:t>3.00</w:t>
      </w:r>
      <w:r>
        <w:rPr>
          <w:rFonts w:hint="eastAsia" w:ascii="方正仿宋_GBK" w:hAnsi="方正仿宋_GBK" w:eastAsia="方正仿宋_GBK" w:cs="方正仿宋_GBK"/>
          <w:kern w:val="0"/>
          <w:sz w:val="32"/>
          <w:szCs w:val="32"/>
          <w:shd w:val="clear" w:fill="FFFFFF"/>
        </w:rPr>
        <w:t>万元，占政府采购支出总额的</w:t>
      </w:r>
      <w:r>
        <w:rPr>
          <w:rFonts w:hint="default" w:ascii="Times New Roman" w:hAnsi="Times New Roman" w:eastAsia="方正仿宋_GBK" w:cs="Times New Roman"/>
          <w:kern w:val="0"/>
          <w:sz w:val="32"/>
          <w:szCs w:val="32"/>
          <w:shd w:val="clear" w:fill="FFFFFF"/>
        </w:rPr>
        <w:t>100%</w:t>
      </w:r>
      <w:r>
        <w:rPr>
          <w:rFonts w:hint="eastAsia" w:ascii="方正仿宋_GBK" w:hAnsi="方正仿宋_GBK" w:eastAsia="方正仿宋_GBK" w:cs="方正仿宋_GBK"/>
          <w:kern w:val="0"/>
          <w:sz w:val="32"/>
          <w:szCs w:val="32"/>
          <w:shd w:val="clear" w:fill="FFFFFF"/>
        </w:rPr>
        <w:t>。主要用于采购办公电脑。</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eastAsia" w:ascii="方正黑体_GBK" w:hAnsi="方正黑体_GBK" w:eastAsia="方正黑体_GBK" w:cs="方正黑体_GBK"/>
          <w:b w:val="0"/>
          <w:bCs w:val="0"/>
          <w:sz w:val="32"/>
          <w:szCs w:val="32"/>
          <w:shd w:val="clear" w:fill="FFFFFF"/>
        </w:rPr>
      </w:pPr>
      <w:r>
        <w:rPr>
          <w:rStyle w:val="13"/>
          <w:rFonts w:hint="default" w:ascii="Times New Roman" w:hAnsi="Times New Roman" w:eastAsia="方正仿宋_GBK" w:cs="Times New Roman"/>
          <w:b/>
          <w:bCs/>
          <w:sz w:val="32"/>
          <w:szCs w:val="32"/>
          <w:shd w:val="clear" w:fill="FFFFFF"/>
        </w:rPr>
        <w:t xml:space="preserve"> </w:t>
      </w:r>
      <w:r>
        <w:rPr>
          <w:rStyle w:val="13"/>
          <w:rFonts w:hint="eastAsia" w:ascii="方正黑体_GBK" w:hAnsi="方正黑体_GBK" w:eastAsia="方正黑体_GBK" w:cs="方正黑体_GBK"/>
          <w:b w:val="0"/>
          <w:bCs w:val="0"/>
          <w:sz w:val="32"/>
          <w:szCs w:val="32"/>
          <w:shd w:val="clear" w:fill="FFFFFF"/>
        </w:rPr>
        <w:t xml:space="preserve"> 五、预算绩效管理情况说明</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方正楷体_GBK" w:hAnsi="方正楷体_GBK" w:eastAsia="方正楷体_GBK" w:cs="方正楷体_GBK"/>
          <w:b w:val="0"/>
          <w:bCs w:val="0"/>
          <w:kern w:val="0"/>
          <w:sz w:val="32"/>
          <w:szCs w:val="32"/>
        </w:rPr>
      </w:pPr>
      <w:r>
        <w:rPr>
          <w:rStyle w:val="13"/>
          <w:rFonts w:hint="eastAsia" w:ascii="方正楷体_GBK" w:hAnsi="方正楷体_GBK" w:eastAsia="方正楷体_GBK" w:cs="方正楷体_GBK"/>
          <w:b w:val="0"/>
          <w:bCs w:val="0"/>
          <w:sz w:val="32"/>
          <w:szCs w:val="32"/>
          <w:shd w:val="clear" w:fill="FFFFFF"/>
        </w:rPr>
        <w:t xml:space="preserve">  （一）预算绩效管理工作开展情况。</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 xml:space="preserve">  </w:t>
      </w:r>
      <w:r>
        <w:rPr>
          <w:rFonts w:hint="eastAsia" w:ascii="方正仿宋_GBK" w:hAnsi="方正仿宋_GBK" w:eastAsia="方正仿宋_GBK" w:cs="方正仿宋_GBK"/>
          <w:kern w:val="0"/>
          <w:sz w:val="32"/>
          <w:szCs w:val="32"/>
          <w:shd w:val="clear" w:fill="FFFFFF"/>
        </w:rPr>
        <w:t>据预算绩效管理要求，根据预算绩效管理要求，本单位对</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保障性住房维修维护和管理项目</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年初县级预算</w:t>
      </w: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个项目开展了绩效自评，其中以填报目标自评表形式开展自评</w:t>
      </w: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个项目，该项目本年度涉及市县资金</w:t>
      </w:r>
      <w:r>
        <w:rPr>
          <w:rFonts w:hint="default" w:ascii="Times New Roman" w:hAnsi="Times New Roman" w:eastAsia="方正仿宋_GBK" w:cs="Times New Roman"/>
          <w:kern w:val="0"/>
          <w:sz w:val="32"/>
          <w:szCs w:val="32"/>
          <w:shd w:val="clear" w:fill="FFFFFF"/>
        </w:rPr>
        <w:t>600</w:t>
      </w:r>
      <w:r>
        <w:rPr>
          <w:rFonts w:hint="eastAsia" w:ascii="方正仿宋_GBK" w:hAnsi="方正仿宋_GBK" w:eastAsia="方正仿宋_GBK" w:cs="方正仿宋_GBK"/>
          <w:kern w:val="0"/>
          <w:sz w:val="32"/>
          <w:szCs w:val="32"/>
          <w:shd w:val="clear" w:fill="FFFFFF"/>
        </w:rPr>
        <w:t>万元，其中县级年初预算项目资金</w:t>
      </w:r>
      <w:r>
        <w:rPr>
          <w:rFonts w:hint="default" w:ascii="Times New Roman" w:hAnsi="Times New Roman" w:eastAsia="方正仿宋_GBK" w:cs="Times New Roman"/>
          <w:kern w:val="0"/>
          <w:sz w:val="32"/>
          <w:szCs w:val="32"/>
          <w:shd w:val="clear" w:fill="FFFFFF"/>
        </w:rPr>
        <w:t>400</w:t>
      </w:r>
      <w:r>
        <w:rPr>
          <w:rFonts w:hint="eastAsia" w:ascii="方正仿宋_GBK" w:hAnsi="方正仿宋_GBK" w:eastAsia="方正仿宋_GBK" w:cs="方正仿宋_GBK"/>
          <w:kern w:val="0"/>
          <w:sz w:val="32"/>
          <w:szCs w:val="32"/>
          <w:shd w:val="clear" w:fill="FFFFFF"/>
        </w:rPr>
        <w:t>万元，实际到位支付资金</w:t>
      </w:r>
      <w:r>
        <w:rPr>
          <w:rFonts w:hint="default" w:ascii="Times New Roman" w:hAnsi="Times New Roman" w:eastAsia="方正仿宋_GBK" w:cs="Times New Roman"/>
          <w:kern w:val="0"/>
          <w:sz w:val="32"/>
          <w:szCs w:val="32"/>
          <w:shd w:val="clear" w:fill="FFFFFF"/>
        </w:rPr>
        <w:t>422.33</w:t>
      </w:r>
      <w:r>
        <w:rPr>
          <w:rFonts w:hint="eastAsia" w:ascii="方正仿宋_GBK" w:hAnsi="方正仿宋_GBK" w:eastAsia="方正仿宋_GBK" w:cs="方正仿宋_GBK"/>
          <w:kern w:val="0"/>
          <w:sz w:val="32"/>
          <w:szCs w:val="32"/>
          <w:shd w:val="clear" w:fill="FFFFFF"/>
        </w:rPr>
        <w:t>万元，实际支出</w:t>
      </w:r>
      <w:r>
        <w:rPr>
          <w:rFonts w:hint="default" w:ascii="Times New Roman" w:hAnsi="Times New Roman" w:eastAsia="方正仿宋_GBK" w:cs="Times New Roman"/>
          <w:kern w:val="0"/>
          <w:sz w:val="32"/>
          <w:szCs w:val="32"/>
          <w:shd w:val="clear" w:fill="FFFFFF"/>
        </w:rPr>
        <w:t>261.16</w:t>
      </w:r>
      <w:r>
        <w:rPr>
          <w:rFonts w:hint="eastAsia" w:ascii="方正仿宋_GBK" w:hAnsi="方正仿宋_GBK" w:eastAsia="方正仿宋_GBK" w:cs="方正仿宋_GBK"/>
          <w:kern w:val="0"/>
          <w:sz w:val="32"/>
          <w:szCs w:val="32"/>
          <w:shd w:val="clear" w:fill="FFFFFF"/>
        </w:rPr>
        <w:t>万元；市级资金安排</w:t>
      </w:r>
      <w:r>
        <w:rPr>
          <w:rFonts w:hint="default" w:ascii="Times New Roman" w:hAnsi="Times New Roman" w:eastAsia="方正仿宋_GBK" w:cs="Times New Roman"/>
          <w:kern w:val="0"/>
          <w:sz w:val="32"/>
          <w:szCs w:val="32"/>
          <w:shd w:val="clear" w:fill="FFFFFF"/>
        </w:rPr>
        <w:t>200</w:t>
      </w:r>
      <w:r>
        <w:rPr>
          <w:rFonts w:hint="eastAsia" w:ascii="方正仿宋_GBK" w:hAnsi="方正仿宋_GBK" w:eastAsia="方正仿宋_GBK" w:cs="方正仿宋_GBK"/>
          <w:kern w:val="0"/>
          <w:sz w:val="32"/>
          <w:szCs w:val="32"/>
          <w:shd w:val="clear" w:fill="FFFFFF"/>
        </w:rPr>
        <w:t>万元，实际支出</w:t>
      </w:r>
      <w:r>
        <w:rPr>
          <w:rFonts w:hint="default" w:ascii="Times New Roman" w:hAnsi="Times New Roman" w:eastAsia="方正仿宋_GBK" w:cs="Times New Roman"/>
          <w:kern w:val="0"/>
          <w:sz w:val="32"/>
          <w:szCs w:val="32"/>
          <w:shd w:val="clear" w:fill="FFFFFF"/>
        </w:rPr>
        <w:t>48.75</w:t>
      </w:r>
      <w:r>
        <w:rPr>
          <w:rFonts w:hint="eastAsia" w:ascii="方正仿宋_GBK" w:hAnsi="方正仿宋_GBK" w:eastAsia="方正仿宋_GBK" w:cs="方正仿宋_GBK"/>
          <w:kern w:val="0"/>
          <w:sz w:val="32"/>
          <w:szCs w:val="32"/>
          <w:shd w:val="clear" w:fill="FFFFFF"/>
        </w:rPr>
        <w:t>万元。从评价情况来看，项目评定等级为优等级，达到预期绩效目标。</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方正楷体_GBK" w:hAnsi="方正楷体_GBK" w:eastAsia="方正楷体_GBK" w:cs="方正楷体_GBK"/>
          <w:b w:val="0"/>
          <w:bCs w:val="0"/>
          <w:sz w:val="32"/>
          <w:szCs w:val="32"/>
          <w:shd w:val="clear" w:fill="FFFFFF"/>
        </w:rPr>
      </w:pPr>
      <w:r>
        <w:rPr>
          <w:rStyle w:val="13"/>
          <w:rFonts w:hint="eastAsia" w:ascii="方正楷体_GBK" w:hAnsi="方正楷体_GBK" w:eastAsia="方正楷体_GBK" w:cs="方正楷体_GBK"/>
          <w:b w:val="0"/>
          <w:bCs w:val="0"/>
          <w:sz w:val="32"/>
          <w:szCs w:val="32"/>
          <w:shd w:val="clear" w:fill="FFFFFF"/>
        </w:rPr>
        <w:t xml:space="preserve">  （二）绩效自评结果。</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default" w:ascii="Times New Roman" w:hAnsi="Times New Roman" w:eastAsia="方正仿宋_GBK" w:cs="Times New Roman"/>
          <w:b/>
          <w:bCs/>
          <w:kern w:val="0"/>
          <w:sz w:val="32"/>
          <w:szCs w:val="32"/>
          <w:shd w:val="clear" w:fill="FFFFFF"/>
        </w:rPr>
      </w:pPr>
      <w:r>
        <w:rPr>
          <w:rStyle w:val="13"/>
          <w:rFonts w:hint="default" w:ascii="Times New Roman" w:hAnsi="Times New Roman" w:eastAsia="方正仿宋_GBK" w:cs="Times New Roman"/>
          <w:b/>
          <w:bCs/>
          <w:sz w:val="32"/>
          <w:szCs w:val="32"/>
          <w:shd w:val="clear" w:fill="FFFFFF"/>
        </w:rPr>
        <w:t xml:space="preserve">  1.</w:t>
      </w:r>
      <w:r>
        <w:rPr>
          <w:rStyle w:val="13"/>
          <w:rFonts w:hint="eastAsia" w:ascii="方正仿宋_GBK" w:hAnsi="方正仿宋_GBK" w:eastAsia="方正仿宋_GBK" w:cs="方正仿宋_GBK"/>
          <w:b/>
          <w:bCs/>
          <w:sz w:val="32"/>
          <w:szCs w:val="32"/>
          <w:shd w:val="clear" w:fill="FFFFFF"/>
        </w:rPr>
        <w:t>绩效目标自评表。</w:t>
      </w:r>
    </w:p>
    <w:tbl>
      <w:tblPr>
        <w:tblStyle w:val="10"/>
        <w:tblW w:w="813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86"/>
        <w:gridCol w:w="787"/>
        <w:gridCol w:w="787"/>
        <w:gridCol w:w="901"/>
        <w:gridCol w:w="39"/>
        <w:gridCol w:w="1212"/>
        <w:gridCol w:w="1251"/>
        <w:gridCol w:w="787"/>
        <w:gridCol w:w="218"/>
        <w:gridCol w:w="802"/>
        <w:gridCol w:w="5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13" w:hRule="atLeast"/>
          <w:jc w:val="center"/>
        </w:trPr>
        <w:tc>
          <w:tcPr>
            <w:tcW w:w="8136" w:type="dxa"/>
            <w:gridSpan w:val="11"/>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2020</w:t>
            </w:r>
            <w:r>
              <w:rPr>
                <w:rFonts w:hint="eastAsia" w:ascii="方正仿宋_GBK" w:hAnsi="方正仿宋_GBK" w:eastAsia="方正仿宋_GBK" w:cs="方正仿宋_GBK"/>
                <w:kern w:val="0"/>
                <w:sz w:val="24"/>
                <w:szCs w:val="24"/>
              </w:rPr>
              <w:t>年度项目绩效自评表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82" w:hRule="atLeast"/>
          <w:jc w:val="center"/>
        </w:trPr>
        <w:tc>
          <w:tcPr>
            <w:tcW w:w="786"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项目名称</w:t>
            </w:r>
          </w:p>
        </w:tc>
        <w:tc>
          <w:tcPr>
            <w:tcW w:w="3726" w:type="dxa"/>
            <w:gridSpan w:val="5"/>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保障性住房维修维护和管理项目</w:t>
            </w:r>
          </w:p>
        </w:tc>
        <w:tc>
          <w:tcPr>
            <w:tcW w:w="1251"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自评总分</w:t>
            </w:r>
          </w:p>
        </w:tc>
        <w:tc>
          <w:tcPr>
            <w:tcW w:w="2373" w:type="dxa"/>
            <w:gridSpan w:val="4"/>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94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82" w:hRule="atLeast"/>
          <w:jc w:val="center"/>
        </w:trPr>
        <w:tc>
          <w:tcPr>
            <w:tcW w:w="786"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主管部门</w:t>
            </w:r>
          </w:p>
        </w:tc>
        <w:tc>
          <w:tcPr>
            <w:tcW w:w="3726" w:type="dxa"/>
            <w:gridSpan w:val="5"/>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丰都县住房和城乡建设委员会</w:t>
            </w:r>
          </w:p>
        </w:tc>
        <w:tc>
          <w:tcPr>
            <w:tcW w:w="1251"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实施单位</w:t>
            </w:r>
          </w:p>
        </w:tc>
        <w:tc>
          <w:tcPr>
            <w:tcW w:w="2373" w:type="dxa"/>
            <w:gridSpan w:val="4"/>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丰都县公共房屋保障中心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82" w:hRule="atLeast"/>
          <w:jc w:val="center"/>
        </w:trPr>
        <w:tc>
          <w:tcPr>
            <w:tcW w:w="786" w:type="dxa"/>
            <w:vMerge w:val="restart"/>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项目资金（万元）</w:t>
            </w:r>
          </w:p>
        </w:tc>
        <w:tc>
          <w:tcPr>
            <w:tcW w:w="1574" w:type="dxa"/>
            <w:gridSpan w:val="2"/>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p>
        </w:tc>
        <w:tc>
          <w:tcPr>
            <w:tcW w:w="901"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年初预算数</w:t>
            </w:r>
          </w:p>
        </w:tc>
        <w:tc>
          <w:tcPr>
            <w:tcW w:w="1251" w:type="dxa"/>
            <w:gridSpan w:val="2"/>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全年预算数</w:t>
            </w:r>
          </w:p>
        </w:tc>
        <w:tc>
          <w:tcPr>
            <w:tcW w:w="1251"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全年执行数</w:t>
            </w:r>
          </w:p>
        </w:tc>
        <w:tc>
          <w:tcPr>
            <w:tcW w:w="787"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分值</w:t>
            </w:r>
          </w:p>
        </w:tc>
        <w:tc>
          <w:tcPr>
            <w:tcW w:w="1020" w:type="dxa"/>
            <w:gridSpan w:val="2"/>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执行率</w:t>
            </w:r>
            <w:r>
              <w:rPr>
                <w:rFonts w:hint="default" w:ascii="Times New Roman" w:hAnsi="Times New Roman" w:eastAsia="方正仿宋_GBK" w:cs="Times New Roman"/>
                <w:kern w:val="0"/>
                <w:sz w:val="24"/>
                <w:szCs w:val="24"/>
              </w:rPr>
              <w:br w:type="textWrapping"/>
            </w:r>
            <w:r>
              <w:rPr>
                <w:rFonts w:hint="eastAsia" w:ascii="方正仿宋_GBK" w:hAnsi="方正仿宋_GBK" w:eastAsia="方正仿宋_GBK" w:cs="方正仿宋_GBK"/>
                <w:kern w:val="0"/>
                <w:sz w:val="24"/>
                <w:szCs w:val="24"/>
              </w:rPr>
              <w:t>（</w:t>
            </w:r>
            <w:r>
              <w:rPr>
                <w:rFonts w:hint="default" w:ascii="Times New Roman" w:hAnsi="Times New Roman" w:eastAsia="方正仿宋_GBK" w:cs="Times New Roman"/>
                <w:kern w:val="0"/>
                <w:sz w:val="24"/>
                <w:szCs w:val="24"/>
              </w:rPr>
              <w:t>%</w:t>
            </w:r>
            <w:r>
              <w:rPr>
                <w:rFonts w:hint="eastAsia" w:ascii="方正仿宋_GBK" w:hAnsi="方正仿宋_GBK" w:eastAsia="方正仿宋_GBK" w:cs="方正仿宋_GBK"/>
                <w:kern w:val="0"/>
                <w:sz w:val="24"/>
                <w:szCs w:val="24"/>
              </w:rPr>
              <w:t>）</w:t>
            </w:r>
          </w:p>
        </w:tc>
        <w:tc>
          <w:tcPr>
            <w:tcW w:w="566"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both"/>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执行率得分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7" w:hRule="atLeast"/>
          <w:jc w:val="center"/>
        </w:trPr>
        <w:tc>
          <w:tcPr>
            <w:tcW w:w="786" w:type="dxa"/>
            <w:vMerge w:val="continue"/>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N/>
              <w:bidi w:val="0"/>
              <w:adjustRightInd/>
              <w:snapToGrid/>
              <w:spacing w:afterAutospacing="0" w:line="560" w:lineRule="exact"/>
              <w:textAlignment w:val="auto"/>
              <w:rPr>
                <w:rFonts w:hint="default" w:ascii="Times New Roman" w:hAnsi="Times New Roman" w:cs="Times New Roman"/>
                <w:sz w:val="20"/>
                <w:szCs w:val="20"/>
              </w:rPr>
            </w:pPr>
          </w:p>
        </w:tc>
        <w:tc>
          <w:tcPr>
            <w:tcW w:w="1574" w:type="dxa"/>
            <w:gridSpan w:val="2"/>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年度总金额</w:t>
            </w:r>
          </w:p>
        </w:tc>
        <w:tc>
          <w:tcPr>
            <w:tcW w:w="901"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600</w:t>
            </w:r>
          </w:p>
        </w:tc>
        <w:tc>
          <w:tcPr>
            <w:tcW w:w="1251" w:type="dxa"/>
            <w:gridSpan w:val="2"/>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600</w:t>
            </w:r>
          </w:p>
        </w:tc>
        <w:tc>
          <w:tcPr>
            <w:tcW w:w="1251"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309.91</w:t>
            </w:r>
          </w:p>
        </w:tc>
        <w:tc>
          <w:tcPr>
            <w:tcW w:w="787"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w:t>
            </w:r>
          </w:p>
        </w:tc>
        <w:tc>
          <w:tcPr>
            <w:tcW w:w="1020" w:type="dxa"/>
            <w:gridSpan w:val="2"/>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50%</w:t>
            </w:r>
          </w:p>
        </w:tc>
        <w:tc>
          <w:tcPr>
            <w:tcW w:w="566"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7" w:hRule="atLeast"/>
          <w:jc w:val="center"/>
        </w:trPr>
        <w:tc>
          <w:tcPr>
            <w:tcW w:w="786" w:type="dxa"/>
            <w:vMerge w:val="continue"/>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N/>
              <w:bidi w:val="0"/>
              <w:adjustRightInd/>
              <w:snapToGrid/>
              <w:spacing w:afterAutospacing="0" w:line="560" w:lineRule="exact"/>
              <w:textAlignment w:val="auto"/>
              <w:rPr>
                <w:rFonts w:hint="default" w:ascii="Times New Roman" w:hAnsi="Times New Roman" w:cs="Times New Roman"/>
                <w:sz w:val="20"/>
                <w:szCs w:val="20"/>
              </w:rPr>
            </w:pPr>
          </w:p>
        </w:tc>
        <w:tc>
          <w:tcPr>
            <w:tcW w:w="1574" w:type="dxa"/>
            <w:gridSpan w:val="2"/>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其中：财政拨款</w:t>
            </w:r>
          </w:p>
        </w:tc>
        <w:tc>
          <w:tcPr>
            <w:tcW w:w="901"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600</w:t>
            </w:r>
          </w:p>
        </w:tc>
        <w:tc>
          <w:tcPr>
            <w:tcW w:w="1251" w:type="dxa"/>
            <w:gridSpan w:val="2"/>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600</w:t>
            </w:r>
          </w:p>
        </w:tc>
        <w:tc>
          <w:tcPr>
            <w:tcW w:w="1251"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309.91</w:t>
            </w:r>
          </w:p>
        </w:tc>
        <w:tc>
          <w:tcPr>
            <w:tcW w:w="787"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w:t>
            </w:r>
          </w:p>
        </w:tc>
        <w:tc>
          <w:tcPr>
            <w:tcW w:w="1020" w:type="dxa"/>
            <w:gridSpan w:val="2"/>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50%</w:t>
            </w:r>
          </w:p>
        </w:tc>
        <w:tc>
          <w:tcPr>
            <w:tcW w:w="566"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7" w:hRule="atLeast"/>
          <w:jc w:val="center"/>
        </w:trPr>
        <w:tc>
          <w:tcPr>
            <w:tcW w:w="786" w:type="dxa"/>
            <w:vMerge w:val="continue"/>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N/>
              <w:bidi w:val="0"/>
              <w:adjustRightInd/>
              <w:snapToGrid/>
              <w:spacing w:afterAutospacing="0" w:line="560" w:lineRule="exact"/>
              <w:textAlignment w:val="auto"/>
              <w:rPr>
                <w:rFonts w:hint="default" w:ascii="Times New Roman" w:hAnsi="Times New Roman" w:cs="Times New Roman"/>
                <w:sz w:val="20"/>
                <w:szCs w:val="20"/>
              </w:rPr>
            </w:pPr>
          </w:p>
        </w:tc>
        <w:tc>
          <w:tcPr>
            <w:tcW w:w="1574" w:type="dxa"/>
            <w:gridSpan w:val="2"/>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上年结转结余</w:t>
            </w:r>
          </w:p>
        </w:tc>
        <w:tc>
          <w:tcPr>
            <w:tcW w:w="901"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0</w:t>
            </w:r>
          </w:p>
        </w:tc>
        <w:tc>
          <w:tcPr>
            <w:tcW w:w="1251" w:type="dxa"/>
            <w:gridSpan w:val="2"/>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0</w:t>
            </w:r>
          </w:p>
        </w:tc>
        <w:tc>
          <w:tcPr>
            <w:tcW w:w="1251"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0</w:t>
            </w:r>
          </w:p>
        </w:tc>
        <w:tc>
          <w:tcPr>
            <w:tcW w:w="787"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p>
        </w:tc>
        <w:tc>
          <w:tcPr>
            <w:tcW w:w="1020" w:type="dxa"/>
            <w:gridSpan w:val="2"/>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p>
        </w:tc>
        <w:tc>
          <w:tcPr>
            <w:tcW w:w="566"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13" w:hRule="atLeast"/>
          <w:jc w:val="center"/>
        </w:trPr>
        <w:tc>
          <w:tcPr>
            <w:tcW w:w="786" w:type="dxa"/>
            <w:vMerge w:val="continue"/>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N/>
              <w:bidi w:val="0"/>
              <w:adjustRightInd/>
              <w:snapToGrid/>
              <w:spacing w:afterAutospacing="0" w:line="560" w:lineRule="exact"/>
              <w:textAlignment w:val="auto"/>
              <w:rPr>
                <w:rFonts w:hint="default" w:ascii="Times New Roman" w:hAnsi="Times New Roman" w:cs="Times New Roman"/>
                <w:sz w:val="20"/>
                <w:szCs w:val="20"/>
              </w:rPr>
            </w:pPr>
          </w:p>
        </w:tc>
        <w:tc>
          <w:tcPr>
            <w:tcW w:w="1574" w:type="dxa"/>
            <w:gridSpan w:val="2"/>
            <w:tcBorders>
              <w:top w:val="outset" w:color="auto" w:sz="6" w:space="0"/>
              <w:left w:val="nil"/>
              <w:bottom w:val="single" w:color="auto" w:sz="4"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其他资金</w:t>
            </w:r>
          </w:p>
        </w:tc>
        <w:tc>
          <w:tcPr>
            <w:tcW w:w="901" w:type="dxa"/>
            <w:tcBorders>
              <w:top w:val="outset" w:color="auto" w:sz="6" w:space="0"/>
              <w:left w:val="nil"/>
              <w:bottom w:val="single" w:color="auto" w:sz="4"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0</w:t>
            </w:r>
          </w:p>
        </w:tc>
        <w:tc>
          <w:tcPr>
            <w:tcW w:w="1251" w:type="dxa"/>
            <w:gridSpan w:val="2"/>
            <w:tcBorders>
              <w:top w:val="outset" w:color="auto" w:sz="6" w:space="0"/>
              <w:left w:val="nil"/>
              <w:bottom w:val="single" w:color="auto" w:sz="4"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0</w:t>
            </w:r>
          </w:p>
        </w:tc>
        <w:tc>
          <w:tcPr>
            <w:tcW w:w="1251"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0</w:t>
            </w:r>
          </w:p>
        </w:tc>
        <w:tc>
          <w:tcPr>
            <w:tcW w:w="787"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p>
        </w:tc>
        <w:tc>
          <w:tcPr>
            <w:tcW w:w="1020" w:type="dxa"/>
            <w:gridSpan w:val="2"/>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p>
        </w:tc>
        <w:tc>
          <w:tcPr>
            <w:tcW w:w="566"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13" w:hRule="atLeast"/>
          <w:jc w:val="center"/>
        </w:trPr>
        <w:tc>
          <w:tcPr>
            <w:tcW w:w="786" w:type="dxa"/>
            <w:vMerge w:val="restart"/>
            <w:tcBorders>
              <w:top w:val="nil"/>
              <w:left w:val="single" w:color="auto" w:sz="4" w:space="0"/>
              <w:bottom w:val="single" w:color="auto" w:sz="4" w:space="0"/>
              <w:right w:val="single" w:color="auto" w:sz="4"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年度总体目标</w:t>
            </w:r>
          </w:p>
        </w:tc>
        <w:tc>
          <w:tcPr>
            <w:tcW w:w="3726" w:type="dxa"/>
            <w:gridSpan w:val="5"/>
            <w:tcBorders>
              <w:top w:val="single" w:color="auto" w:sz="4" w:space="0"/>
              <w:left w:val="nil"/>
              <w:bottom w:val="single" w:color="auto" w:sz="4" w:space="0"/>
              <w:right w:val="single" w:color="auto" w:sz="4"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预期目标</w:t>
            </w:r>
          </w:p>
        </w:tc>
        <w:tc>
          <w:tcPr>
            <w:tcW w:w="3624" w:type="dxa"/>
            <w:gridSpan w:val="5"/>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全年完成情况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974" w:hRule="atLeast"/>
          <w:jc w:val="center"/>
        </w:trPr>
        <w:tc>
          <w:tcPr>
            <w:tcW w:w="786" w:type="dxa"/>
            <w:vMerge w:val="continue"/>
            <w:tcBorders>
              <w:top w:val="nil"/>
              <w:left w:val="single" w:color="auto" w:sz="4" w:space="0"/>
              <w:bottom w:val="single" w:color="auto" w:sz="4" w:space="0"/>
              <w:right w:val="single" w:color="auto" w:sz="4"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N/>
              <w:bidi w:val="0"/>
              <w:adjustRightInd/>
              <w:snapToGrid/>
              <w:spacing w:afterAutospacing="0" w:line="560" w:lineRule="exact"/>
              <w:textAlignment w:val="auto"/>
              <w:rPr>
                <w:rFonts w:hint="default" w:ascii="Times New Roman" w:hAnsi="Times New Roman" w:cs="Times New Roman"/>
                <w:sz w:val="20"/>
                <w:szCs w:val="20"/>
              </w:rPr>
            </w:pPr>
          </w:p>
        </w:tc>
        <w:tc>
          <w:tcPr>
            <w:tcW w:w="3726" w:type="dxa"/>
            <w:gridSpan w:val="5"/>
            <w:tcBorders>
              <w:top w:val="single" w:color="auto" w:sz="4" w:space="0"/>
              <w:left w:val="nil"/>
              <w:bottom w:val="single" w:color="auto" w:sz="4" w:space="0"/>
              <w:right w:val="single" w:color="auto" w:sz="4"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加强完善保障性住房各物业小区基础设施设备，对保障性住房、直管公房各项设备设施出现问题及时维修维护，继续保障对象申报、审核、分配及管理工作；保障性住房小区居住区居住环境改善，保障租户的人身安全，人居环境和谐稳定，民生实事社会效应良好，无群体信访事件，为保障对象提供安全、舒适的居住环境。</w:t>
            </w:r>
          </w:p>
        </w:tc>
        <w:tc>
          <w:tcPr>
            <w:tcW w:w="3624" w:type="dxa"/>
            <w:gridSpan w:val="5"/>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全年已完成对保障性住房、直管公房各项设备设施出现问题及时维修维护，继续保障对象申报、审核、分配及管理工作；保障性住房小区居住区居住环境改善，保障租户的人身安全，人居环境和谐稳定。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82" w:hRule="atLeast"/>
          <w:jc w:val="center"/>
        </w:trPr>
        <w:tc>
          <w:tcPr>
            <w:tcW w:w="786" w:type="dxa"/>
            <w:vMerge w:val="restart"/>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绩效指标</w:t>
            </w:r>
          </w:p>
        </w:tc>
        <w:tc>
          <w:tcPr>
            <w:tcW w:w="787" w:type="dxa"/>
            <w:tcBorders>
              <w:top w:val="single" w:color="auto" w:sz="4"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一级指标</w:t>
            </w:r>
          </w:p>
        </w:tc>
        <w:tc>
          <w:tcPr>
            <w:tcW w:w="787" w:type="dxa"/>
            <w:tcBorders>
              <w:top w:val="single" w:color="auto" w:sz="4"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二级指标</w:t>
            </w:r>
          </w:p>
        </w:tc>
        <w:tc>
          <w:tcPr>
            <w:tcW w:w="940" w:type="dxa"/>
            <w:gridSpan w:val="2"/>
            <w:tcBorders>
              <w:top w:val="single" w:color="auto" w:sz="4"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三级指标</w:t>
            </w:r>
          </w:p>
        </w:tc>
        <w:tc>
          <w:tcPr>
            <w:tcW w:w="1212" w:type="dxa"/>
            <w:tcBorders>
              <w:top w:val="single" w:color="auto" w:sz="4"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年度指标值</w:t>
            </w:r>
          </w:p>
        </w:tc>
        <w:tc>
          <w:tcPr>
            <w:tcW w:w="2256" w:type="dxa"/>
            <w:gridSpan w:val="3"/>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实际</w:t>
            </w:r>
            <w:r>
              <w:rPr>
                <w:rFonts w:hint="default" w:ascii="Times New Roman" w:hAnsi="Times New Roman" w:eastAsia="方正仿宋_GBK" w:cs="Times New Roman"/>
                <w:kern w:val="0"/>
                <w:sz w:val="24"/>
                <w:szCs w:val="24"/>
              </w:rPr>
              <w:br w:type="textWrapping"/>
            </w:r>
            <w:r>
              <w:rPr>
                <w:rFonts w:hint="eastAsia" w:ascii="方正仿宋_GBK" w:hAnsi="方正仿宋_GBK" w:eastAsia="方正仿宋_GBK" w:cs="方正仿宋_GBK"/>
                <w:kern w:val="0"/>
                <w:sz w:val="24"/>
                <w:szCs w:val="24"/>
              </w:rPr>
              <w:t>完成值</w:t>
            </w:r>
          </w:p>
        </w:tc>
        <w:tc>
          <w:tcPr>
            <w:tcW w:w="802"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分值</w:t>
            </w:r>
          </w:p>
        </w:tc>
        <w:tc>
          <w:tcPr>
            <w:tcW w:w="566"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both"/>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82" w:hRule="atLeast"/>
          <w:jc w:val="center"/>
        </w:trPr>
        <w:tc>
          <w:tcPr>
            <w:tcW w:w="786" w:type="dxa"/>
            <w:vMerge w:val="continue"/>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N/>
              <w:bidi w:val="0"/>
              <w:adjustRightInd/>
              <w:snapToGrid/>
              <w:spacing w:afterAutospacing="0" w:line="560" w:lineRule="exact"/>
              <w:textAlignment w:val="auto"/>
              <w:rPr>
                <w:rFonts w:hint="default" w:ascii="Times New Roman" w:hAnsi="Times New Roman" w:cs="Times New Roman"/>
                <w:sz w:val="20"/>
                <w:szCs w:val="20"/>
              </w:rPr>
            </w:pPr>
          </w:p>
        </w:tc>
        <w:tc>
          <w:tcPr>
            <w:tcW w:w="787" w:type="dxa"/>
            <w:vMerge w:val="restart"/>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产出指标</w:t>
            </w:r>
          </w:p>
        </w:tc>
        <w:tc>
          <w:tcPr>
            <w:tcW w:w="787"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时效目标</w:t>
            </w:r>
          </w:p>
        </w:tc>
        <w:tc>
          <w:tcPr>
            <w:tcW w:w="940" w:type="dxa"/>
            <w:gridSpan w:val="2"/>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工程完工率</w:t>
            </w:r>
          </w:p>
        </w:tc>
        <w:tc>
          <w:tcPr>
            <w:tcW w:w="1212"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100%</w:t>
            </w:r>
          </w:p>
        </w:tc>
        <w:tc>
          <w:tcPr>
            <w:tcW w:w="2256" w:type="dxa"/>
            <w:gridSpan w:val="3"/>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100%</w:t>
            </w:r>
          </w:p>
        </w:tc>
        <w:tc>
          <w:tcPr>
            <w:tcW w:w="802"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w:t>
            </w:r>
          </w:p>
        </w:tc>
        <w:tc>
          <w:tcPr>
            <w:tcW w:w="566"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7" w:hRule="atLeast"/>
          <w:jc w:val="center"/>
        </w:trPr>
        <w:tc>
          <w:tcPr>
            <w:tcW w:w="786" w:type="dxa"/>
            <w:vMerge w:val="continue"/>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N/>
              <w:bidi w:val="0"/>
              <w:adjustRightInd/>
              <w:snapToGrid/>
              <w:spacing w:afterAutospacing="0" w:line="560" w:lineRule="exact"/>
              <w:textAlignment w:val="auto"/>
              <w:rPr>
                <w:rFonts w:hint="default" w:ascii="Times New Roman" w:hAnsi="Times New Roman" w:cs="Times New Roman"/>
                <w:sz w:val="20"/>
                <w:szCs w:val="20"/>
              </w:rPr>
            </w:pPr>
          </w:p>
        </w:tc>
        <w:tc>
          <w:tcPr>
            <w:tcW w:w="787" w:type="dxa"/>
            <w:vMerge w:val="continue"/>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N/>
              <w:bidi w:val="0"/>
              <w:adjustRightInd/>
              <w:snapToGrid/>
              <w:spacing w:afterAutospacing="0" w:line="560" w:lineRule="exact"/>
              <w:textAlignment w:val="auto"/>
              <w:rPr>
                <w:rFonts w:hint="default" w:ascii="Times New Roman" w:hAnsi="Times New Roman" w:cs="Times New Roman"/>
                <w:sz w:val="20"/>
                <w:szCs w:val="20"/>
              </w:rPr>
            </w:pPr>
          </w:p>
        </w:tc>
        <w:tc>
          <w:tcPr>
            <w:tcW w:w="787" w:type="dxa"/>
            <w:vMerge w:val="restart"/>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成本目标</w:t>
            </w:r>
          </w:p>
        </w:tc>
        <w:tc>
          <w:tcPr>
            <w:tcW w:w="940" w:type="dxa"/>
            <w:gridSpan w:val="2"/>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268.86</w:t>
            </w:r>
            <w:r>
              <w:rPr>
                <w:rFonts w:hint="eastAsia" w:ascii="方正仿宋_GBK" w:hAnsi="方正仿宋_GBK" w:eastAsia="方正仿宋_GBK" w:cs="方正仿宋_GBK"/>
                <w:kern w:val="0"/>
                <w:sz w:val="24"/>
                <w:szCs w:val="24"/>
              </w:rPr>
              <w:t>万元</w:t>
            </w:r>
          </w:p>
        </w:tc>
        <w:tc>
          <w:tcPr>
            <w:tcW w:w="1212"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p>
        </w:tc>
        <w:tc>
          <w:tcPr>
            <w:tcW w:w="2256" w:type="dxa"/>
            <w:gridSpan w:val="3"/>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268.86</w:t>
            </w:r>
            <w:r>
              <w:rPr>
                <w:rFonts w:hint="eastAsia" w:ascii="方正仿宋_GBK" w:hAnsi="方正仿宋_GBK" w:eastAsia="方正仿宋_GBK" w:cs="方正仿宋_GBK"/>
                <w:kern w:val="0"/>
                <w:sz w:val="24"/>
                <w:szCs w:val="24"/>
              </w:rPr>
              <w:t>万元</w:t>
            </w:r>
          </w:p>
        </w:tc>
        <w:tc>
          <w:tcPr>
            <w:tcW w:w="802" w:type="dxa"/>
            <w:vMerge w:val="restart"/>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20</w:t>
            </w:r>
          </w:p>
        </w:tc>
        <w:tc>
          <w:tcPr>
            <w:tcW w:w="566" w:type="dxa"/>
            <w:vMerge w:val="restart"/>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82" w:hRule="atLeast"/>
          <w:jc w:val="center"/>
        </w:trPr>
        <w:tc>
          <w:tcPr>
            <w:tcW w:w="786" w:type="dxa"/>
            <w:vMerge w:val="continue"/>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N/>
              <w:bidi w:val="0"/>
              <w:adjustRightInd/>
              <w:snapToGrid/>
              <w:spacing w:afterAutospacing="0" w:line="560" w:lineRule="exact"/>
              <w:textAlignment w:val="auto"/>
              <w:rPr>
                <w:rFonts w:hint="default" w:ascii="Times New Roman" w:hAnsi="Times New Roman" w:cs="Times New Roman"/>
                <w:sz w:val="20"/>
                <w:szCs w:val="20"/>
              </w:rPr>
            </w:pPr>
          </w:p>
        </w:tc>
        <w:tc>
          <w:tcPr>
            <w:tcW w:w="787" w:type="dxa"/>
            <w:vMerge w:val="continue"/>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N/>
              <w:bidi w:val="0"/>
              <w:adjustRightInd/>
              <w:snapToGrid/>
              <w:spacing w:afterAutospacing="0" w:line="560" w:lineRule="exact"/>
              <w:textAlignment w:val="auto"/>
              <w:rPr>
                <w:rFonts w:hint="default" w:ascii="Times New Roman" w:hAnsi="Times New Roman" w:cs="Times New Roman"/>
                <w:sz w:val="20"/>
                <w:szCs w:val="20"/>
              </w:rPr>
            </w:pPr>
          </w:p>
        </w:tc>
        <w:tc>
          <w:tcPr>
            <w:tcW w:w="787" w:type="dxa"/>
            <w:vMerge w:val="continue"/>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N/>
              <w:bidi w:val="0"/>
              <w:adjustRightInd/>
              <w:snapToGrid/>
              <w:spacing w:afterAutospacing="0" w:line="560" w:lineRule="exact"/>
              <w:textAlignment w:val="auto"/>
              <w:rPr>
                <w:rFonts w:hint="default" w:ascii="Times New Roman" w:hAnsi="Times New Roman" w:cs="Times New Roman"/>
                <w:sz w:val="20"/>
                <w:szCs w:val="20"/>
              </w:rPr>
            </w:pPr>
          </w:p>
        </w:tc>
        <w:tc>
          <w:tcPr>
            <w:tcW w:w="940" w:type="dxa"/>
            <w:gridSpan w:val="2"/>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物业管理补贴</w:t>
            </w:r>
          </w:p>
        </w:tc>
        <w:tc>
          <w:tcPr>
            <w:tcW w:w="1212"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≤41.05</w:t>
            </w:r>
            <w:r>
              <w:rPr>
                <w:rFonts w:hint="eastAsia" w:ascii="方正仿宋_GBK" w:hAnsi="方正仿宋_GBK" w:eastAsia="方正仿宋_GBK" w:cs="方正仿宋_GBK"/>
                <w:kern w:val="0"/>
                <w:sz w:val="24"/>
                <w:szCs w:val="24"/>
              </w:rPr>
              <w:t>万元</w:t>
            </w:r>
          </w:p>
        </w:tc>
        <w:tc>
          <w:tcPr>
            <w:tcW w:w="2256" w:type="dxa"/>
            <w:gridSpan w:val="3"/>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41.05</w:t>
            </w:r>
            <w:r>
              <w:rPr>
                <w:rFonts w:hint="eastAsia" w:ascii="方正仿宋_GBK" w:hAnsi="方正仿宋_GBK" w:eastAsia="方正仿宋_GBK" w:cs="方正仿宋_GBK"/>
                <w:kern w:val="0"/>
                <w:sz w:val="24"/>
                <w:szCs w:val="24"/>
              </w:rPr>
              <w:t>万元</w:t>
            </w:r>
          </w:p>
        </w:tc>
        <w:tc>
          <w:tcPr>
            <w:tcW w:w="802" w:type="dxa"/>
            <w:vMerge w:val="continue"/>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N/>
              <w:bidi w:val="0"/>
              <w:adjustRightInd/>
              <w:snapToGrid/>
              <w:spacing w:afterAutospacing="0" w:line="560" w:lineRule="exact"/>
              <w:textAlignment w:val="auto"/>
              <w:rPr>
                <w:rFonts w:hint="default" w:ascii="Times New Roman" w:hAnsi="Times New Roman" w:cs="Times New Roman"/>
                <w:sz w:val="20"/>
                <w:szCs w:val="20"/>
              </w:rPr>
            </w:pPr>
          </w:p>
        </w:tc>
        <w:tc>
          <w:tcPr>
            <w:tcW w:w="566" w:type="dxa"/>
            <w:vMerge w:val="continue"/>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N/>
              <w:bidi w:val="0"/>
              <w:adjustRightInd/>
              <w:snapToGrid/>
              <w:spacing w:afterAutospacing="0" w:line="560" w:lineRule="exact"/>
              <w:textAlignment w:val="auto"/>
              <w:rPr>
                <w:rFonts w:hint="default" w:ascii="Times New Roman" w:hAnsi="Times New Roman" w:cs="Times New Roman"/>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67" w:hRule="atLeast"/>
          <w:jc w:val="center"/>
        </w:trPr>
        <w:tc>
          <w:tcPr>
            <w:tcW w:w="786" w:type="dxa"/>
            <w:vMerge w:val="continue"/>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N/>
              <w:bidi w:val="0"/>
              <w:adjustRightInd/>
              <w:snapToGrid/>
              <w:spacing w:afterAutospacing="0" w:line="560" w:lineRule="exact"/>
              <w:textAlignment w:val="auto"/>
              <w:rPr>
                <w:rFonts w:hint="default" w:ascii="Times New Roman" w:hAnsi="Times New Roman" w:cs="Times New Roman"/>
                <w:sz w:val="20"/>
                <w:szCs w:val="20"/>
              </w:rPr>
            </w:pPr>
          </w:p>
        </w:tc>
        <w:tc>
          <w:tcPr>
            <w:tcW w:w="787" w:type="dxa"/>
            <w:vMerge w:val="continue"/>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N/>
              <w:bidi w:val="0"/>
              <w:adjustRightInd/>
              <w:snapToGrid/>
              <w:spacing w:afterAutospacing="0" w:line="560" w:lineRule="exact"/>
              <w:textAlignment w:val="auto"/>
              <w:rPr>
                <w:rFonts w:hint="default" w:ascii="Times New Roman" w:hAnsi="Times New Roman" w:cs="Times New Roman"/>
                <w:sz w:val="20"/>
                <w:szCs w:val="20"/>
              </w:rPr>
            </w:pPr>
          </w:p>
        </w:tc>
        <w:tc>
          <w:tcPr>
            <w:tcW w:w="787" w:type="dxa"/>
            <w:vMerge w:val="restart"/>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数量目标</w:t>
            </w:r>
          </w:p>
        </w:tc>
        <w:tc>
          <w:tcPr>
            <w:tcW w:w="940" w:type="dxa"/>
            <w:gridSpan w:val="2"/>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电梯维修维护和管理</w:t>
            </w:r>
          </w:p>
        </w:tc>
        <w:tc>
          <w:tcPr>
            <w:tcW w:w="1212"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≥34</w:t>
            </w:r>
            <w:r>
              <w:rPr>
                <w:rFonts w:hint="eastAsia" w:ascii="方正仿宋_GBK" w:hAnsi="方正仿宋_GBK" w:eastAsia="方正仿宋_GBK" w:cs="方正仿宋_GBK"/>
                <w:kern w:val="0"/>
                <w:sz w:val="24"/>
                <w:szCs w:val="24"/>
              </w:rPr>
              <w:t>台</w:t>
            </w:r>
          </w:p>
        </w:tc>
        <w:tc>
          <w:tcPr>
            <w:tcW w:w="2256" w:type="dxa"/>
            <w:gridSpan w:val="3"/>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34</w:t>
            </w:r>
            <w:r>
              <w:rPr>
                <w:rFonts w:hint="eastAsia" w:ascii="方正仿宋_GBK" w:hAnsi="方正仿宋_GBK" w:eastAsia="方正仿宋_GBK" w:cs="方正仿宋_GBK"/>
                <w:kern w:val="0"/>
                <w:sz w:val="24"/>
                <w:szCs w:val="24"/>
              </w:rPr>
              <w:t>台</w:t>
            </w:r>
          </w:p>
        </w:tc>
        <w:tc>
          <w:tcPr>
            <w:tcW w:w="802" w:type="dxa"/>
            <w:vMerge w:val="restart"/>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10</w:t>
            </w:r>
          </w:p>
        </w:tc>
        <w:tc>
          <w:tcPr>
            <w:tcW w:w="566" w:type="dxa"/>
            <w:vMerge w:val="restart"/>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both"/>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82" w:hRule="atLeast"/>
          <w:jc w:val="center"/>
        </w:trPr>
        <w:tc>
          <w:tcPr>
            <w:tcW w:w="786" w:type="dxa"/>
            <w:vMerge w:val="continue"/>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N/>
              <w:bidi w:val="0"/>
              <w:adjustRightInd/>
              <w:snapToGrid/>
              <w:spacing w:afterAutospacing="0" w:line="560" w:lineRule="exact"/>
              <w:textAlignment w:val="auto"/>
              <w:rPr>
                <w:rFonts w:hint="default" w:ascii="Times New Roman" w:hAnsi="Times New Roman" w:cs="Times New Roman"/>
                <w:sz w:val="20"/>
                <w:szCs w:val="20"/>
              </w:rPr>
            </w:pPr>
          </w:p>
        </w:tc>
        <w:tc>
          <w:tcPr>
            <w:tcW w:w="787" w:type="dxa"/>
            <w:vMerge w:val="continue"/>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N/>
              <w:bidi w:val="0"/>
              <w:adjustRightInd/>
              <w:snapToGrid/>
              <w:spacing w:afterAutospacing="0" w:line="560" w:lineRule="exact"/>
              <w:textAlignment w:val="auto"/>
              <w:rPr>
                <w:rFonts w:hint="default" w:ascii="Times New Roman" w:hAnsi="Times New Roman" w:cs="Times New Roman"/>
                <w:sz w:val="20"/>
                <w:szCs w:val="20"/>
              </w:rPr>
            </w:pPr>
          </w:p>
        </w:tc>
        <w:tc>
          <w:tcPr>
            <w:tcW w:w="787" w:type="dxa"/>
            <w:vMerge w:val="continue"/>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N/>
              <w:bidi w:val="0"/>
              <w:adjustRightInd/>
              <w:snapToGrid/>
              <w:spacing w:afterAutospacing="0" w:line="560" w:lineRule="exact"/>
              <w:textAlignment w:val="auto"/>
              <w:rPr>
                <w:rFonts w:hint="default" w:ascii="Times New Roman" w:hAnsi="Times New Roman" w:cs="Times New Roman"/>
                <w:sz w:val="20"/>
                <w:szCs w:val="20"/>
              </w:rPr>
            </w:pPr>
          </w:p>
        </w:tc>
        <w:tc>
          <w:tcPr>
            <w:tcW w:w="940" w:type="dxa"/>
            <w:gridSpan w:val="2"/>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化粪池清理</w:t>
            </w:r>
          </w:p>
        </w:tc>
        <w:tc>
          <w:tcPr>
            <w:tcW w:w="1212"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≥17</w:t>
            </w:r>
            <w:r>
              <w:rPr>
                <w:rFonts w:hint="eastAsia" w:ascii="方正仿宋_GBK" w:hAnsi="方正仿宋_GBK" w:eastAsia="方正仿宋_GBK" w:cs="方正仿宋_GBK"/>
                <w:kern w:val="0"/>
                <w:sz w:val="24"/>
                <w:szCs w:val="24"/>
              </w:rPr>
              <w:t>个</w:t>
            </w:r>
          </w:p>
        </w:tc>
        <w:tc>
          <w:tcPr>
            <w:tcW w:w="2256" w:type="dxa"/>
            <w:gridSpan w:val="3"/>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17</w:t>
            </w:r>
            <w:r>
              <w:rPr>
                <w:rFonts w:hint="eastAsia" w:ascii="方正仿宋_GBK" w:hAnsi="方正仿宋_GBK" w:eastAsia="方正仿宋_GBK" w:cs="方正仿宋_GBK"/>
                <w:kern w:val="0"/>
                <w:sz w:val="24"/>
                <w:szCs w:val="24"/>
              </w:rPr>
              <w:t>个</w:t>
            </w:r>
          </w:p>
        </w:tc>
        <w:tc>
          <w:tcPr>
            <w:tcW w:w="802" w:type="dxa"/>
            <w:vMerge w:val="continue"/>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N/>
              <w:bidi w:val="0"/>
              <w:adjustRightInd/>
              <w:snapToGrid/>
              <w:spacing w:afterAutospacing="0" w:line="560" w:lineRule="exact"/>
              <w:textAlignment w:val="auto"/>
              <w:rPr>
                <w:rFonts w:hint="default" w:ascii="Times New Roman" w:hAnsi="Times New Roman" w:cs="Times New Roman"/>
                <w:sz w:val="20"/>
                <w:szCs w:val="20"/>
              </w:rPr>
            </w:pPr>
          </w:p>
        </w:tc>
        <w:tc>
          <w:tcPr>
            <w:tcW w:w="566" w:type="dxa"/>
            <w:vMerge w:val="continue"/>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N/>
              <w:bidi w:val="0"/>
              <w:adjustRightInd/>
              <w:snapToGrid/>
              <w:spacing w:afterAutospacing="0" w:line="560" w:lineRule="exact"/>
              <w:textAlignment w:val="auto"/>
              <w:rPr>
                <w:rFonts w:hint="default" w:ascii="Times New Roman" w:hAnsi="Times New Roman" w:cs="Times New Roman"/>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67" w:hRule="atLeast"/>
          <w:jc w:val="center"/>
        </w:trPr>
        <w:tc>
          <w:tcPr>
            <w:tcW w:w="786" w:type="dxa"/>
            <w:vMerge w:val="continue"/>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N/>
              <w:bidi w:val="0"/>
              <w:adjustRightInd/>
              <w:snapToGrid/>
              <w:spacing w:afterAutospacing="0" w:line="560" w:lineRule="exact"/>
              <w:textAlignment w:val="auto"/>
              <w:rPr>
                <w:rFonts w:hint="default" w:ascii="Times New Roman" w:hAnsi="Times New Roman" w:cs="Times New Roman"/>
                <w:sz w:val="20"/>
                <w:szCs w:val="20"/>
              </w:rPr>
            </w:pPr>
          </w:p>
        </w:tc>
        <w:tc>
          <w:tcPr>
            <w:tcW w:w="787" w:type="dxa"/>
            <w:vMerge w:val="continue"/>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N/>
              <w:bidi w:val="0"/>
              <w:adjustRightInd/>
              <w:snapToGrid/>
              <w:spacing w:afterAutospacing="0" w:line="560" w:lineRule="exact"/>
              <w:textAlignment w:val="auto"/>
              <w:rPr>
                <w:rFonts w:hint="default" w:ascii="Times New Roman" w:hAnsi="Times New Roman" w:cs="Times New Roman"/>
                <w:sz w:val="20"/>
                <w:szCs w:val="20"/>
              </w:rPr>
            </w:pPr>
          </w:p>
        </w:tc>
        <w:tc>
          <w:tcPr>
            <w:tcW w:w="787"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质量目标</w:t>
            </w:r>
          </w:p>
        </w:tc>
        <w:tc>
          <w:tcPr>
            <w:tcW w:w="940" w:type="dxa"/>
            <w:gridSpan w:val="2"/>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项目验收是否合格</w:t>
            </w:r>
          </w:p>
        </w:tc>
        <w:tc>
          <w:tcPr>
            <w:tcW w:w="1212"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合格</w:t>
            </w:r>
          </w:p>
        </w:tc>
        <w:tc>
          <w:tcPr>
            <w:tcW w:w="2256" w:type="dxa"/>
            <w:gridSpan w:val="3"/>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合格</w:t>
            </w:r>
          </w:p>
        </w:tc>
        <w:tc>
          <w:tcPr>
            <w:tcW w:w="802"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10</w:t>
            </w:r>
          </w:p>
        </w:tc>
        <w:tc>
          <w:tcPr>
            <w:tcW w:w="566"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67" w:hRule="atLeast"/>
          <w:jc w:val="center"/>
        </w:trPr>
        <w:tc>
          <w:tcPr>
            <w:tcW w:w="786" w:type="dxa"/>
            <w:vMerge w:val="continue"/>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N/>
              <w:bidi w:val="0"/>
              <w:adjustRightInd/>
              <w:snapToGrid/>
              <w:spacing w:afterAutospacing="0" w:line="560" w:lineRule="exact"/>
              <w:textAlignment w:val="auto"/>
              <w:rPr>
                <w:rFonts w:hint="default" w:ascii="Times New Roman" w:hAnsi="Times New Roman" w:cs="Times New Roman"/>
                <w:sz w:val="20"/>
                <w:szCs w:val="20"/>
              </w:rPr>
            </w:pPr>
          </w:p>
        </w:tc>
        <w:tc>
          <w:tcPr>
            <w:tcW w:w="787" w:type="dxa"/>
            <w:vMerge w:val="restart"/>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效益指标</w:t>
            </w:r>
          </w:p>
        </w:tc>
        <w:tc>
          <w:tcPr>
            <w:tcW w:w="787"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经济效益目标</w:t>
            </w:r>
          </w:p>
        </w:tc>
        <w:tc>
          <w:tcPr>
            <w:tcW w:w="940" w:type="dxa"/>
            <w:gridSpan w:val="2"/>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提高经费使用效益</w:t>
            </w:r>
          </w:p>
        </w:tc>
        <w:tc>
          <w:tcPr>
            <w:tcW w:w="1212"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≥80%</w:t>
            </w:r>
          </w:p>
        </w:tc>
        <w:tc>
          <w:tcPr>
            <w:tcW w:w="2256" w:type="dxa"/>
            <w:gridSpan w:val="3"/>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88%</w:t>
            </w:r>
          </w:p>
        </w:tc>
        <w:tc>
          <w:tcPr>
            <w:tcW w:w="802"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5</w:t>
            </w:r>
          </w:p>
        </w:tc>
        <w:tc>
          <w:tcPr>
            <w:tcW w:w="566"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36" w:hRule="atLeast"/>
          <w:jc w:val="center"/>
        </w:trPr>
        <w:tc>
          <w:tcPr>
            <w:tcW w:w="786" w:type="dxa"/>
            <w:vMerge w:val="continue"/>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N/>
              <w:bidi w:val="0"/>
              <w:adjustRightInd/>
              <w:snapToGrid/>
              <w:spacing w:afterAutospacing="0" w:line="560" w:lineRule="exact"/>
              <w:textAlignment w:val="auto"/>
              <w:rPr>
                <w:rFonts w:hint="default" w:ascii="Times New Roman" w:hAnsi="Times New Roman" w:cs="Times New Roman"/>
                <w:sz w:val="20"/>
                <w:szCs w:val="20"/>
              </w:rPr>
            </w:pPr>
          </w:p>
        </w:tc>
        <w:tc>
          <w:tcPr>
            <w:tcW w:w="787" w:type="dxa"/>
            <w:vMerge w:val="continue"/>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N/>
              <w:bidi w:val="0"/>
              <w:adjustRightInd/>
              <w:snapToGrid/>
              <w:spacing w:afterAutospacing="0" w:line="560" w:lineRule="exact"/>
              <w:textAlignment w:val="auto"/>
              <w:rPr>
                <w:rFonts w:hint="default" w:ascii="Times New Roman" w:hAnsi="Times New Roman" w:cs="Times New Roman"/>
                <w:sz w:val="20"/>
                <w:szCs w:val="20"/>
              </w:rPr>
            </w:pPr>
          </w:p>
        </w:tc>
        <w:tc>
          <w:tcPr>
            <w:tcW w:w="787"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社会效益目标</w:t>
            </w:r>
          </w:p>
        </w:tc>
        <w:tc>
          <w:tcPr>
            <w:tcW w:w="940" w:type="dxa"/>
            <w:gridSpan w:val="2"/>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落实维修维护，及时进行做到解危</w:t>
            </w:r>
          </w:p>
        </w:tc>
        <w:tc>
          <w:tcPr>
            <w:tcW w:w="1212"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≥90%</w:t>
            </w:r>
          </w:p>
        </w:tc>
        <w:tc>
          <w:tcPr>
            <w:tcW w:w="2256" w:type="dxa"/>
            <w:gridSpan w:val="3"/>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95%</w:t>
            </w:r>
          </w:p>
        </w:tc>
        <w:tc>
          <w:tcPr>
            <w:tcW w:w="802"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5</w:t>
            </w:r>
          </w:p>
        </w:tc>
        <w:tc>
          <w:tcPr>
            <w:tcW w:w="566"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551" w:hRule="atLeast"/>
          <w:jc w:val="center"/>
        </w:trPr>
        <w:tc>
          <w:tcPr>
            <w:tcW w:w="786" w:type="dxa"/>
            <w:vMerge w:val="continue"/>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N/>
              <w:bidi w:val="0"/>
              <w:adjustRightInd/>
              <w:snapToGrid/>
              <w:spacing w:afterAutospacing="0" w:line="560" w:lineRule="exact"/>
              <w:textAlignment w:val="auto"/>
              <w:rPr>
                <w:rFonts w:hint="default" w:ascii="Times New Roman" w:hAnsi="Times New Roman" w:cs="Times New Roman"/>
                <w:sz w:val="20"/>
                <w:szCs w:val="20"/>
              </w:rPr>
            </w:pPr>
          </w:p>
        </w:tc>
        <w:tc>
          <w:tcPr>
            <w:tcW w:w="787" w:type="dxa"/>
            <w:vMerge w:val="continue"/>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N/>
              <w:bidi w:val="0"/>
              <w:adjustRightInd/>
              <w:snapToGrid/>
              <w:spacing w:afterAutospacing="0" w:line="560" w:lineRule="exact"/>
              <w:textAlignment w:val="auto"/>
              <w:rPr>
                <w:rFonts w:hint="default" w:ascii="Times New Roman" w:hAnsi="Times New Roman" w:cs="Times New Roman"/>
                <w:sz w:val="20"/>
                <w:szCs w:val="20"/>
              </w:rPr>
            </w:pPr>
          </w:p>
        </w:tc>
        <w:tc>
          <w:tcPr>
            <w:tcW w:w="787"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可持续影响目标</w:t>
            </w:r>
          </w:p>
        </w:tc>
        <w:tc>
          <w:tcPr>
            <w:tcW w:w="940" w:type="dxa"/>
            <w:gridSpan w:val="2"/>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为居民提供安全的住房保障</w:t>
            </w:r>
          </w:p>
        </w:tc>
        <w:tc>
          <w:tcPr>
            <w:tcW w:w="1212"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≥90%</w:t>
            </w:r>
          </w:p>
        </w:tc>
        <w:tc>
          <w:tcPr>
            <w:tcW w:w="2256" w:type="dxa"/>
            <w:gridSpan w:val="3"/>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95%</w:t>
            </w:r>
          </w:p>
        </w:tc>
        <w:tc>
          <w:tcPr>
            <w:tcW w:w="802"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5</w:t>
            </w:r>
          </w:p>
        </w:tc>
        <w:tc>
          <w:tcPr>
            <w:tcW w:w="566"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82" w:hRule="atLeast"/>
          <w:jc w:val="center"/>
        </w:trPr>
        <w:tc>
          <w:tcPr>
            <w:tcW w:w="786" w:type="dxa"/>
            <w:vMerge w:val="continue"/>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N/>
              <w:bidi w:val="0"/>
              <w:adjustRightInd/>
              <w:snapToGrid/>
              <w:spacing w:afterAutospacing="0" w:line="560" w:lineRule="exact"/>
              <w:textAlignment w:val="auto"/>
              <w:rPr>
                <w:rFonts w:hint="default" w:ascii="Times New Roman" w:hAnsi="Times New Roman" w:cs="Times New Roman"/>
                <w:sz w:val="20"/>
                <w:szCs w:val="20"/>
              </w:rPr>
            </w:pPr>
          </w:p>
        </w:tc>
        <w:tc>
          <w:tcPr>
            <w:tcW w:w="787"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满意度指标</w:t>
            </w:r>
          </w:p>
        </w:tc>
        <w:tc>
          <w:tcPr>
            <w:tcW w:w="787"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服务对象满意度目标</w:t>
            </w:r>
          </w:p>
        </w:tc>
        <w:tc>
          <w:tcPr>
            <w:tcW w:w="940" w:type="dxa"/>
            <w:gridSpan w:val="2"/>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受益群众满意度</w:t>
            </w:r>
          </w:p>
        </w:tc>
        <w:tc>
          <w:tcPr>
            <w:tcW w:w="1212"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≥95%</w:t>
            </w:r>
          </w:p>
        </w:tc>
        <w:tc>
          <w:tcPr>
            <w:tcW w:w="2256" w:type="dxa"/>
            <w:gridSpan w:val="3"/>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95%</w:t>
            </w:r>
          </w:p>
        </w:tc>
        <w:tc>
          <w:tcPr>
            <w:tcW w:w="802"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5</w:t>
            </w:r>
          </w:p>
        </w:tc>
        <w:tc>
          <w:tcPr>
            <w:tcW w:w="566"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09" w:hRule="atLeast"/>
          <w:jc w:val="center"/>
        </w:trPr>
        <w:tc>
          <w:tcPr>
            <w:tcW w:w="786"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jc w:val="both"/>
              <w:textAlignment w:val="auto"/>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rPr>
              <w:t>说明</w:t>
            </w:r>
          </w:p>
        </w:tc>
        <w:tc>
          <w:tcPr>
            <w:tcW w:w="7350" w:type="dxa"/>
            <w:gridSpan w:val="10"/>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480" w:firstLineChars="200"/>
              <w:jc w:val="center"/>
              <w:textAlignment w:val="auto"/>
              <w:rPr>
                <w:rFonts w:hint="default" w:ascii="Times New Roman" w:hAnsi="Times New Roman" w:eastAsia="方正仿宋_GBK" w:cs="Times New Roman"/>
                <w:kern w:val="0"/>
                <w:sz w:val="24"/>
                <w:szCs w:val="24"/>
              </w:rPr>
            </w:pPr>
          </w:p>
        </w:tc>
      </w:tr>
    </w:tbl>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center"/>
        <w:textAlignment w:val="auto"/>
        <w:rPr>
          <w:rFonts w:hint="default" w:ascii="Times New Roman" w:hAnsi="Times New Roman" w:eastAsia="方正仿宋_GBK" w:cs="Times New Roman"/>
          <w:b/>
          <w:bCs/>
          <w:kern w:val="0"/>
          <w:sz w:val="32"/>
          <w:szCs w:val="32"/>
          <w:shd w:val="clear" w:fill="FFFFFF"/>
        </w:rPr>
      </w:pPr>
      <w:r>
        <w:rPr>
          <w:rFonts w:hint="default" w:ascii="Times New Roman" w:hAnsi="Times New Roman" w:eastAsia="方正仿宋_GBK" w:cs="Times New Roman"/>
          <w:b/>
          <w:bCs/>
          <w:kern w:val="0"/>
          <w:sz w:val="32"/>
          <w:szCs w:val="32"/>
          <w:shd w:val="clear" w:fill="FFFFFF"/>
        </w:rPr>
        <w:t xml:space="preserve"> </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480" w:leftChars="200" w:right="0" w:rightChars="0" w:firstLine="321" w:firstLineChars="100"/>
        <w:jc w:val="left"/>
        <w:textAlignment w:val="auto"/>
        <w:rPr>
          <w:rFonts w:hint="default" w:ascii="Times New Roman" w:hAnsi="Times New Roman" w:eastAsia="方正仿宋_GBK" w:cs="Times New Roman"/>
          <w:b/>
          <w:bCs/>
          <w:kern w:val="0"/>
          <w:sz w:val="32"/>
          <w:szCs w:val="32"/>
          <w:shd w:val="clear" w:fill="FFFFFF"/>
        </w:rPr>
      </w:pPr>
      <w:r>
        <w:rPr>
          <w:rStyle w:val="13"/>
          <w:rFonts w:hint="default" w:ascii="Times New Roman" w:hAnsi="Times New Roman" w:eastAsia="方正仿宋_GBK" w:cs="Times New Roman"/>
          <w:b/>
          <w:bCs/>
          <w:sz w:val="32"/>
          <w:szCs w:val="32"/>
          <w:shd w:val="clear" w:fill="FFFFFF"/>
        </w:rPr>
        <w:t>2.</w:t>
      </w:r>
      <w:r>
        <w:rPr>
          <w:rStyle w:val="13"/>
          <w:rFonts w:hint="eastAsia" w:ascii="方正仿宋_GBK" w:hAnsi="方正仿宋_GBK" w:eastAsia="方正仿宋_GBK" w:cs="方正仿宋_GBK"/>
          <w:b/>
          <w:bCs/>
          <w:sz w:val="32"/>
          <w:szCs w:val="32"/>
          <w:shd w:val="clear" w:fill="FFFFFF"/>
        </w:rPr>
        <w:t>绩效自评报告或案例。</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方正仿宋_GBK" w:cs="Times New Roman"/>
          <w:b/>
          <w:bCs/>
          <w:kern w:val="0"/>
          <w:sz w:val="32"/>
          <w:szCs w:val="32"/>
          <w:shd w:val="clear" w:fill="FFFFFF"/>
        </w:rPr>
      </w:pPr>
      <w:r>
        <w:rPr>
          <w:rFonts w:hint="eastAsia" w:ascii="方正仿宋_GBK" w:hAnsi="方正仿宋_GBK" w:eastAsia="方正仿宋_GBK" w:cs="方正仿宋_GBK"/>
          <w:i w:val="0"/>
          <w:iCs w:val="0"/>
          <w:caps w:val="0"/>
          <w:color w:val="333333"/>
          <w:spacing w:val="0"/>
          <w:kern w:val="0"/>
          <w:sz w:val="32"/>
          <w:szCs w:val="32"/>
          <w:shd w:val="clear" w:fill="FFFFFF"/>
        </w:rPr>
        <w:t>本单位未委托第三方开展绩效自评。</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default" w:ascii="Times New Roman" w:hAnsi="Times New Roman" w:eastAsia="方正仿宋_GBK" w:cs="Times New Roman"/>
          <w:kern w:val="0"/>
          <w:sz w:val="32"/>
          <w:szCs w:val="32"/>
        </w:rPr>
      </w:pPr>
      <w:r>
        <w:rPr>
          <w:rStyle w:val="13"/>
          <w:rFonts w:hint="default" w:ascii="Times New Roman" w:hAnsi="Times New Roman" w:eastAsia="方正仿宋_GBK" w:cs="Times New Roman"/>
          <w:b/>
          <w:bCs/>
          <w:sz w:val="32"/>
          <w:szCs w:val="32"/>
          <w:shd w:val="clear" w:fill="FFFFFF"/>
        </w:rPr>
        <w:t xml:space="preserve">  3.</w:t>
      </w:r>
      <w:r>
        <w:rPr>
          <w:rStyle w:val="13"/>
          <w:rFonts w:hint="eastAsia" w:ascii="方正仿宋_GBK" w:hAnsi="方正仿宋_GBK" w:eastAsia="方正仿宋_GBK" w:cs="方正仿宋_GBK"/>
          <w:b/>
          <w:bCs/>
          <w:sz w:val="32"/>
          <w:szCs w:val="32"/>
          <w:shd w:val="clear" w:fill="FFFFFF"/>
        </w:rPr>
        <w:t>关于绩效自评结果的说明。</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i w:val="0"/>
          <w:iCs w:val="0"/>
          <w:caps w:val="0"/>
          <w:color w:val="333333"/>
          <w:spacing w:val="0"/>
          <w:kern w:val="0"/>
          <w:sz w:val="32"/>
          <w:szCs w:val="32"/>
          <w:shd w:val="clear" w:fill="FFFFFF"/>
        </w:rPr>
        <w:t>本单位未委托第三方开展重点绩效评价。</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方正楷体_GBK" w:hAnsi="方正楷体_GBK" w:eastAsia="方正楷体_GBK" w:cs="方正楷体_GBK"/>
          <w:b w:val="0"/>
          <w:bCs w:val="0"/>
          <w:sz w:val="32"/>
          <w:szCs w:val="32"/>
          <w:shd w:val="clear" w:fill="FFFFFF"/>
        </w:rPr>
      </w:pPr>
      <w:r>
        <w:rPr>
          <w:rStyle w:val="13"/>
          <w:rFonts w:hint="eastAsia" w:ascii="方正楷体_GBK" w:hAnsi="方正楷体_GBK" w:eastAsia="方正楷体_GBK" w:cs="方正楷体_GBK"/>
          <w:b w:val="0"/>
          <w:bCs w:val="0"/>
          <w:sz w:val="32"/>
          <w:szCs w:val="32"/>
          <w:shd w:val="clear" w:fill="FFFFFF"/>
        </w:rPr>
        <w:t>(三)重点绩效评价结果。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方正仿宋_GBK" w:cs="Times New Roman"/>
          <w:b/>
          <w:bCs/>
          <w:kern w:val="0"/>
          <w:sz w:val="32"/>
          <w:szCs w:val="32"/>
          <w:shd w:val="clear" w:fill="FFFFFF"/>
        </w:rPr>
      </w:pPr>
      <w:r>
        <w:rPr>
          <w:rFonts w:hint="eastAsia" w:ascii="方正仿宋_GBK" w:hAnsi="方正仿宋_GBK" w:eastAsia="方正仿宋_GBK" w:cs="方正仿宋_GBK"/>
          <w:i w:val="0"/>
          <w:iCs w:val="0"/>
          <w:caps w:val="0"/>
          <w:color w:val="333333"/>
          <w:spacing w:val="0"/>
          <w:kern w:val="0"/>
          <w:sz w:val="32"/>
          <w:szCs w:val="32"/>
          <w:shd w:val="clear" w:fill="FFFFFF"/>
        </w:rPr>
        <w:t>本单位未委托第三方开展重点绩效评价。</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方正黑体_GBK" w:hAnsi="方正黑体_GBK" w:eastAsia="方正黑体_GBK" w:cs="方正黑体_GBK"/>
          <w:b w:val="0"/>
          <w:bCs w:val="0"/>
          <w:kern w:val="0"/>
          <w:sz w:val="32"/>
          <w:szCs w:val="32"/>
        </w:rPr>
      </w:pPr>
      <w:r>
        <w:rPr>
          <w:rStyle w:val="13"/>
          <w:rFonts w:hint="eastAsia" w:ascii="方正黑体_GBK" w:hAnsi="方正黑体_GBK" w:eastAsia="方正黑体_GBK" w:cs="方正黑体_GBK"/>
          <w:b w:val="0"/>
          <w:bCs w:val="0"/>
          <w:sz w:val="32"/>
          <w:szCs w:val="32"/>
          <w:shd w:val="clear" w:fill="FFFFFF"/>
        </w:rPr>
        <w:t xml:space="preserve">  六、专业名词解释</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fill="FFFFFF"/>
        </w:rPr>
        <w:t xml:space="preserve">  </w:t>
      </w:r>
      <w:r>
        <w:rPr>
          <w:rFonts w:hint="eastAsia" w:ascii="方正仿宋_GBK" w:hAnsi="方正仿宋_GBK" w:eastAsia="方正仿宋_GBK" w:cs="方正仿宋_GBK"/>
          <w:kern w:val="0"/>
          <w:sz w:val="32"/>
          <w:szCs w:val="32"/>
          <w:shd w:val="clear" w:fill="FFFFFF"/>
        </w:rPr>
        <w:t>以下为常见专业名词解释目录，仅供参考，部门应根据实际情况进行解释和增减。比如可将类级功能科目和经济科目细化解释到项级。若有删减注意调整段落序号。</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default" w:ascii="Times New Roman" w:hAnsi="Times New Roman" w:eastAsia="方正仿宋_GBK" w:cs="Times New Roman"/>
          <w:kern w:val="0"/>
          <w:sz w:val="32"/>
          <w:szCs w:val="32"/>
        </w:rPr>
      </w:pPr>
      <w:r>
        <w:rPr>
          <w:rStyle w:val="13"/>
          <w:rFonts w:hint="default" w:ascii="Times New Roman" w:hAnsi="Times New Roman" w:eastAsia="方正仿宋_GBK" w:cs="Times New Roman"/>
          <w:b/>
          <w:bCs/>
          <w:sz w:val="32"/>
          <w:szCs w:val="32"/>
          <w:shd w:val="clear" w:fill="FFFFFF"/>
        </w:rPr>
        <w:t xml:space="preserve">  </w:t>
      </w:r>
      <w:r>
        <w:rPr>
          <w:rStyle w:val="13"/>
          <w:rFonts w:hint="eastAsia" w:ascii="方正楷体_GBK" w:hAnsi="方正楷体_GBK" w:eastAsia="方正楷体_GBK" w:cs="方正楷体_GBK"/>
          <w:b w:val="0"/>
          <w:bCs w:val="0"/>
          <w:sz w:val="32"/>
          <w:szCs w:val="32"/>
          <w:shd w:val="clear" w:fill="FFFFFF"/>
        </w:rPr>
        <w:t>（一）财政拨款收入</w:t>
      </w:r>
      <w:r>
        <w:rPr>
          <w:rFonts w:hint="eastAsia" w:ascii="方正仿宋_GBK" w:hAnsi="方正仿宋_GBK" w:eastAsia="方正仿宋_GBK" w:cs="方正仿宋_GBK"/>
          <w:kern w:val="0"/>
          <w:sz w:val="32"/>
          <w:szCs w:val="32"/>
          <w:shd w:val="clear" w:fill="FFFFFF"/>
        </w:rPr>
        <w:t>：指本年度从本级财政部门取得的财政拨款，包括一般公共预算财政拨款和政府性基金预算财政拨款。</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default" w:ascii="Times New Roman" w:hAnsi="Times New Roman" w:eastAsia="方正仿宋_GBK" w:cs="Times New Roman"/>
          <w:kern w:val="0"/>
          <w:sz w:val="32"/>
          <w:szCs w:val="32"/>
        </w:rPr>
      </w:pPr>
      <w:r>
        <w:rPr>
          <w:rStyle w:val="13"/>
          <w:rFonts w:hint="default" w:ascii="Times New Roman" w:hAnsi="Times New Roman" w:eastAsia="方正仿宋_GBK" w:cs="Times New Roman"/>
          <w:b/>
          <w:bCs/>
          <w:sz w:val="32"/>
          <w:szCs w:val="32"/>
          <w:shd w:val="clear" w:fill="FFFFFF"/>
        </w:rPr>
        <w:t xml:space="preserve">  </w:t>
      </w:r>
      <w:r>
        <w:rPr>
          <w:rStyle w:val="13"/>
          <w:rFonts w:hint="eastAsia" w:ascii="方正楷体_GBK" w:hAnsi="方正楷体_GBK" w:eastAsia="方正楷体_GBK" w:cs="方正楷体_GBK"/>
          <w:b w:val="0"/>
          <w:bCs w:val="0"/>
          <w:sz w:val="32"/>
          <w:szCs w:val="32"/>
          <w:shd w:val="clear" w:fill="FFFFFF"/>
        </w:rPr>
        <w:t>（二）事业收入</w:t>
      </w:r>
      <w:r>
        <w:rPr>
          <w:rFonts w:hint="eastAsia" w:ascii="方正仿宋_GBK" w:hAnsi="方正仿宋_GBK" w:eastAsia="方正仿宋_GBK" w:cs="方正仿宋_GBK"/>
          <w:kern w:val="0"/>
          <w:sz w:val="32"/>
          <w:szCs w:val="32"/>
          <w:shd w:val="clear" w:fill="FFFFFF"/>
        </w:rPr>
        <w:t>：指事业单位开展专业业务活动及其辅助活动取得的现金流入；事业单位收到的财政专户实际核拨的教育收费等资金在此反映。</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default" w:ascii="Times New Roman" w:hAnsi="Times New Roman" w:eastAsia="方正仿宋_GBK" w:cs="Times New Roman"/>
          <w:kern w:val="0"/>
          <w:sz w:val="32"/>
          <w:szCs w:val="32"/>
        </w:rPr>
      </w:pPr>
      <w:r>
        <w:rPr>
          <w:rStyle w:val="13"/>
          <w:rFonts w:hint="default" w:ascii="Times New Roman" w:hAnsi="Times New Roman" w:eastAsia="方正仿宋_GBK" w:cs="Times New Roman"/>
          <w:b/>
          <w:bCs/>
          <w:sz w:val="32"/>
          <w:szCs w:val="32"/>
          <w:shd w:val="clear" w:fill="FFFFFF"/>
        </w:rPr>
        <w:t xml:space="preserve">  </w:t>
      </w:r>
      <w:r>
        <w:rPr>
          <w:rStyle w:val="13"/>
          <w:rFonts w:hint="eastAsia" w:ascii="方正楷体_GBK" w:hAnsi="方正楷体_GBK" w:eastAsia="方正楷体_GBK" w:cs="方正楷体_GBK"/>
          <w:b w:val="0"/>
          <w:bCs w:val="0"/>
          <w:sz w:val="32"/>
          <w:szCs w:val="32"/>
          <w:shd w:val="clear" w:fill="FFFFFF"/>
        </w:rPr>
        <w:t>（三）经营收入：</w:t>
      </w:r>
      <w:r>
        <w:rPr>
          <w:rFonts w:hint="eastAsia" w:ascii="方正仿宋_GBK" w:hAnsi="方正仿宋_GBK" w:eastAsia="方正仿宋_GBK" w:cs="方正仿宋_GBK"/>
          <w:kern w:val="0"/>
          <w:sz w:val="32"/>
          <w:szCs w:val="32"/>
          <w:shd w:val="clear" w:fill="FFFFFF"/>
        </w:rPr>
        <w:t>指事业单位在专业业务活动及其辅助活动之外开展非独立核算经营活动取得的现金流入。</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rPr>
      </w:pPr>
      <w:r>
        <w:rPr>
          <w:rStyle w:val="13"/>
          <w:rFonts w:hint="eastAsia" w:ascii="方正楷体_GBK" w:hAnsi="方正楷体_GBK" w:eastAsia="方正楷体_GBK" w:cs="方正楷体_GBK"/>
          <w:b w:val="0"/>
          <w:bCs w:val="0"/>
          <w:sz w:val="32"/>
          <w:szCs w:val="32"/>
          <w:shd w:val="clear" w:fill="FFFFFF"/>
        </w:rPr>
        <w:t xml:space="preserve">  （四）其他收入</w:t>
      </w:r>
      <w:r>
        <w:rPr>
          <w:rFonts w:hint="eastAsia" w:ascii="方正仿宋_GBK" w:hAnsi="方正仿宋_GBK" w:eastAsia="方正仿宋_GBK" w:cs="方正仿宋_GBK"/>
          <w:kern w:val="0"/>
          <w:sz w:val="32"/>
          <w:szCs w:val="32"/>
          <w:shd w:val="clear" w:fill="FFFFFF"/>
        </w:rPr>
        <w:t>：指单位取得的除</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财政拨款收入</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事业收入</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经营收入</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rPr>
      </w:pPr>
      <w:r>
        <w:rPr>
          <w:rStyle w:val="13"/>
          <w:rFonts w:hint="eastAsia" w:ascii="方正楷体_GBK" w:hAnsi="方正楷体_GBK" w:eastAsia="方正楷体_GBK" w:cs="方正楷体_GBK"/>
          <w:b w:val="0"/>
          <w:bCs w:val="0"/>
          <w:sz w:val="32"/>
          <w:szCs w:val="32"/>
          <w:shd w:val="clear" w:fill="FFFFFF"/>
        </w:rPr>
        <w:t xml:space="preserve">  （五）使用非财政拨款结余</w:t>
      </w:r>
      <w:r>
        <w:rPr>
          <w:rFonts w:hint="eastAsia" w:ascii="方正仿宋_GBK" w:hAnsi="方正仿宋_GBK" w:eastAsia="方正仿宋_GBK" w:cs="方正仿宋_GBK"/>
          <w:kern w:val="0"/>
          <w:sz w:val="32"/>
          <w:szCs w:val="32"/>
          <w:shd w:val="clear" w:fill="FFFFFF"/>
        </w:rPr>
        <w:t>：指单位在当年的</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财政拨款收入</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事业收入</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经营收入</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其他收入</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等不足以安排当年支出的情况下，使用以前年度积累的非财政拨款结余弥补本年度收支缺口的资金。</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rPr>
      </w:pPr>
      <w:r>
        <w:rPr>
          <w:rStyle w:val="13"/>
          <w:rFonts w:hint="eastAsia" w:ascii="方正楷体_GBK" w:hAnsi="方正楷体_GBK" w:eastAsia="方正楷体_GBK" w:cs="方正楷体_GBK"/>
          <w:b w:val="0"/>
          <w:bCs w:val="0"/>
          <w:sz w:val="32"/>
          <w:szCs w:val="32"/>
          <w:shd w:val="clear" w:fill="FFFFFF"/>
        </w:rPr>
        <w:t xml:space="preserve">  （六）年初结转和结余</w:t>
      </w:r>
      <w:r>
        <w:rPr>
          <w:rFonts w:hint="eastAsia" w:ascii="方正仿宋_GBK" w:hAnsi="方正仿宋_GBK" w:eastAsia="方正仿宋_GBK" w:cs="方正仿宋_GBK"/>
          <w:kern w:val="0"/>
          <w:sz w:val="32"/>
          <w:szCs w:val="32"/>
          <w:shd w:val="clear" w:fill="FFFFFF"/>
        </w:rPr>
        <w:t>：指单位上年结转本年使用的基本支出结转、项目支出结转和结余、经营结余。</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rPr>
      </w:pPr>
      <w:r>
        <w:rPr>
          <w:rStyle w:val="13"/>
          <w:rFonts w:hint="eastAsia" w:ascii="方正楷体_GBK" w:hAnsi="方正楷体_GBK" w:eastAsia="方正楷体_GBK" w:cs="方正楷体_GBK"/>
          <w:b w:val="0"/>
          <w:bCs w:val="0"/>
          <w:sz w:val="32"/>
          <w:szCs w:val="32"/>
          <w:shd w:val="clear" w:fill="FFFFFF"/>
        </w:rPr>
        <w:t xml:space="preserve">  （七）结余分配</w:t>
      </w:r>
      <w:r>
        <w:rPr>
          <w:rFonts w:hint="eastAsia" w:ascii="方正仿宋_GBK" w:hAnsi="方正仿宋_GBK" w:eastAsia="方正仿宋_GBK" w:cs="方正仿宋_GBK"/>
          <w:kern w:val="0"/>
          <w:sz w:val="32"/>
          <w:szCs w:val="32"/>
          <w:shd w:val="clear" w:fill="FFFFFF"/>
        </w:rPr>
        <w:t>：指单位按照国家有关规定，缴纳所得税、提取专用基金、转入非财政拨款结余等当年结余的分配情况。</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rPr>
      </w:pPr>
      <w:r>
        <w:rPr>
          <w:rStyle w:val="13"/>
          <w:rFonts w:hint="eastAsia" w:ascii="方正楷体_GBK" w:hAnsi="方正楷体_GBK" w:eastAsia="方正楷体_GBK" w:cs="方正楷体_GBK"/>
          <w:b w:val="0"/>
          <w:bCs w:val="0"/>
          <w:sz w:val="32"/>
          <w:szCs w:val="32"/>
          <w:shd w:val="clear" w:fill="FFFFFF"/>
        </w:rPr>
        <w:t xml:space="preserve">  （八）年末结转和结余</w:t>
      </w:r>
      <w:r>
        <w:rPr>
          <w:rFonts w:hint="eastAsia" w:ascii="方正仿宋_GBK" w:hAnsi="方正仿宋_GBK" w:eastAsia="方正仿宋_GBK" w:cs="方正仿宋_GBK"/>
          <w:kern w:val="0"/>
          <w:sz w:val="32"/>
          <w:szCs w:val="32"/>
          <w:shd w:val="clear" w:fill="FFFFFF"/>
        </w:rPr>
        <w:t>：指单位结转下年的基本支出结转、项目支出结转和结余、经营结余。</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rPr>
      </w:pPr>
      <w:r>
        <w:rPr>
          <w:rStyle w:val="13"/>
          <w:rFonts w:hint="eastAsia" w:ascii="方正楷体_GBK" w:hAnsi="方正楷体_GBK" w:eastAsia="方正楷体_GBK" w:cs="方正楷体_GBK"/>
          <w:b w:val="0"/>
          <w:bCs w:val="0"/>
          <w:sz w:val="32"/>
          <w:szCs w:val="32"/>
          <w:shd w:val="clear" w:fill="FFFFFF"/>
        </w:rPr>
        <w:t xml:space="preserve">  （九）基本支出：</w:t>
      </w:r>
      <w:r>
        <w:rPr>
          <w:rFonts w:hint="eastAsia" w:ascii="方正仿宋_GBK" w:hAnsi="方正仿宋_GBK" w:eastAsia="方正仿宋_GBK" w:cs="方正仿宋_GBK"/>
          <w:kern w:val="0"/>
          <w:sz w:val="32"/>
          <w:szCs w:val="32"/>
          <w:shd w:val="clear" w:fill="FFFFFF"/>
        </w:rPr>
        <w:t>指为保障机构正常运转、完成日常工作任务而发生的人员经费和公用经费。其中：人员经费指政府收支分类经济科目中的</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工资福利支出</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和</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对个人和家庭的补助</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；公用经费指政府收支分类经济科目中除</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工资福利支出</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和</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对个人和家庭的补助</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外的其他支出。</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default" w:ascii="Times New Roman" w:hAnsi="Times New Roman" w:eastAsia="方正仿宋_GBK" w:cs="Times New Roman"/>
          <w:kern w:val="0"/>
          <w:sz w:val="32"/>
          <w:szCs w:val="32"/>
        </w:rPr>
      </w:pPr>
      <w:r>
        <w:rPr>
          <w:rStyle w:val="13"/>
          <w:rFonts w:hint="default" w:ascii="Times New Roman" w:hAnsi="Times New Roman" w:eastAsia="方正仿宋_GBK" w:cs="Times New Roman"/>
          <w:b/>
          <w:bCs/>
          <w:sz w:val="32"/>
          <w:szCs w:val="32"/>
          <w:shd w:val="clear" w:fill="FFFFFF"/>
        </w:rPr>
        <w:t xml:space="preserve">  </w:t>
      </w:r>
      <w:r>
        <w:rPr>
          <w:rStyle w:val="13"/>
          <w:rFonts w:hint="eastAsia" w:ascii="方正楷体_GBK" w:hAnsi="方正楷体_GBK" w:eastAsia="方正楷体_GBK" w:cs="方正楷体_GBK"/>
          <w:b w:val="0"/>
          <w:bCs w:val="0"/>
          <w:sz w:val="32"/>
          <w:szCs w:val="32"/>
          <w:shd w:val="clear" w:fill="FFFFFF"/>
        </w:rPr>
        <w:t>（十）项目支出</w:t>
      </w:r>
      <w:r>
        <w:rPr>
          <w:rFonts w:hint="eastAsia" w:ascii="方正仿宋_GBK" w:hAnsi="方正仿宋_GBK" w:eastAsia="方正仿宋_GBK" w:cs="方正仿宋_GBK"/>
          <w:kern w:val="0"/>
          <w:sz w:val="32"/>
          <w:szCs w:val="32"/>
          <w:shd w:val="clear" w:fill="FFFFFF"/>
        </w:rPr>
        <w:t>：指在基本支出之外为完成特定行政任务和事业发展目标所发生的支出。</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default" w:ascii="Times New Roman" w:hAnsi="Times New Roman" w:eastAsia="方正仿宋_GBK" w:cs="Times New Roman"/>
          <w:kern w:val="0"/>
          <w:sz w:val="32"/>
          <w:szCs w:val="32"/>
        </w:rPr>
      </w:pPr>
      <w:r>
        <w:rPr>
          <w:rStyle w:val="13"/>
          <w:rFonts w:hint="default" w:ascii="Times New Roman" w:hAnsi="Times New Roman" w:eastAsia="方正仿宋_GBK" w:cs="Times New Roman"/>
          <w:b/>
          <w:bCs/>
          <w:sz w:val="32"/>
          <w:szCs w:val="32"/>
          <w:shd w:val="clear" w:fill="FFFFFF"/>
        </w:rPr>
        <w:t xml:space="preserve"> </w:t>
      </w:r>
      <w:r>
        <w:rPr>
          <w:rStyle w:val="13"/>
          <w:rFonts w:hint="eastAsia" w:ascii="方正楷体_GBK" w:hAnsi="方正楷体_GBK" w:eastAsia="方正楷体_GBK" w:cs="方正楷体_GBK"/>
          <w:b w:val="0"/>
          <w:bCs w:val="0"/>
          <w:sz w:val="32"/>
          <w:szCs w:val="32"/>
          <w:shd w:val="clear" w:fill="FFFFFF"/>
        </w:rPr>
        <w:t xml:space="preserve"> （十一）经营支出</w:t>
      </w:r>
      <w:r>
        <w:rPr>
          <w:rFonts w:hint="eastAsia" w:ascii="方正仿宋_GBK" w:hAnsi="方正仿宋_GBK" w:eastAsia="方正仿宋_GBK" w:cs="方正仿宋_GBK"/>
          <w:kern w:val="0"/>
          <w:sz w:val="32"/>
          <w:szCs w:val="32"/>
          <w:shd w:val="clear" w:fill="FFFFFF"/>
        </w:rPr>
        <w:t>：指事业单位在专业业务活动及其辅助活动之外开展非独立核算经营活动发生的支出。</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default" w:ascii="Times New Roman" w:hAnsi="Times New Roman" w:eastAsia="方正仿宋_GBK" w:cs="Times New Roman"/>
          <w:kern w:val="0"/>
          <w:sz w:val="32"/>
          <w:szCs w:val="32"/>
        </w:rPr>
      </w:pPr>
      <w:r>
        <w:rPr>
          <w:rStyle w:val="13"/>
          <w:rFonts w:hint="default" w:ascii="Times New Roman" w:hAnsi="Times New Roman" w:eastAsia="方正仿宋_GBK" w:cs="Times New Roman"/>
          <w:b/>
          <w:bCs/>
          <w:sz w:val="32"/>
          <w:szCs w:val="32"/>
          <w:shd w:val="clear" w:fill="FFFFFF"/>
        </w:rPr>
        <w:t xml:space="preserve">  </w:t>
      </w:r>
      <w:r>
        <w:rPr>
          <w:rStyle w:val="13"/>
          <w:rFonts w:hint="eastAsia" w:ascii="方正楷体_GBK" w:hAnsi="方正楷体_GBK" w:eastAsia="方正楷体_GBK" w:cs="方正楷体_GBK"/>
          <w:b w:val="0"/>
          <w:bCs w:val="0"/>
          <w:sz w:val="32"/>
          <w:szCs w:val="32"/>
          <w:shd w:val="clear" w:fill="FFFFFF"/>
        </w:rPr>
        <w:t>（十二）“三公”经费</w:t>
      </w:r>
      <w:r>
        <w:rPr>
          <w:rFonts w:hint="eastAsia" w:ascii="方正仿宋_GBK" w:hAnsi="方正仿宋_GBK" w:eastAsia="方正仿宋_GBK" w:cs="方正仿宋_GBK"/>
          <w:kern w:val="0"/>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rPr>
      </w:pPr>
      <w:r>
        <w:rPr>
          <w:rStyle w:val="13"/>
          <w:rFonts w:hint="eastAsia" w:ascii="方正楷体_GBK" w:hAnsi="方正楷体_GBK" w:eastAsia="方正楷体_GBK" w:cs="方正楷体_GBK"/>
          <w:b w:val="0"/>
          <w:bCs w:val="0"/>
          <w:sz w:val="32"/>
          <w:szCs w:val="32"/>
          <w:shd w:val="clear" w:fill="FFFFFF"/>
        </w:rPr>
        <w:t xml:space="preserve">  （十三）机关运行经费</w:t>
      </w:r>
      <w:r>
        <w:rPr>
          <w:rFonts w:hint="eastAsia" w:ascii="方正仿宋_GBK" w:hAnsi="方正仿宋_GBK" w:eastAsia="方正仿宋_GBK" w:cs="方正仿宋_GBK"/>
          <w:kern w:val="0"/>
          <w:sz w:val="32"/>
          <w:szCs w:val="32"/>
          <w:shd w:val="clear"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3" w:firstLineChars="200"/>
        <w:jc w:val="left"/>
        <w:textAlignment w:val="auto"/>
        <w:rPr>
          <w:rFonts w:hint="default" w:ascii="Times New Roman" w:hAnsi="Times New Roman" w:eastAsia="方正仿宋_GBK" w:cs="Times New Roman"/>
          <w:kern w:val="0"/>
          <w:sz w:val="32"/>
          <w:szCs w:val="32"/>
        </w:rPr>
      </w:pPr>
      <w:r>
        <w:rPr>
          <w:rStyle w:val="13"/>
          <w:rFonts w:hint="default" w:ascii="Times New Roman" w:hAnsi="Times New Roman" w:eastAsia="方正仿宋_GBK" w:cs="Times New Roman"/>
          <w:b/>
          <w:bCs/>
          <w:sz w:val="32"/>
          <w:szCs w:val="32"/>
          <w:shd w:val="clear" w:fill="FFFFFF"/>
        </w:rPr>
        <w:t xml:space="preserve"> </w:t>
      </w:r>
      <w:r>
        <w:rPr>
          <w:rStyle w:val="13"/>
          <w:rFonts w:hint="eastAsia" w:ascii="方正楷体_GBK" w:hAnsi="方正楷体_GBK" w:eastAsia="方正楷体_GBK" w:cs="方正楷体_GBK"/>
          <w:b w:val="0"/>
          <w:bCs w:val="0"/>
          <w:sz w:val="32"/>
          <w:szCs w:val="32"/>
          <w:shd w:val="clear" w:fill="FFFFFF"/>
        </w:rPr>
        <w:t xml:space="preserve"> （十四）工资福利支出（支出经济分类科目类级）</w:t>
      </w:r>
      <w:r>
        <w:rPr>
          <w:rFonts w:hint="eastAsia" w:ascii="方正仿宋_GBK" w:hAnsi="方正仿宋_GBK" w:eastAsia="方正仿宋_GBK" w:cs="方正仿宋_GBK"/>
          <w:kern w:val="0"/>
          <w:sz w:val="32"/>
          <w:szCs w:val="32"/>
          <w:shd w:val="clear" w:fill="FFFFFF"/>
        </w:rPr>
        <w:t>：反映单位开支的在职职工和编制外长期聘用人员的各类劳动报酬，以及为上述人员缴纳的各项社会保险费等。</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rPr>
      </w:pPr>
      <w:r>
        <w:rPr>
          <w:rStyle w:val="13"/>
          <w:rFonts w:hint="eastAsia" w:ascii="方正楷体_GBK" w:hAnsi="方正楷体_GBK" w:eastAsia="方正楷体_GBK" w:cs="方正楷体_GBK"/>
          <w:b w:val="0"/>
          <w:bCs w:val="0"/>
          <w:sz w:val="32"/>
          <w:szCs w:val="32"/>
          <w:shd w:val="clear" w:fill="FFFFFF"/>
        </w:rPr>
        <w:t xml:space="preserve">  （十五）商品和服务支出（支出经济分类科目类级）</w:t>
      </w:r>
      <w:r>
        <w:rPr>
          <w:rFonts w:hint="eastAsia" w:ascii="方正仿宋_GBK" w:hAnsi="方正仿宋_GBK" w:eastAsia="方正仿宋_GBK" w:cs="方正仿宋_GBK"/>
          <w:kern w:val="0"/>
          <w:sz w:val="32"/>
          <w:szCs w:val="32"/>
          <w:shd w:val="clear" w:fill="FFFFFF"/>
        </w:rPr>
        <w:t>：反映单位购买商品和服务的支出（不包括用于购置固定资产的支出、战略性和应急储备支出）。</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both"/>
        <w:textAlignment w:val="auto"/>
        <w:rPr>
          <w:rFonts w:hint="default" w:ascii="Times New Roman" w:hAnsi="Times New Roman" w:eastAsia="方正仿宋_GBK" w:cs="Times New Roman"/>
          <w:kern w:val="0"/>
          <w:sz w:val="32"/>
          <w:szCs w:val="32"/>
        </w:rPr>
      </w:pPr>
      <w:r>
        <w:rPr>
          <w:rStyle w:val="13"/>
          <w:rFonts w:hint="eastAsia" w:ascii="方正楷体_GBK" w:hAnsi="方正楷体_GBK" w:eastAsia="方正楷体_GBK" w:cs="方正楷体_GBK"/>
          <w:b w:val="0"/>
          <w:bCs w:val="0"/>
          <w:sz w:val="32"/>
          <w:szCs w:val="32"/>
          <w:shd w:val="clear" w:fill="FFFFFF"/>
        </w:rPr>
        <w:t xml:space="preserve">  （十六）对个人和家庭的补助（支出经济分类科目类级）</w:t>
      </w:r>
      <w:r>
        <w:rPr>
          <w:rFonts w:hint="eastAsia" w:ascii="方正仿宋_GBK" w:hAnsi="方正仿宋_GBK" w:eastAsia="方正仿宋_GBK" w:cs="方正仿宋_GBK"/>
          <w:kern w:val="0"/>
          <w:sz w:val="32"/>
          <w:szCs w:val="32"/>
          <w:shd w:val="clear" w:fill="FFFFFF"/>
        </w:rPr>
        <w:t>：反映用于对个人和家庭的补助支出。</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rPr>
      </w:pPr>
      <w:r>
        <w:rPr>
          <w:rStyle w:val="13"/>
          <w:rFonts w:hint="eastAsia" w:ascii="方正楷体_GBK" w:hAnsi="方正楷体_GBK" w:eastAsia="方正楷体_GBK" w:cs="方正楷体_GBK"/>
          <w:b w:val="0"/>
          <w:bCs w:val="0"/>
          <w:sz w:val="32"/>
          <w:szCs w:val="32"/>
          <w:shd w:val="clear" w:fill="FFFFFF"/>
        </w:rPr>
        <w:t xml:space="preserve">  （十七）其他资本性支出（支出经济分类科目类级）</w:t>
      </w:r>
      <w:r>
        <w:rPr>
          <w:rFonts w:hint="eastAsia" w:ascii="方正仿宋_GBK" w:hAnsi="方正仿宋_GBK" w:eastAsia="方正仿宋_GBK" w:cs="方正仿宋_GBK"/>
          <w:kern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方正黑体_GBK" w:hAnsi="方正黑体_GBK" w:eastAsia="方正黑体_GBK" w:cs="方正黑体_GBK"/>
          <w:b w:val="0"/>
          <w:bCs w:val="0"/>
          <w:kern w:val="0"/>
          <w:sz w:val="32"/>
          <w:szCs w:val="32"/>
        </w:rPr>
      </w:pPr>
      <w:r>
        <w:rPr>
          <w:rStyle w:val="13"/>
          <w:rFonts w:hint="eastAsia" w:ascii="方正黑体_GBK" w:hAnsi="方正黑体_GBK" w:eastAsia="方正黑体_GBK" w:cs="方正黑体_GBK"/>
          <w:b w:val="0"/>
          <w:bCs w:val="0"/>
          <w:sz w:val="32"/>
          <w:szCs w:val="32"/>
          <w:shd w:val="clear" w:fill="FFFFFF"/>
        </w:rPr>
        <w:t xml:space="preserve">  七、决算公开联系方式及信息反馈渠道</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fill="FFFFFF"/>
        </w:rPr>
        <w:t xml:space="preserve">  </w:t>
      </w:r>
      <w:r>
        <w:rPr>
          <w:rFonts w:hint="eastAsia" w:ascii="方正仿宋_GBK" w:hAnsi="方正仿宋_GBK" w:eastAsia="方正仿宋_GBK" w:cs="方正仿宋_GBK"/>
          <w:kern w:val="0"/>
          <w:sz w:val="32"/>
          <w:szCs w:val="32"/>
          <w:shd w:val="clear" w:fill="FFFFFF"/>
        </w:rPr>
        <w:t>本单位决算公开信息反馈和联系方式：</w:t>
      </w:r>
      <w:r>
        <w:rPr>
          <w:rFonts w:hint="default" w:ascii="Times New Roman" w:hAnsi="Times New Roman" w:eastAsia="方正仿宋_GBK" w:cs="Times New Roman"/>
          <w:kern w:val="0"/>
          <w:sz w:val="32"/>
          <w:szCs w:val="32"/>
          <w:shd w:val="clear" w:fill="FFFFFF"/>
        </w:rPr>
        <w:t>023-70607103</w:t>
      </w:r>
    </w:p>
    <w:sectPr>
      <w:pgSz w:w="11915" w:h="16851"/>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7"/>
  <w:displayHorizontalDrawingGridEvery w:val="0"/>
  <w:displayVerticalDrawingGridEvery w:val="2"/>
  <w:noPunctuationKerning w:val="1"/>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1NjAzMjEwMjZlZDUwOTI2NDI5MzMzOWQ4ZmI0YzgifQ=="/>
  </w:docVars>
  <w:rsids>
    <w:rsidRoot w:val="00000000"/>
    <w:rsid w:val="003752C8"/>
    <w:rsid w:val="02DC3F04"/>
    <w:rsid w:val="04AE0985"/>
    <w:rsid w:val="1DBC0763"/>
    <w:rsid w:val="28327F9F"/>
    <w:rsid w:val="302F5D8A"/>
    <w:rsid w:val="40F0234E"/>
    <w:rsid w:val="43AF64F0"/>
    <w:rsid w:val="47D227AD"/>
    <w:rsid w:val="4856518C"/>
    <w:rsid w:val="48DA7B6B"/>
    <w:rsid w:val="4DB34E2F"/>
    <w:rsid w:val="51856AE2"/>
    <w:rsid w:val="5394125E"/>
    <w:rsid w:val="54784804"/>
    <w:rsid w:val="59EE2FE3"/>
    <w:rsid w:val="5A10228A"/>
    <w:rsid w:val="6EE264D6"/>
    <w:rsid w:val="76DB2B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2">
    <w:name w:val="heading 1"/>
    <w:basedOn w:val="1"/>
    <w:next w:val="1"/>
    <w:qFormat/>
    <w:uiPriority w:val="0"/>
    <w:pPr>
      <w:spacing w:before="0" w:beforeAutospacing="1" w:after="0" w:afterAutospacing="1"/>
      <w:ind w:left="0" w:right="0"/>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0"/>
    <w:pPr>
      <w:spacing w:before="0" w:beforeAutospacing="1" w:after="0" w:afterAutospacing="1"/>
      <w:ind w:left="0" w:right="0"/>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0"/>
    <w:pPr>
      <w:spacing w:before="0" w:beforeAutospacing="1" w:after="0" w:afterAutospacing="1"/>
      <w:ind w:left="0" w:right="0"/>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0"/>
    <w:pPr>
      <w:spacing w:before="0" w:beforeAutospacing="1" w:after="0" w:afterAutospacing="1"/>
      <w:ind w:left="0" w:right="0"/>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0"/>
    <w:pPr>
      <w:spacing w:before="0" w:beforeAutospacing="1" w:after="0" w:afterAutospacing="1"/>
      <w:ind w:left="0" w:right="0"/>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0"/>
    <w:pPr>
      <w:spacing w:before="0" w:beforeAutospacing="1" w:after="0" w:afterAutospacing="1"/>
      <w:ind w:left="0" w:right="0"/>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unhideWhenUsed/>
    <w:uiPriority w:val="99"/>
  </w:style>
  <w:style w:type="table" w:default="1" w:styleId="10">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9">
    <w:name w:val="Normal (Web)"/>
    <w:basedOn w:val="1"/>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2">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3">
    <w:name w:val="16"/>
    <w:basedOn w:val="11"/>
    <w:uiPriority w:val="0"/>
    <w:rPr>
      <w:rFonts w:hint="default" w:ascii="Times New Roman" w:hAnsi="Times New Roman" w:cs="Times New Roman"/>
      <w:b/>
      <w:bCs/>
    </w:rPr>
  </w:style>
  <w:style w:type="paragraph" w:customStyle="1" w:styleId="14">
    <w:name w:val="pre Char"/>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15">
    <w:name w:val="10"/>
    <w:basedOn w:val="11"/>
    <w:uiPriority w:val="0"/>
    <w:rPr>
      <w:rFonts w:hint="default" w:ascii="Times New Roman" w:hAnsi="Times New Roman" w:cs="Times New Roman"/>
    </w:rPr>
  </w:style>
  <w:style w:type="paragraph" w:customStyle="1" w:styleId="16">
    <w:name w:val="普通(网站) Char Char"/>
    <w:basedOn w:val="1"/>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7">
    <w:name w:val="15"/>
    <w:basedOn w:val="11"/>
    <w:uiPriority w:val="0"/>
    <w:rPr>
      <w:rFonts w:hint="default" w:ascii="Times New Roman" w:hAnsi="Times New Roman" w:cs="Times New Roman"/>
    </w:rPr>
  </w:style>
  <w:style w:type="paragraph" w:customStyle="1" w:styleId="18">
    <w:name w:val="HTML 预设格式 Char"/>
    <w:basedOn w:val="1"/>
    <w:qFormat/>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17</Pages>
  <Words>6641</Words>
  <Characters>7466</Characters>
  <Lines>1</Lines>
  <Paragraphs>1</Paragraphs>
  <TotalTime>1</TotalTime>
  <ScaleCrop>false</ScaleCrop>
  <LinksUpToDate>false</LinksUpToDate>
  <CharactersWithSpaces>7587</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2022-10-12T07:39:00Z</dcterms:created>
  <dc:creator>Administrator</dc:creator>
  <cp:lastModifiedBy>L</cp:lastModifiedBy>
  <dcterms:modified xsi:type="dcterms:W3CDTF">2023-05-25T06:44:29Z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2CF3A2464B7F4AE4961DFE9EEDA3F71C_13</vt:lpwstr>
  </property>
</Properties>
</file>