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丰都县仙女湖镇卫生院</w:t>
      </w:r>
    </w:p>
    <w:p>
      <w:pPr>
        <w:pStyle w:val="4"/>
        <w:jc w:val="center"/>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2024年部门预算情况说明</w:t>
      </w:r>
    </w:p>
    <w:p>
      <w:pPr>
        <w:spacing w:line="600" w:lineRule="exact"/>
        <w:ind w:firstLine="880" w:firstLineChars="200"/>
        <w:jc w:val="center"/>
        <w:rPr>
          <w:rFonts w:ascii="华文中宋" w:hAnsi="华文中宋" w:eastAsia="华文中宋" w:cs="华文中宋"/>
          <w:sz w:val="32"/>
          <w:szCs w:val="32"/>
        </w:rPr>
      </w:pPr>
    </w:p>
    <w:p>
      <w:pPr>
        <w:numPr>
          <w:ilvl w:val="0"/>
          <w:numId w:val="1"/>
        </w:numPr>
        <w:spacing w:line="600" w:lineRule="exact"/>
        <w:ind w:firstLine="880" w:firstLineChars="200"/>
        <w:rPr>
          <w:rFonts w:ascii="黑体" w:hAnsi="黑体" w:eastAsia="黑体" w:cs="仿宋_GB2312"/>
          <w:sz w:val="32"/>
          <w:szCs w:val="32"/>
        </w:rPr>
      </w:pPr>
      <w:r>
        <w:rPr>
          <w:rFonts w:hint="eastAsia" w:ascii="黑体" w:hAnsi="黑体" w:eastAsia="黑体" w:cs="仿宋_GB2312"/>
          <w:sz w:val="32"/>
          <w:szCs w:val="32"/>
        </w:rPr>
        <w:t>单位基本情况</w:t>
      </w:r>
    </w:p>
    <w:p>
      <w:pPr>
        <w:spacing w:line="600" w:lineRule="exact"/>
        <w:ind w:firstLine="8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（一）职能职责。</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公共卫生服务：负责辖区城乡居民健康档案管理、健康教育、预防接种、儿童健康管理、孕产妇健康管理、老年人健康管理、高血压患者健康管理、2型糖尿病患者健康管理、重性精神疾病患者管理；中医药健康管理和疾病康复；疾病控制、传染病及突发公共卫生事件报告和处理等。负责辖区其他公共卫生服务项目。</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2.基本医疗服务：开展一般常见病、多发病、地方病的基本医疗服务；现场救护和转诊服务；慢性病管理。</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3.计划生育服务：开展避孕节育、生殖健康、优生服务和家庭保健的咨询、指导和技术服务。</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4.协助乡镇政府制定和组织实施初级卫生保健、卫生事业发展规划和年度计划，开展爱国卫生工作。</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5.指导辖区内诊所、村卫生室业务工作，对村医和村妇幼保健人员进行相关技能培训，做好医疗卫生信息统计报告工作，完整、及时、准确报告相关信息，逐步推进乡村卫生服务一体化管理。</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6.开展城乡居民医疗保险政策法规宣传与咨询，协助做好相应的医疗服务和补偿结算等工作。</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7.负责辖区公共卫生管理；协助开展辖区内卫生监督工作，承担区域内公共卫生信息收集与报告。</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（二）单位构成。</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丰都县仙女湖镇卫生院属卫生健康委下面的二级预算单位。内设预防保健科、全科医疗科、内科、普通外科、儿科、医学影像科、医学检验科、办公室、中西医结合科、数字化接种门诊等科室。有彩超、全自动生化分析仪、呼吸机、救护车等大型医疗设备。编制床位30张，实际开放床位40张。</w:t>
      </w:r>
    </w:p>
    <w:p>
      <w:pPr>
        <w:numPr>
          <w:ilvl w:val="0"/>
          <w:numId w:val="1"/>
        </w:numPr>
        <w:spacing w:line="600" w:lineRule="exact"/>
        <w:ind w:firstLine="880" w:firstLineChars="200"/>
        <w:rPr>
          <w:rFonts w:ascii="黑体" w:hAnsi="黑体" w:eastAsia="黑体" w:cs="仿宋_GB2312"/>
          <w:sz w:val="32"/>
          <w:szCs w:val="32"/>
        </w:rPr>
      </w:pPr>
      <w:r>
        <w:rPr>
          <w:rFonts w:hint="eastAsia" w:ascii="黑体" w:hAnsi="黑体" w:eastAsia="黑体" w:cs="仿宋_GB2312"/>
          <w:sz w:val="32"/>
          <w:szCs w:val="32"/>
        </w:rPr>
        <w:t>部门收支总体情况</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（一）收入预算：2024年年初预算数279.48万元，上年结转资金0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万元，其中：一般公共预算拨款 9.48万元，政府性基金预算拨款 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万元，国有资本经营预算拨款 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万元，事业收入270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万元，事业单位经营收入0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万元，其他收入0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万元。一般公共预算拨款较去年减少了2.52万元，主要是其他行政事业单位养老支出减少了0.92万元，中医（民族医）药专项建设项目拨款减少了2</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r>
        <w:rPr>
          <w:rFonts w:hint="eastAsia" w:ascii="仿宋_GB2312" w:eastAsia="仿宋_GB2312"/>
          <w:color w:val="000000"/>
          <w:sz w:val="32"/>
          <w:szCs w:val="32"/>
        </w:rPr>
        <w:t>医疗费补助又增加了0.4万元</w:t>
      </w:r>
      <w:r>
        <w:rPr>
          <w:rFonts w:hint="eastAsia" w:ascii="仿宋_GB2312" w:hAnsi="仿宋_GB2312" w:eastAsia="仿宋_GB2312" w:cs="仿宋_GB2312"/>
          <w:color w:val="000000"/>
          <w:sz w:val="32"/>
          <w:szCs w:val="32"/>
        </w:rPr>
        <w:t>；事业收入较去年减少了2</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p>
    <w:p>
      <w:pPr>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（二）支出预算：2024年年初预算数 </w:t>
      </w:r>
      <w:r>
        <w:rPr>
          <w:rFonts w:ascii="仿宋_GB2312" w:hAnsi="仿宋_GB2312" w:eastAsia="仿宋_GB2312" w:cs="仿宋_GB2312"/>
          <w:color w:val="000000"/>
          <w:sz w:val="32"/>
          <w:szCs w:val="32"/>
        </w:rPr>
        <w:t>279.48</w:t>
      </w:r>
      <w:r>
        <w:rPr>
          <w:rFonts w:hint="eastAsia" w:ascii="仿宋_GB2312" w:hAnsi="仿宋_GB2312" w:eastAsia="仿宋_GB2312" w:cs="仿宋_GB2312"/>
          <w:color w:val="000000"/>
          <w:sz w:val="32"/>
          <w:szCs w:val="32"/>
        </w:rPr>
        <w:t>万元，其中：一般公共服务支出</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万元，教育支出 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万元，社会保障和就业支出 8.28万元，卫生健康支出271.2</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万元，住房保障支出 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万元。支出较去年减少了4.52万元，主要是基本支出减少了0.52 万元，项目支出减少了4</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p>
    <w:p>
      <w:pPr>
        <w:numPr>
          <w:ilvl w:val="0"/>
          <w:numId w:val="1"/>
        </w:numPr>
        <w:spacing w:line="600" w:lineRule="exact"/>
        <w:ind w:firstLine="880" w:firstLineChars="200"/>
        <w:rPr>
          <w:rFonts w:ascii="黑体" w:hAnsi="黑体" w:eastAsia="黑体" w:cs="仿宋_GB2312"/>
          <w:sz w:val="32"/>
          <w:szCs w:val="32"/>
        </w:rPr>
      </w:pPr>
      <w:r>
        <w:rPr>
          <w:rFonts w:hint="eastAsia" w:ascii="黑体" w:hAnsi="黑体" w:eastAsia="黑体" w:cs="仿宋_GB2312"/>
          <w:sz w:val="32"/>
          <w:szCs w:val="32"/>
        </w:rPr>
        <w:t>部门预算情况说明</w:t>
      </w:r>
    </w:p>
    <w:p>
      <w:pPr>
        <w:spacing w:line="360" w:lineRule="auto"/>
        <w:ind w:firstLine="88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2024年一般公共预算财政拨款收入9.48万元，一般公共预算财政拨款支出9.48万元，比2023年减少了2.52万元。主要是项目支出减少了2</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万元，其他行政事业单位养老支出减少了0.91万元，医疗费补助又增加了0.4</w:t>
      </w:r>
      <w:r>
        <w:rPr>
          <w:rFonts w:hint="eastAsia" w:ascii="仿宋_GB2312" w:hAnsi="仿宋_GB2312" w:eastAsia="仿宋_GB2312" w:cs="仿宋_GB2312"/>
          <w:color w:val="000000"/>
          <w:sz w:val="32"/>
          <w:szCs w:val="32"/>
          <w:lang w:val="en-US" w:eastAsia="zh-CN"/>
        </w:rPr>
        <w:t>0</w:t>
      </w:r>
      <w:r>
        <w:rPr>
          <w:rFonts w:hint="eastAsia" w:ascii="仿宋_GB2312" w:hAnsi="仿宋_GB2312" w:eastAsia="仿宋_GB2312" w:cs="仿宋_GB2312"/>
          <w:color w:val="000000"/>
          <w:sz w:val="32"/>
          <w:szCs w:val="32"/>
        </w:rPr>
        <w:t>万元；社会保障和就业支出主要用于保障退休人员补助；医疗费补助主要用于保障退休人员健康体检。</w:t>
      </w:r>
    </w:p>
    <w:p>
      <w:pPr>
        <w:spacing w:line="360" w:lineRule="auto"/>
        <w:ind w:firstLine="88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2024年政府性</w:t>
      </w:r>
      <w:r>
        <w:rPr>
          <w:rFonts w:ascii="仿宋_GB2312" w:hAnsi="仿宋_GB2312" w:eastAsia="仿宋_GB2312" w:cs="仿宋_GB2312"/>
          <w:color w:val="000000"/>
          <w:sz w:val="32"/>
          <w:szCs w:val="32"/>
        </w:rPr>
        <w:t>基金预算收入</w:t>
      </w:r>
      <w:r>
        <w:rPr>
          <w:rFonts w:hint="eastAsia" w:ascii="仿宋_GB2312" w:hAnsi="仿宋_GB2312" w:eastAsia="仿宋_GB2312" w:cs="仿宋_GB2312"/>
          <w:color w:val="000000"/>
          <w:sz w:val="32"/>
          <w:szCs w:val="32"/>
        </w:rPr>
        <w:t xml:space="preserve">0 </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政府性</w:t>
      </w:r>
      <w:r>
        <w:rPr>
          <w:rFonts w:ascii="仿宋_GB2312" w:hAnsi="仿宋_GB2312" w:eastAsia="仿宋_GB2312" w:cs="仿宋_GB2312"/>
          <w:color w:val="000000"/>
          <w:sz w:val="32"/>
          <w:szCs w:val="32"/>
        </w:rPr>
        <w:t>基金预算支出</w:t>
      </w:r>
      <w:r>
        <w:rPr>
          <w:rFonts w:hint="eastAsia"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 xml:space="preserve"> 万元</w:t>
      </w:r>
      <w:r>
        <w:rPr>
          <w:rFonts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rPr>
        <w:t>与2023年持平。本单位</w:t>
      </w:r>
      <w:r>
        <w:rPr>
          <w:rFonts w:ascii="仿宋_GB2312" w:hAnsi="仿宋_GB2312" w:eastAsia="仿宋_GB2312" w:cs="仿宋_GB2312"/>
          <w:color w:val="000000"/>
          <w:sz w:val="32"/>
          <w:szCs w:val="32"/>
        </w:rPr>
        <w:t>2024年</w:t>
      </w:r>
      <w:r>
        <w:rPr>
          <w:rFonts w:hint="eastAsia" w:ascii="仿宋_GB2312" w:hAnsi="仿宋_GB2312" w:eastAsia="仿宋_GB2312" w:cs="仿宋_GB2312"/>
          <w:color w:val="000000"/>
          <w:sz w:val="32"/>
          <w:szCs w:val="32"/>
        </w:rPr>
        <w:t>无</w:t>
      </w:r>
      <w:r>
        <w:rPr>
          <w:rFonts w:ascii="仿宋_GB2312" w:hAnsi="仿宋_GB2312" w:eastAsia="仿宋_GB2312" w:cs="仿宋_GB2312"/>
          <w:color w:val="000000"/>
          <w:sz w:val="32"/>
          <w:szCs w:val="32"/>
        </w:rPr>
        <w:t>使用政府性基金预算拨款安排的支出</w:t>
      </w:r>
      <w:r>
        <w:rPr>
          <w:rFonts w:hint="eastAsia" w:ascii="仿宋_GB2312" w:hAnsi="仿宋_GB2312" w:eastAsia="仿宋_GB2312" w:cs="仿宋_GB2312"/>
          <w:color w:val="000000"/>
          <w:sz w:val="32"/>
          <w:szCs w:val="32"/>
        </w:rPr>
        <w:t>。</w:t>
      </w:r>
    </w:p>
    <w:p>
      <w:pPr>
        <w:numPr>
          <w:ilvl w:val="0"/>
          <w:numId w:val="1"/>
        </w:numPr>
        <w:spacing w:line="600" w:lineRule="exact"/>
        <w:ind w:firstLine="880" w:firstLineChars="200"/>
        <w:rPr>
          <w:rFonts w:hint="eastAsia" w:ascii="黑体" w:hAnsi="黑体" w:eastAsia="黑体" w:cs="仿宋_GB2312"/>
          <w:sz w:val="32"/>
          <w:szCs w:val="32"/>
        </w:rPr>
      </w:pPr>
      <w:bookmarkStart w:id="0" w:name="_GoBack"/>
      <w:r>
        <w:rPr>
          <w:rFonts w:hint="eastAsia" w:ascii="黑体" w:hAnsi="黑体" w:eastAsia="黑体" w:cs="仿宋_GB2312"/>
          <w:sz w:val="32"/>
          <w:szCs w:val="32"/>
        </w:rPr>
        <w:t>“三公”经费情况说明</w:t>
      </w:r>
    </w:p>
    <w:bookmarkEnd w:id="0"/>
    <w:p>
      <w:pPr>
        <w:spacing w:line="360" w:lineRule="auto"/>
        <w:ind w:firstLine="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2024年“三公”经费预算0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万元，与2023年持平。其中：因公出国（境）费用0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万元，与2023年持平；公务接待费</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万元，与2023年持平；公务用车运行维护费</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万元，与2023年持平；</w:t>
      </w:r>
      <w:r>
        <w:rPr>
          <w:rFonts w:ascii="仿宋_GB2312" w:hAnsi="仿宋_GB2312" w:eastAsia="仿宋_GB2312" w:cs="仿宋_GB2312"/>
          <w:color w:val="000000"/>
          <w:sz w:val="32"/>
          <w:szCs w:val="32"/>
        </w:rPr>
        <w:t>公务</w:t>
      </w:r>
      <w:r>
        <w:rPr>
          <w:rFonts w:hint="eastAsia" w:ascii="仿宋_GB2312" w:hAnsi="仿宋_GB2312" w:eastAsia="仿宋_GB2312" w:cs="仿宋_GB2312"/>
          <w:color w:val="000000"/>
          <w:sz w:val="32"/>
          <w:szCs w:val="32"/>
        </w:rPr>
        <w:t>用车</w:t>
      </w:r>
      <w:r>
        <w:rPr>
          <w:rFonts w:ascii="仿宋_GB2312" w:hAnsi="仿宋_GB2312" w:eastAsia="仿宋_GB2312" w:cs="仿宋_GB2312"/>
          <w:color w:val="000000"/>
          <w:sz w:val="32"/>
          <w:szCs w:val="32"/>
        </w:rPr>
        <w:t>购置费</w:t>
      </w:r>
      <w:r>
        <w:rPr>
          <w:rFonts w:hint="eastAsia" w:ascii="仿宋_GB2312" w:hAnsi="仿宋_GB2312" w:eastAsia="仿宋_GB2312" w:cs="仿宋_GB2312"/>
          <w:color w:val="000000"/>
          <w:sz w:val="32"/>
          <w:szCs w:val="32"/>
          <w:lang w:val="en-US" w:eastAsia="zh-CN"/>
        </w:rPr>
        <w:t>0.00</w:t>
      </w:r>
      <w:r>
        <w:rPr>
          <w:rFonts w:hint="eastAsia" w:ascii="仿宋_GB2312" w:hAnsi="仿宋_GB2312" w:eastAsia="仿宋_GB2312" w:cs="仿宋_GB2312"/>
          <w:color w:val="000000"/>
          <w:sz w:val="32"/>
          <w:szCs w:val="32"/>
        </w:rPr>
        <w:t>万元，与2023年持平。</w:t>
      </w:r>
    </w:p>
    <w:p>
      <w:pPr>
        <w:numPr>
          <w:ilvl w:val="0"/>
          <w:numId w:val="1"/>
        </w:numPr>
        <w:spacing w:line="600" w:lineRule="exact"/>
        <w:ind w:firstLine="880" w:firstLineChars="200"/>
        <w:rPr>
          <w:rFonts w:hint="eastAsia" w:ascii="黑体" w:hAnsi="黑体" w:eastAsia="黑体" w:cs="仿宋_GB2312"/>
          <w:sz w:val="32"/>
          <w:szCs w:val="32"/>
        </w:rPr>
      </w:pPr>
      <w:r>
        <w:rPr>
          <w:rFonts w:hint="eastAsia" w:ascii="黑体" w:hAnsi="黑体" w:eastAsia="黑体" w:cs="仿宋_GB2312"/>
          <w:sz w:val="32"/>
          <w:szCs w:val="32"/>
        </w:rPr>
        <w:t>其他重要事项的情况说明</w:t>
      </w:r>
    </w:p>
    <w:p>
      <w:pPr>
        <w:widowControl w:val="0"/>
        <w:wordWrap/>
        <w:spacing w:line="580" w:lineRule="exact"/>
        <w:ind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rPr>
        <w:t>（一）机关运行经费。</w:t>
      </w:r>
      <w:r>
        <w:rPr>
          <w:rFonts w:hint="default" w:ascii="Times New Roman" w:hAnsi="Times New Roman" w:eastAsia="仿宋_GB2312" w:cs="Times New Roman"/>
          <w:sz w:val="32"/>
          <w:szCs w:val="32"/>
        </w:rPr>
        <w:t>我单位不在机关运行经费统计范围之内。</w:t>
      </w:r>
    </w:p>
    <w:p>
      <w:pPr>
        <w:widowControl w:val="0"/>
        <w:wordWrap/>
        <w:spacing w:line="580" w:lineRule="exact"/>
        <w:ind w:right="0"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方正楷体_GBK" w:cs="Times New Roman"/>
          <w:sz w:val="32"/>
          <w:szCs w:val="32"/>
        </w:rPr>
        <w:t>（二）政府采购情况。</w:t>
      </w:r>
      <w:r>
        <w:rPr>
          <w:rFonts w:hint="default" w:ascii="Times New Roman" w:hAnsi="Times New Roman" w:eastAsia="仿宋_GB2312" w:cs="Times New Roman"/>
          <w:sz w:val="32"/>
          <w:szCs w:val="32"/>
        </w:rPr>
        <w:t>所属各预算单位政府采购预算总额</w:t>
      </w:r>
      <w:r>
        <w:rPr>
          <w:rFonts w:hint="eastAsia"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万元：政府采购货物预算</w:t>
      </w:r>
      <w:r>
        <w:rPr>
          <w:rFonts w:hint="eastAsia"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万元、政府采购工程预算</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万元、政府采购服务预算</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万元；其中一般公共预算拨款政府采购</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万元：政府采购货物预算</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万元、政府采购工程预算</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万元、政府采购服务预算</w:t>
      </w:r>
      <w:r>
        <w:rPr>
          <w:rFonts w:hint="default" w:ascii="Times New Roman" w:hAnsi="Times New Roman" w:eastAsia="仿宋_GB2312" w:cs="Times New Roman"/>
          <w:sz w:val="32"/>
          <w:szCs w:val="32"/>
          <w:lang w:val="en-US" w:eastAsia="zh-CN"/>
        </w:rPr>
        <w:t>0.00</w:t>
      </w:r>
      <w:r>
        <w:rPr>
          <w:rFonts w:hint="default" w:ascii="Times New Roman" w:hAnsi="Times New Roman" w:eastAsia="仿宋_GB2312" w:cs="Times New Roman"/>
          <w:sz w:val="32"/>
          <w:szCs w:val="32"/>
        </w:rPr>
        <w:t>万元。</w:t>
      </w:r>
    </w:p>
    <w:p>
      <w:pPr>
        <w:spacing w:line="360" w:lineRule="auto"/>
        <w:ind w:firstLine="880" w:firstLineChars="200"/>
        <w:rPr>
          <w:rFonts w:ascii="仿宋_GB2312" w:hAnsi="仿宋_GB2312" w:eastAsia="仿宋_GB2312" w:cs="仿宋_GB2312"/>
          <w:color w:val="000000"/>
          <w:sz w:val="32"/>
          <w:szCs w:val="32"/>
        </w:rPr>
      </w:pPr>
      <w:r>
        <w:rPr>
          <w:rFonts w:hint="default" w:ascii="Times New Roman" w:hAnsi="Times New Roman" w:eastAsia="方正楷体_GBK" w:cs="Times New Roman"/>
          <w:sz w:val="32"/>
          <w:szCs w:val="32"/>
        </w:rPr>
        <w:t>（三）绩效目标设置情况。</w:t>
      </w:r>
      <w:r>
        <w:rPr>
          <w:rFonts w:hint="default" w:ascii="Times New Roman" w:hAnsi="Times New Roman" w:eastAsia="仿宋_GB2312" w:cs="Times New Roman"/>
          <w:sz w:val="32"/>
          <w:szCs w:val="32"/>
        </w:rPr>
        <w:t>2024年项目支出均实行了绩效目标管理</w:t>
      </w:r>
      <w:r>
        <w:rPr>
          <w:rFonts w:hint="eastAsia" w:eastAsia="仿宋_GB2312" w:cs="Times New Roman"/>
          <w:sz w:val="32"/>
          <w:szCs w:val="32"/>
          <w:lang w:eastAsia="zh-CN"/>
        </w:rPr>
        <w:t>，</w:t>
      </w:r>
      <w:r>
        <w:rPr>
          <w:rFonts w:hint="eastAsia" w:ascii="仿宋_GB2312" w:hAnsi="仿宋_GB2312" w:eastAsia="仿宋_GB2312" w:cs="仿宋_GB2312"/>
          <w:color w:val="000000"/>
          <w:sz w:val="32"/>
          <w:szCs w:val="32"/>
        </w:rPr>
        <w:t>涉及资金量 270</w:t>
      </w:r>
      <w:r>
        <w:rPr>
          <w:rFonts w:hint="eastAsia" w:ascii="仿宋_GB2312" w:hAnsi="仿宋_GB2312" w:eastAsia="仿宋_GB2312" w:cs="仿宋_GB2312"/>
          <w:color w:val="000000"/>
          <w:sz w:val="32"/>
          <w:szCs w:val="32"/>
          <w:lang w:val="en-US" w:eastAsia="zh-CN"/>
        </w:rPr>
        <w:t>.00</w:t>
      </w:r>
      <w:r>
        <w:rPr>
          <w:rFonts w:hint="eastAsia" w:ascii="仿宋_GB2312" w:hAnsi="仿宋_GB2312" w:eastAsia="仿宋_GB2312" w:cs="仿宋_GB2312"/>
          <w:color w:val="000000"/>
          <w:sz w:val="32"/>
          <w:szCs w:val="32"/>
        </w:rPr>
        <w:t>万元。</w:t>
      </w:r>
    </w:p>
    <w:p>
      <w:pPr>
        <w:spacing w:line="360" w:lineRule="auto"/>
        <w:ind w:firstLine="880" w:firstLineChars="200"/>
        <w:rPr>
          <w:rFonts w:ascii="仿宋_GB2312" w:hAnsi="仿宋_GB2312" w:eastAsia="仿宋_GB2312" w:cs="仿宋_GB2312"/>
          <w:color w:val="000000"/>
          <w:sz w:val="32"/>
          <w:szCs w:val="32"/>
        </w:rPr>
      </w:pPr>
      <w:r>
        <w:rPr>
          <w:rFonts w:hint="default" w:ascii="Times New Roman" w:hAnsi="Times New Roman" w:eastAsia="方正楷体_GBK" w:cs="Times New Roman"/>
          <w:color w:val="000000"/>
          <w:sz w:val="32"/>
          <w:szCs w:val="32"/>
        </w:rPr>
        <w:t>（四）国有资产占有使用情况。</w:t>
      </w:r>
      <w:r>
        <w:rPr>
          <w:rFonts w:hint="eastAsia" w:ascii="仿宋_GB2312" w:hAnsi="仿宋_GB2312" w:eastAsia="仿宋_GB2312" w:cs="仿宋_GB2312"/>
          <w:color w:val="000000"/>
          <w:sz w:val="32"/>
          <w:szCs w:val="32"/>
        </w:rPr>
        <w:t>截至2023年12月，所属各预算单位共有车辆1 辆，其中一般公务用车1 辆、执勤执法用车0 辆。2024年一般公共预算安排购置车辆 0辆，其中一般公务用车0 辆、执勤执法用车 0辆。</w:t>
      </w:r>
    </w:p>
    <w:p>
      <w:pPr>
        <w:numPr>
          <w:ilvl w:val="0"/>
          <w:numId w:val="1"/>
        </w:numPr>
        <w:spacing w:line="600" w:lineRule="exact"/>
        <w:ind w:firstLine="880" w:firstLineChars="200"/>
        <w:rPr>
          <w:rFonts w:ascii="黑体" w:hAnsi="黑体" w:eastAsia="黑体" w:cs="仿宋_GB2312"/>
          <w:sz w:val="32"/>
          <w:szCs w:val="32"/>
        </w:rPr>
      </w:pPr>
      <w:r>
        <w:rPr>
          <w:rFonts w:hint="eastAsia" w:ascii="黑体" w:hAnsi="黑体" w:eastAsia="黑体" w:cs="仿宋_GB2312"/>
          <w:sz w:val="32"/>
          <w:szCs w:val="32"/>
        </w:rPr>
        <w:t>专业性名词解释</w:t>
      </w:r>
    </w:p>
    <w:p>
      <w:pPr>
        <w:ind w:firstLine="8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（一）财政拨款收入：指本年度从本级财政部门取得的财政拨款，包括一般公共预算财政拨款和政府性基金预算财政拨款。</w:t>
      </w:r>
    </w:p>
    <w:p>
      <w:pPr>
        <w:ind w:firstLine="880" w:firstLineChars="200"/>
        <w:rPr>
          <w:rFonts w:ascii="方正仿宋_GBK" w:eastAsia="方正仿宋_GBK"/>
          <w:sz w:val="32"/>
          <w:szCs w:val="32"/>
        </w:rPr>
      </w:pPr>
      <w:r>
        <w:rPr>
          <w:rFonts w:hint="eastAsia" w:ascii="仿宋_GB2312" w:hAnsi="仿宋_GB2312" w:eastAsia="仿宋_GB2312" w:cs="仿宋_GB2312"/>
          <w:sz w:val="32"/>
          <w:szCs w:val="32"/>
        </w:rPr>
        <w:t>（二）其他收入：指单位取得的除“财政拨款收入”、“事业收入”、“经营收入”等以外的收入</w:t>
      </w:r>
      <w:r>
        <w:rPr>
          <w:rFonts w:hint="eastAsia" w:ascii="方正仿宋_GBK" w:eastAsia="方正仿宋_GBK"/>
          <w:sz w:val="32"/>
          <w:szCs w:val="32"/>
        </w:rPr>
        <w:t>。</w:t>
      </w:r>
    </w:p>
    <w:p>
      <w:pPr>
        <w:pStyle w:val="12"/>
        <w:tabs>
          <w:tab w:val="center" w:pos="4153"/>
          <w:tab w:val="left" w:pos="7275"/>
        </w:tabs>
        <w:spacing w:line="600" w:lineRule="exact"/>
        <w:ind w:firstLine="8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（三）基本支出：指为保障机构正常运转、完成日常工作任务而发生的人员经费和公用经费。</w:t>
      </w:r>
    </w:p>
    <w:p>
      <w:pPr>
        <w:pStyle w:val="12"/>
        <w:tabs>
          <w:tab w:val="center" w:pos="4153"/>
          <w:tab w:val="left" w:pos="7275"/>
        </w:tabs>
        <w:spacing w:line="600" w:lineRule="exact"/>
        <w:ind w:firstLine="88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（四）项目支出：指在基本支出之外为完成特定行政任务和事业发展目标所发生的支出。</w:t>
      </w:r>
    </w:p>
    <w:p>
      <w:pPr>
        <w:ind w:firstLine="8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88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（预算公开联系人：秦建娟  联系电话：023-70609023）</w:t>
      </w: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auto"/>
    <w:pitch w:val="default"/>
    <w:sig w:usb0="00000000"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81109948">
    <w:nsid w:val="5847F1BC"/>
    <w:multiLevelType w:val="singleLevel"/>
    <w:tmpl w:val="5847F1BC"/>
    <w:lvl w:ilvl="0" w:tentative="1">
      <w:start w:val="1"/>
      <w:numFmt w:val="chineseCounting"/>
      <w:suff w:val="nothing"/>
      <w:lvlText w:val="%1、"/>
      <w:lvlJc w:val="left"/>
    </w:lvl>
  </w:abstractNum>
  <w:num w:numId="1">
    <w:abstractNumId w:val="14811099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ZDRlMTI0ZmZkNWVkNDk2ZTg4NWYwOTQyMjQxMmY4NGEifQ=="/>
  </w:docVars>
  <w:rsids>
    <w:rsidRoot w:val="004F7D1D"/>
    <w:rsid w:val="00006FB1"/>
    <w:rsid w:val="0001271B"/>
    <w:rsid w:val="00023A4C"/>
    <w:rsid w:val="00042219"/>
    <w:rsid w:val="00047C7A"/>
    <w:rsid w:val="00053834"/>
    <w:rsid w:val="000551A4"/>
    <w:rsid w:val="000624D8"/>
    <w:rsid w:val="0007330D"/>
    <w:rsid w:val="00075914"/>
    <w:rsid w:val="0008570C"/>
    <w:rsid w:val="00091B93"/>
    <w:rsid w:val="00093301"/>
    <w:rsid w:val="00096685"/>
    <w:rsid w:val="000A60FC"/>
    <w:rsid w:val="000C594E"/>
    <w:rsid w:val="000D2E8F"/>
    <w:rsid w:val="000D6437"/>
    <w:rsid w:val="000F1499"/>
    <w:rsid w:val="000F5707"/>
    <w:rsid w:val="0010264D"/>
    <w:rsid w:val="00106A76"/>
    <w:rsid w:val="00125C07"/>
    <w:rsid w:val="0014404E"/>
    <w:rsid w:val="001525DD"/>
    <w:rsid w:val="00157ED2"/>
    <w:rsid w:val="00161474"/>
    <w:rsid w:val="00165A74"/>
    <w:rsid w:val="001729B7"/>
    <w:rsid w:val="001957F9"/>
    <w:rsid w:val="001C0A7C"/>
    <w:rsid w:val="001D0CAA"/>
    <w:rsid w:val="001D4937"/>
    <w:rsid w:val="001E1AED"/>
    <w:rsid w:val="001E31D9"/>
    <w:rsid w:val="00202E0A"/>
    <w:rsid w:val="002132E9"/>
    <w:rsid w:val="00213635"/>
    <w:rsid w:val="00226F1D"/>
    <w:rsid w:val="00242727"/>
    <w:rsid w:val="00246006"/>
    <w:rsid w:val="00246AA4"/>
    <w:rsid w:val="00252849"/>
    <w:rsid w:val="002605A5"/>
    <w:rsid w:val="0026529F"/>
    <w:rsid w:val="0027005A"/>
    <w:rsid w:val="002773F0"/>
    <w:rsid w:val="00280A93"/>
    <w:rsid w:val="00286440"/>
    <w:rsid w:val="002959B6"/>
    <w:rsid w:val="002B41F1"/>
    <w:rsid w:val="002C4122"/>
    <w:rsid w:val="002D2A88"/>
    <w:rsid w:val="002D4196"/>
    <w:rsid w:val="002E19BF"/>
    <w:rsid w:val="002E46A9"/>
    <w:rsid w:val="0030024E"/>
    <w:rsid w:val="003019D9"/>
    <w:rsid w:val="003163CF"/>
    <w:rsid w:val="00341606"/>
    <w:rsid w:val="00346387"/>
    <w:rsid w:val="0034700C"/>
    <w:rsid w:val="00357A28"/>
    <w:rsid w:val="00367516"/>
    <w:rsid w:val="00375FC9"/>
    <w:rsid w:val="00383298"/>
    <w:rsid w:val="003872D5"/>
    <w:rsid w:val="0039559F"/>
    <w:rsid w:val="003B11A5"/>
    <w:rsid w:val="003B33C4"/>
    <w:rsid w:val="003B36C2"/>
    <w:rsid w:val="003D14F0"/>
    <w:rsid w:val="003D7234"/>
    <w:rsid w:val="003D7504"/>
    <w:rsid w:val="003E4EB6"/>
    <w:rsid w:val="003F6450"/>
    <w:rsid w:val="00430B72"/>
    <w:rsid w:val="00437D88"/>
    <w:rsid w:val="004417DC"/>
    <w:rsid w:val="00445520"/>
    <w:rsid w:val="00462595"/>
    <w:rsid w:val="0049017F"/>
    <w:rsid w:val="00492FB3"/>
    <w:rsid w:val="004B065E"/>
    <w:rsid w:val="004B1650"/>
    <w:rsid w:val="004C42ED"/>
    <w:rsid w:val="004C60BD"/>
    <w:rsid w:val="004D1E02"/>
    <w:rsid w:val="004E592A"/>
    <w:rsid w:val="004E6E1A"/>
    <w:rsid w:val="004F1853"/>
    <w:rsid w:val="004F7D1D"/>
    <w:rsid w:val="00500B1D"/>
    <w:rsid w:val="00506DF4"/>
    <w:rsid w:val="00507823"/>
    <w:rsid w:val="005228CA"/>
    <w:rsid w:val="00536713"/>
    <w:rsid w:val="00543257"/>
    <w:rsid w:val="00572736"/>
    <w:rsid w:val="0058350C"/>
    <w:rsid w:val="005A1227"/>
    <w:rsid w:val="005A4606"/>
    <w:rsid w:val="005A4AD7"/>
    <w:rsid w:val="005B0F11"/>
    <w:rsid w:val="005E18A6"/>
    <w:rsid w:val="005F1960"/>
    <w:rsid w:val="006115F1"/>
    <w:rsid w:val="00620BCE"/>
    <w:rsid w:val="0066585E"/>
    <w:rsid w:val="006809FA"/>
    <w:rsid w:val="00681F30"/>
    <w:rsid w:val="006C01C3"/>
    <w:rsid w:val="006D0C33"/>
    <w:rsid w:val="006D1609"/>
    <w:rsid w:val="006E0BEC"/>
    <w:rsid w:val="006E455F"/>
    <w:rsid w:val="006F7539"/>
    <w:rsid w:val="00714828"/>
    <w:rsid w:val="007158F8"/>
    <w:rsid w:val="0071734A"/>
    <w:rsid w:val="007252E3"/>
    <w:rsid w:val="007336ED"/>
    <w:rsid w:val="00742C4D"/>
    <w:rsid w:val="007620B8"/>
    <w:rsid w:val="00762CF8"/>
    <w:rsid w:val="00765DF5"/>
    <w:rsid w:val="007713EB"/>
    <w:rsid w:val="00791CE4"/>
    <w:rsid w:val="007B10D4"/>
    <w:rsid w:val="007B22D6"/>
    <w:rsid w:val="007B4264"/>
    <w:rsid w:val="007B5ACF"/>
    <w:rsid w:val="007B6182"/>
    <w:rsid w:val="007C4C9B"/>
    <w:rsid w:val="007D2AEA"/>
    <w:rsid w:val="007D4F40"/>
    <w:rsid w:val="007E098F"/>
    <w:rsid w:val="007E0B4D"/>
    <w:rsid w:val="007E6A39"/>
    <w:rsid w:val="007F68E5"/>
    <w:rsid w:val="00801BFF"/>
    <w:rsid w:val="00803270"/>
    <w:rsid w:val="00805D05"/>
    <w:rsid w:val="00810277"/>
    <w:rsid w:val="00813B4F"/>
    <w:rsid w:val="00830BF3"/>
    <w:rsid w:val="00833B65"/>
    <w:rsid w:val="00837BDB"/>
    <w:rsid w:val="008560C6"/>
    <w:rsid w:val="00866533"/>
    <w:rsid w:val="00876439"/>
    <w:rsid w:val="00880920"/>
    <w:rsid w:val="00893BF5"/>
    <w:rsid w:val="008A13B7"/>
    <w:rsid w:val="008A622D"/>
    <w:rsid w:val="008D2570"/>
    <w:rsid w:val="008E3C27"/>
    <w:rsid w:val="008E5A19"/>
    <w:rsid w:val="008E7590"/>
    <w:rsid w:val="008F1CA6"/>
    <w:rsid w:val="008F731A"/>
    <w:rsid w:val="00905727"/>
    <w:rsid w:val="00914195"/>
    <w:rsid w:val="00926FE2"/>
    <w:rsid w:val="00933A24"/>
    <w:rsid w:val="00936EDC"/>
    <w:rsid w:val="00940465"/>
    <w:rsid w:val="0094655E"/>
    <w:rsid w:val="009561D9"/>
    <w:rsid w:val="009653AE"/>
    <w:rsid w:val="00970509"/>
    <w:rsid w:val="00972AB0"/>
    <w:rsid w:val="00983001"/>
    <w:rsid w:val="0098712E"/>
    <w:rsid w:val="00996417"/>
    <w:rsid w:val="009B77D4"/>
    <w:rsid w:val="009E6734"/>
    <w:rsid w:val="009F01A9"/>
    <w:rsid w:val="00A05F72"/>
    <w:rsid w:val="00A07288"/>
    <w:rsid w:val="00A174AB"/>
    <w:rsid w:val="00A21DCD"/>
    <w:rsid w:val="00A33F5E"/>
    <w:rsid w:val="00A35F07"/>
    <w:rsid w:val="00A45A23"/>
    <w:rsid w:val="00A52D34"/>
    <w:rsid w:val="00A712EA"/>
    <w:rsid w:val="00A8020D"/>
    <w:rsid w:val="00A802E9"/>
    <w:rsid w:val="00A80B6C"/>
    <w:rsid w:val="00AA324B"/>
    <w:rsid w:val="00AB25DF"/>
    <w:rsid w:val="00AC6F85"/>
    <w:rsid w:val="00AE0A20"/>
    <w:rsid w:val="00AE4156"/>
    <w:rsid w:val="00B1352B"/>
    <w:rsid w:val="00B16590"/>
    <w:rsid w:val="00B24FA7"/>
    <w:rsid w:val="00B257E3"/>
    <w:rsid w:val="00B54CE7"/>
    <w:rsid w:val="00B558CC"/>
    <w:rsid w:val="00B65450"/>
    <w:rsid w:val="00B72347"/>
    <w:rsid w:val="00B86388"/>
    <w:rsid w:val="00BB3B39"/>
    <w:rsid w:val="00BC2C3D"/>
    <w:rsid w:val="00BD5AA0"/>
    <w:rsid w:val="00BD5FA5"/>
    <w:rsid w:val="00BE573E"/>
    <w:rsid w:val="00BF67E7"/>
    <w:rsid w:val="00C2696C"/>
    <w:rsid w:val="00C427D3"/>
    <w:rsid w:val="00C47446"/>
    <w:rsid w:val="00C5758E"/>
    <w:rsid w:val="00C601F9"/>
    <w:rsid w:val="00C7602D"/>
    <w:rsid w:val="00C827DC"/>
    <w:rsid w:val="00C95346"/>
    <w:rsid w:val="00CA4340"/>
    <w:rsid w:val="00CB0296"/>
    <w:rsid w:val="00CC4A96"/>
    <w:rsid w:val="00CD1C4A"/>
    <w:rsid w:val="00CE1014"/>
    <w:rsid w:val="00CF42ED"/>
    <w:rsid w:val="00D0143D"/>
    <w:rsid w:val="00D10AB7"/>
    <w:rsid w:val="00D160DD"/>
    <w:rsid w:val="00D21CDE"/>
    <w:rsid w:val="00D40ADE"/>
    <w:rsid w:val="00D411DD"/>
    <w:rsid w:val="00D46486"/>
    <w:rsid w:val="00D648D9"/>
    <w:rsid w:val="00D64C2C"/>
    <w:rsid w:val="00D66063"/>
    <w:rsid w:val="00D77D37"/>
    <w:rsid w:val="00D80BC2"/>
    <w:rsid w:val="00D8620E"/>
    <w:rsid w:val="00DA7788"/>
    <w:rsid w:val="00DA7FE6"/>
    <w:rsid w:val="00DB0EC5"/>
    <w:rsid w:val="00DB2D78"/>
    <w:rsid w:val="00DB4539"/>
    <w:rsid w:val="00DE3685"/>
    <w:rsid w:val="00DE5805"/>
    <w:rsid w:val="00E00D68"/>
    <w:rsid w:val="00E01CEB"/>
    <w:rsid w:val="00E11FB2"/>
    <w:rsid w:val="00E1530B"/>
    <w:rsid w:val="00E275D0"/>
    <w:rsid w:val="00E40ED1"/>
    <w:rsid w:val="00E4747D"/>
    <w:rsid w:val="00E67557"/>
    <w:rsid w:val="00E712B9"/>
    <w:rsid w:val="00E811DF"/>
    <w:rsid w:val="00E96899"/>
    <w:rsid w:val="00EC09E7"/>
    <w:rsid w:val="00EC409D"/>
    <w:rsid w:val="00EE21B6"/>
    <w:rsid w:val="00EF1B14"/>
    <w:rsid w:val="00EF782E"/>
    <w:rsid w:val="00EF7D6B"/>
    <w:rsid w:val="00F11A07"/>
    <w:rsid w:val="00F258CE"/>
    <w:rsid w:val="00F605C0"/>
    <w:rsid w:val="00F66710"/>
    <w:rsid w:val="00F84112"/>
    <w:rsid w:val="00F86A3C"/>
    <w:rsid w:val="00F90464"/>
    <w:rsid w:val="00F9492F"/>
    <w:rsid w:val="00FC2169"/>
    <w:rsid w:val="00FC2267"/>
    <w:rsid w:val="00FE12C3"/>
    <w:rsid w:val="00FE28C5"/>
    <w:rsid w:val="01A83915"/>
    <w:rsid w:val="03A879FF"/>
    <w:rsid w:val="0463609B"/>
    <w:rsid w:val="07BE1A52"/>
    <w:rsid w:val="08B86B84"/>
    <w:rsid w:val="097377E5"/>
    <w:rsid w:val="0E654A5C"/>
    <w:rsid w:val="0F61655E"/>
    <w:rsid w:val="178E15E9"/>
    <w:rsid w:val="17CC652E"/>
    <w:rsid w:val="185A13F0"/>
    <w:rsid w:val="18CC21E2"/>
    <w:rsid w:val="19C5040D"/>
    <w:rsid w:val="19D75DEA"/>
    <w:rsid w:val="1B7962F3"/>
    <w:rsid w:val="1FD35818"/>
    <w:rsid w:val="215C7632"/>
    <w:rsid w:val="22A879B8"/>
    <w:rsid w:val="239D135A"/>
    <w:rsid w:val="24951018"/>
    <w:rsid w:val="26442DF1"/>
    <w:rsid w:val="26A21AFE"/>
    <w:rsid w:val="26A5437E"/>
    <w:rsid w:val="27836639"/>
    <w:rsid w:val="28403565"/>
    <w:rsid w:val="28954EFA"/>
    <w:rsid w:val="2C2F669F"/>
    <w:rsid w:val="2DFB0975"/>
    <w:rsid w:val="2E0A714A"/>
    <w:rsid w:val="2EF43C6F"/>
    <w:rsid w:val="317C6D0D"/>
    <w:rsid w:val="31F13A2C"/>
    <w:rsid w:val="3215608A"/>
    <w:rsid w:val="32E038C4"/>
    <w:rsid w:val="34005C38"/>
    <w:rsid w:val="354168D6"/>
    <w:rsid w:val="36400366"/>
    <w:rsid w:val="36A91B9E"/>
    <w:rsid w:val="36EF313C"/>
    <w:rsid w:val="384D5036"/>
    <w:rsid w:val="38C7418E"/>
    <w:rsid w:val="393F208D"/>
    <w:rsid w:val="3B4C2C41"/>
    <w:rsid w:val="3BC5739B"/>
    <w:rsid w:val="3D855216"/>
    <w:rsid w:val="42340929"/>
    <w:rsid w:val="42B04C67"/>
    <w:rsid w:val="42EF452D"/>
    <w:rsid w:val="48310C7F"/>
    <w:rsid w:val="48D969E9"/>
    <w:rsid w:val="48FF630F"/>
    <w:rsid w:val="49746CAE"/>
    <w:rsid w:val="4E8C27BF"/>
    <w:rsid w:val="4F2633C7"/>
    <w:rsid w:val="5177081B"/>
    <w:rsid w:val="51D27B8C"/>
    <w:rsid w:val="56BB2E72"/>
    <w:rsid w:val="586F2E10"/>
    <w:rsid w:val="5B9D3699"/>
    <w:rsid w:val="5BBC4B8E"/>
    <w:rsid w:val="5BDA1BC0"/>
    <w:rsid w:val="5D266030"/>
    <w:rsid w:val="5DA3276F"/>
    <w:rsid w:val="5F9D1513"/>
    <w:rsid w:val="620A3FE6"/>
    <w:rsid w:val="65106DD2"/>
    <w:rsid w:val="66D67240"/>
    <w:rsid w:val="67A9489F"/>
    <w:rsid w:val="68FE73CF"/>
    <w:rsid w:val="6AC41116"/>
    <w:rsid w:val="6CCC46AB"/>
    <w:rsid w:val="6EAB2ECF"/>
    <w:rsid w:val="6F726117"/>
    <w:rsid w:val="6FFA5DD7"/>
    <w:rsid w:val="71CB0848"/>
    <w:rsid w:val="76C73461"/>
    <w:rsid w:val="794D6BD1"/>
    <w:rsid w:val="7A434851"/>
    <w:rsid w:val="7C62146C"/>
    <w:rsid w:val="7F611C8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unhideWhenUsed/>
    <w:qFormat/>
    <w:uiPriority w:val="0"/>
    <w:pPr>
      <w:keepNext/>
      <w:keepLines/>
      <w:spacing w:line="413" w:lineRule="auto"/>
      <w:outlineLvl w:val="1"/>
    </w:pPr>
    <w:rPr>
      <w:rFonts w:ascii="Arial" w:hAnsi="Arial" w:eastAsia="黑体"/>
      <w:b/>
      <w:sz w:val="32"/>
    </w:rPr>
  </w:style>
  <w:style w:type="character" w:default="1" w:styleId="10">
    <w:name w:val="Default Paragraph Font"/>
    <w:unhideWhenUsed/>
    <w:uiPriority w:val="1"/>
  </w:style>
  <w:style w:type="table" w:default="1" w:styleId="11">
    <w:name w:val="Normal Table"/>
    <w:unhideWhenUsed/>
    <w:qFormat/>
    <w:uiPriority w:val="99"/>
    <w:tblPr>
      <w:tblStyle w:val="11"/>
      <w:tblLayout w:type="fixed"/>
      <w:tblCellMar>
        <w:top w:w="0" w:type="dxa"/>
        <w:left w:w="108" w:type="dxa"/>
        <w:bottom w:w="0" w:type="dxa"/>
        <w:right w:w="108" w:type="dxa"/>
      </w:tblCellMar>
    </w:tblPr>
  </w:style>
  <w:style w:type="paragraph" w:styleId="2">
    <w:name w:val="Body Text"/>
    <w:basedOn w:val="1"/>
    <w:next w:val="3"/>
    <w:uiPriority w:val="0"/>
    <w:pPr>
      <w:widowControl/>
      <w:spacing w:before="0" w:beforeAutospacing="0" w:after="0" w:afterAutospacing="0"/>
      <w:ind w:left="0" w:right="0"/>
      <w:jc w:val="left"/>
    </w:pPr>
    <w:rPr>
      <w:rFonts w:hint="eastAsia" w:ascii="方正仿宋_GBK" w:hAnsi="宋体" w:eastAsia="方正仿宋_GBK" w:cs="宋体"/>
      <w:kern w:val="0"/>
      <w:sz w:val="32"/>
      <w:szCs w:val="32"/>
      <w:lang w:val="en-US" w:eastAsia="zh-CN"/>
    </w:rPr>
  </w:style>
  <w:style w:type="paragraph" w:styleId="3">
    <w:name w:val="toc 5"/>
    <w:basedOn w:val="1"/>
    <w:next w:val="1"/>
    <w:uiPriority w:val="0"/>
    <w:pPr>
      <w:widowControl/>
      <w:spacing w:before="0" w:beforeAutospacing="0" w:after="0" w:afterAutospacing="0" w:line="600" w:lineRule="exact"/>
      <w:ind w:left="0" w:right="0" w:firstLine="200" w:firstLineChars="200"/>
      <w:jc w:val="left"/>
    </w:pPr>
    <w:rPr>
      <w:rFonts w:hint="eastAsia" w:ascii="方正黑体_GBK" w:hAnsi="宋体" w:eastAsia="方正黑体_GBK" w:cs="宋体"/>
      <w:kern w:val="0"/>
      <w:sz w:val="32"/>
      <w:szCs w:val="32"/>
      <w:lang w:val="en-US" w:eastAsia="zh-CN"/>
    </w:rPr>
  </w:style>
  <w:style w:type="paragraph" w:styleId="6">
    <w:name w:val="Balloon Text"/>
    <w:basedOn w:val="1"/>
    <w:link w:val="13"/>
    <w:uiPriority w:val="0"/>
    <w:rPr>
      <w:sz w:val="18"/>
      <w:szCs w:val="18"/>
    </w:rPr>
  </w:style>
  <w:style w:type="paragraph" w:styleId="7">
    <w:name w:val="footer"/>
    <w:basedOn w:val="1"/>
    <w:link w:val="14"/>
    <w:uiPriority w:val="0"/>
    <w:pPr>
      <w:tabs>
        <w:tab w:val="center" w:pos="4153"/>
        <w:tab w:val="right" w:pos="8306"/>
      </w:tabs>
      <w:snapToGrid w:val="0"/>
      <w:jc w:val="left"/>
    </w:pPr>
    <w:rPr>
      <w:sz w:val="18"/>
      <w:szCs w:val="18"/>
    </w:rPr>
  </w:style>
  <w:style w:type="paragraph" w:styleId="8">
    <w:name w:val="header"/>
    <w:basedOn w:val="1"/>
    <w:link w:val="15"/>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paragraph" w:customStyle="1" w:styleId="12">
    <w:name w:val="List Paragraph"/>
    <w:basedOn w:val="1"/>
    <w:qFormat/>
    <w:uiPriority w:val="34"/>
    <w:pPr>
      <w:ind w:firstLine="420" w:firstLineChars="200"/>
    </w:pPr>
  </w:style>
  <w:style w:type="character" w:customStyle="1" w:styleId="13">
    <w:name w:val="批注框文本 Char"/>
    <w:link w:val="6"/>
    <w:uiPriority w:val="0"/>
    <w:rPr>
      <w:kern w:val="2"/>
      <w:sz w:val="18"/>
      <w:szCs w:val="18"/>
    </w:rPr>
  </w:style>
  <w:style w:type="character" w:customStyle="1" w:styleId="14">
    <w:name w:val="页脚 Char"/>
    <w:link w:val="7"/>
    <w:uiPriority w:val="0"/>
    <w:rPr>
      <w:kern w:val="2"/>
      <w:sz w:val="18"/>
      <w:szCs w:val="18"/>
    </w:rPr>
  </w:style>
  <w:style w:type="character" w:customStyle="1" w:styleId="15">
    <w:name w:val="页眉 Char"/>
    <w:link w:val="8"/>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9</Pages>
  <Words>317</Words>
  <Characters>1807</Characters>
  <Lines>15</Lines>
  <Paragraphs>4</Paragraphs>
  <ScaleCrop>false</ScaleCrop>
  <LinksUpToDate>false</LinksUpToDate>
  <CharactersWithSpaces>0</CharactersWithSpaces>
  <Application>WPS Office_9.1.0.5087_{F1E327BC-269C-435d-A152-05C5408002CA}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2018-12-17T06:47:00Z</dcterms:created>
  <dc:creator>Administrator</dc:creator>
  <cp:lastModifiedBy>acer</cp:lastModifiedBy>
  <cp:lastPrinted>2018-01-02T08:11:00Z</cp:lastPrinted>
  <dcterms:modified xsi:type="dcterms:W3CDTF">2024-02-22T04:07:35Z</dcterms:modified>
  <dc:title>丰都县仙女湖镇卫生院2023年部门预算情况说明</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2052-9.1.0.5087</vt:lpwstr>
  </property>
  <property fmtid="{D5CDD505-2E9C-101B-9397-08002B2CF9AE}" pid="3" name="ICV">
    <vt:lpwstr>EAD3DD30973C4048B3E40EFCE9F20F74_13</vt:lpwstr>
  </property>
</Properties>
</file>