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丰都县三元中心卫生院</w:t>
      </w:r>
    </w:p>
    <w:p>
      <w:pPr>
        <w:spacing w:line="600" w:lineRule="exact"/>
        <w:jc w:val="center"/>
        <w:rPr>
          <w:rFonts w:hint="eastAsia" w:ascii="方正小标宋_GBK" w:hAnsi="华文中宋" w:eastAsia="方正小标宋_GBK" w:cs="华文中宋"/>
          <w:sz w:val="44"/>
          <w:szCs w:val="44"/>
        </w:rPr>
      </w:pPr>
      <w:r>
        <w:rPr>
          <w:rFonts w:hint="eastAsia" w:ascii="方正小标宋_GBK" w:hAnsi="华文中宋" w:eastAsia="方正小标宋_GBK" w:cs="华文中宋"/>
          <w:sz w:val="44"/>
          <w:szCs w:val="44"/>
        </w:rPr>
        <w:t>2024年部门预算情况说明</w:t>
      </w:r>
    </w:p>
    <w:p>
      <w:pPr>
        <w:spacing w:line="600" w:lineRule="exact"/>
        <w:ind w:firstLine="880" w:firstLineChars="200"/>
        <w:jc w:val="center"/>
        <w:rPr>
          <w:rFonts w:hint="eastAsia" w:ascii="方正小标宋_GBK" w:hAnsi="华文中宋" w:eastAsia="方正小标宋_GBK" w:cs="华文中宋"/>
          <w:sz w:val="44"/>
          <w:szCs w:val="44"/>
        </w:rPr>
      </w:pP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单位基本情况</w:t>
      </w:r>
    </w:p>
    <w:p>
      <w:pPr>
        <w:numPr>
          <w:ilvl w:val="0"/>
          <w:numId w:val="2"/>
        </w:numPr>
        <w:spacing w:line="600" w:lineRule="exact"/>
        <w:ind w:firstLine="640" w:firstLineChars="200"/>
        <w:rPr>
          <w:rFonts w:hint="eastAsia" w:ascii="方正楷体_GBK" w:hAnsi="仿宋_GB2312" w:eastAsia="方正楷体_GBK" w:cs="仿宋_GB2312"/>
          <w:sz w:val="32"/>
        </w:rPr>
      </w:pPr>
      <w:r>
        <w:rPr>
          <w:rFonts w:hint="eastAsia" w:ascii="方正楷体_GBK" w:hAnsi="仿宋_GB2312" w:eastAsia="方正楷体_GBK" w:cs="仿宋_GB2312"/>
          <w:sz w:val="32"/>
        </w:rPr>
        <w:t>职能职责。</w:t>
      </w:r>
    </w:p>
    <w:p>
      <w:pPr>
        <w:numPr>
          <w:numId w:val="0"/>
        </w:num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1.公共卫生服务：负责辖区城乡居民健康档案管理、健康教育、预防接种、儿童健康管理、孕产妇健康管理、老年人健康管理、高血压患者健康管理、2型糖尿病患者健康管理、重性精神疾病患者管理；中医药健康管理和疾病康复；疾病控制、传染病及突发公共卫生事件报告和处理等。负责辖区其他公共卫生服务项目。</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2.基本医疗服务：开展一般常见病、多发病、地方病的基本医疗服务；现场救护和转诊服务；慢性病管理。</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3.计划生育服务：开展避孕节育、生殖健康、优生服务和家庭保健的咨询、指导和技术服务。</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4.协助乡镇政府制定和组织实施初级卫生保健、卫生事业发展规划和年度计划，开展爱国卫生工作。</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5.指导辖区内诊所、村卫生室业务工作，对村医和村妇幼保健人员进行相关技能培训，做好医疗卫生信息统计报告工作，完整、及时、准确报告相关信息，逐步推进乡村卫生服务一体化管理。</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6.开展城乡居民医疗保险政策法规宣传与咨询，协助做好相应的医疗服务和补偿结算等工作。</w:t>
      </w:r>
    </w:p>
    <w:p>
      <w:pPr>
        <w:spacing w:line="600" w:lineRule="exact"/>
        <w:ind w:firstLine="640" w:firstLineChars="200"/>
        <w:rPr>
          <w:rFonts w:hint="eastAsia" w:ascii="方正楷体_GBK" w:hAnsi="仿宋_GB2312" w:eastAsia="方正楷体_GBK" w:cs="仿宋_GB2312"/>
          <w:sz w:val="32"/>
        </w:rPr>
      </w:pPr>
      <w:r>
        <w:rPr>
          <w:rFonts w:hint="eastAsia" w:ascii="仿宋_GB2312" w:hAnsi="仿宋_GB2312" w:eastAsia="仿宋_GB2312" w:cs="仿宋_GB2312"/>
          <w:sz w:val="32"/>
        </w:rPr>
        <w:t>7.负责辖区公共卫生管理；协助开展辖区内卫生监督工作，承担区域内公共卫生信息收集与报告。</w:t>
      </w:r>
    </w:p>
    <w:p>
      <w:pPr>
        <w:pStyle w:val="8"/>
        <w:tabs>
          <w:tab w:val="center" w:pos="4153"/>
          <w:tab w:val="left" w:pos="7275"/>
        </w:tabs>
        <w:spacing w:line="600" w:lineRule="exact"/>
        <w:ind w:left="640" w:firstLine="0" w:firstLineChars="0"/>
        <w:jc w:val="left"/>
        <w:rPr>
          <w:rFonts w:hint="eastAsia" w:ascii="仿宋_GB2312" w:hAnsi="仿宋_GB2312" w:eastAsia="仿宋_GB2312" w:cs="仿宋_GB2312"/>
          <w:sz w:val="32"/>
        </w:rPr>
      </w:pPr>
      <w:r>
        <w:rPr>
          <w:rFonts w:hint="eastAsia" w:ascii="方正楷体_GBK" w:hAnsi="仿宋_GB2312" w:eastAsia="方正楷体_GBK" w:cs="仿宋_GB2312"/>
          <w:sz w:val="32"/>
        </w:rPr>
        <w:t>（二）单位构成。</w:t>
      </w:r>
    </w:p>
    <w:p>
      <w:pPr>
        <w:spacing w:line="600" w:lineRule="exact"/>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rPr>
        <w:t>丰都县三元中心卫生院属卫生健康委下面的二级预算单位。内设公共卫生科、内儿科、中医科、放射科、检验科、办公室、数字化接种门诊等科室。有彩超、全自动生化分析仪、呼吸机、救护车等大型医疗设备。编制床位40张，实际开放床位52张。</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部门</w:t>
      </w:r>
      <w:r>
        <w:rPr>
          <w:rFonts w:ascii="黑体" w:hAnsi="黑体" w:eastAsia="黑体" w:cs="仿宋_GB2312"/>
          <w:sz w:val="32"/>
        </w:rPr>
        <w:t>收支总体情况</w:t>
      </w:r>
    </w:p>
    <w:p>
      <w:pPr>
        <w:numPr>
          <w:ilvl w:val="0"/>
          <w:numId w:val="3"/>
        </w:numPr>
        <w:spacing w:line="600" w:lineRule="exact"/>
        <w:ind w:firstLine="640" w:firstLineChars="200"/>
        <w:rPr>
          <w:rFonts w:hint="eastAsia" w:ascii="仿宋_GB2312" w:hAnsi="仿宋_GB2312" w:eastAsia="仿宋_GB2312" w:cs="仿宋_GB2312"/>
          <w:sz w:val="32"/>
        </w:rPr>
      </w:pPr>
      <w:r>
        <w:rPr>
          <w:rFonts w:hint="eastAsia" w:ascii="方正楷体_GBK" w:hAnsi="仿宋_GB2312" w:eastAsia="方正楷体_GBK" w:cs="仿宋_GB2312"/>
          <w:sz w:val="32"/>
        </w:rPr>
        <w:t>收入预算：</w:t>
      </w:r>
      <w:r>
        <w:rPr>
          <w:rFonts w:hint="eastAsia" w:ascii="仿宋_GB2312" w:hAnsi="仿宋_GB2312" w:eastAsia="仿宋_GB2312" w:cs="仿宋_GB2312"/>
          <w:sz w:val="32"/>
        </w:rPr>
        <w:t>2024年年初预算数568.18万元，其中：一般公共预算拨款33.18万元，政府性基金预算拨款</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万元，国有资本经营预算拨款</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万元，事业收入535</w:t>
      </w:r>
      <w:r>
        <w:rPr>
          <w:rFonts w:hint="eastAsia" w:ascii="仿宋_GB2312" w:hAnsi="仿宋_GB2312" w:eastAsia="仿宋_GB2312" w:cs="仿宋_GB2312"/>
          <w:sz w:val="32"/>
          <w:lang w:val="en-US" w:eastAsia="zh-CN"/>
        </w:rPr>
        <w:t>.00</w:t>
      </w:r>
      <w:r>
        <w:rPr>
          <w:rFonts w:hint="eastAsia" w:ascii="仿宋_GB2312" w:hAnsi="仿宋_GB2312" w:eastAsia="仿宋_GB2312" w:cs="仿宋_GB2312"/>
          <w:sz w:val="32"/>
        </w:rPr>
        <w:t>万</w:t>
      </w:r>
      <w:r>
        <w:rPr>
          <w:rFonts w:ascii="仿宋_GB2312" w:hAnsi="仿宋_GB2312" w:eastAsia="仿宋_GB2312" w:cs="仿宋_GB2312"/>
          <w:sz w:val="32"/>
        </w:rPr>
        <w:t>元，</w:t>
      </w:r>
      <w:r>
        <w:rPr>
          <w:rFonts w:hint="eastAsia" w:ascii="仿宋_GB2312" w:hAnsi="仿宋_GB2312" w:eastAsia="仿宋_GB2312" w:cs="仿宋_GB2312"/>
          <w:sz w:val="32"/>
        </w:rPr>
        <w:t>事业单位经营收入</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w:t>
      </w:r>
      <w:r>
        <w:rPr>
          <w:rFonts w:ascii="仿宋_GB2312" w:hAnsi="仿宋_GB2312" w:eastAsia="仿宋_GB2312" w:cs="仿宋_GB2312"/>
          <w:sz w:val="32"/>
        </w:rPr>
        <w:t>，其他收入</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万元。一般公共预算拨款较去年</w:t>
      </w:r>
      <w:r>
        <w:rPr>
          <w:rFonts w:hint="eastAsia" w:ascii="仿宋_GB2312" w:hAnsi="仿宋_GB2312" w:eastAsia="仿宋_GB2312" w:cs="仿宋_GB2312"/>
          <w:sz w:val="32"/>
          <w:lang w:val="en-US" w:eastAsia="zh-CN"/>
        </w:rPr>
        <w:t>减少了11.67</w:t>
      </w:r>
      <w:r>
        <w:rPr>
          <w:rFonts w:hint="eastAsia" w:ascii="仿宋_GB2312" w:hAnsi="仿宋_GB2312" w:eastAsia="仿宋_GB2312" w:cs="仿宋_GB2312"/>
          <w:sz w:val="32"/>
        </w:rPr>
        <w:t>万元，主要是其他行政事业单位养老支出拨款减少了</w:t>
      </w:r>
      <w:r>
        <w:rPr>
          <w:rFonts w:hint="eastAsia" w:ascii="仿宋_GB2312" w:hAnsi="仿宋_GB2312" w:eastAsia="仿宋_GB2312" w:cs="仿宋_GB2312"/>
          <w:sz w:val="32"/>
          <w:lang w:val="en-US" w:eastAsia="zh-CN"/>
        </w:rPr>
        <w:t>3.2</w:t>
      </w:r>
      <w:r>
        <w:rPr>
          <w:rFonts w:hint="eastAsia" w:ascii="仿宋_GB2312" w:hAnsi="仿宋_GB2312" w:eastAsia="仿宋_GB2312" w:cs="仿宋_GB2312"/>
          <w:sz w:val="32"/>
        </w:rPr>
        <w:t>2万元</w:t>
      </w:r>
      <w:r>
        <w:rPr>
          <w:rFonts w:hint="eastAsia" w:ascii="仿宋_GB2312" w:hAnsi="仿宋_GB2312" w:eastAsia="仿宋_GB2312" w:cs="仿宋_GB2312"/>
          <w:sz w:val="32"/>
          <w:lang w:eastAsia="zh-CN"/>
        </w:rPr>
        <w:t>，乡镇卫生院</w:t>
      </w:r>
      <w:r>
        <w:rPr>
          <w:rFonts w:hint="eastAsia" w:ascii="仿宋_GB2312" w:hAnsi="仿宋_GB2312" w:eastAsia="仿宋_GB2312" w:cs="仿宋_GB2312"/>
          <w:sz w:val="32"/>
          <w:lang w:val="en-US" w:eastAsia="zh-CN"/>
        </w:rPr>
        <w:t>基本支出拨款减少了8.45万元</w:t>
      </w:r>
      <w:r>
        <w:rPr>
          <w:rFonts w:hint="eastAsia" w:ascii="仿宋_GB2312" w:hAnsi="仿宋_GB2312" w:eastAsia="仿宋_GB2312" w:cs="仿宋_GB2312"/>
          <w:sz w:val="32"/>
        </w:rPr>
        <w:t>；事业收入较去年</w:t>
      </w:r>
      <w:r>
        <w:rPr>
          <w:rFonts w:hint="eastAsia" w:ascii="仿宋_GB2312" w:hAnsi="仿宋_GB2312" w:eastAsia="仿宋_GB2312" w:cs="仿宋_GB2312"/>
          <w:sz w:val="32"/>
          <w:lang w:val="en-US" w:eastAsia="zh-CN"/>
        </w:rPr>
        <w:t>增加了25.00</w:t>
      </w:r>
      <w:r>
        <w:rPr>
          <w:rFonts w:hint="eastAsia" w:ascii="仿宋_GB2312" w:hAnsi="仿宋_GB2312" w:eastAsia="仿宋_GB2312" w:cs="仿宋_GB2312"/>
          <w:sz w:val="32"/>
        </w:rPr>
        <w:t>万元，主要是</w:t>
      </w:r>
      <w:r>
        <w:rPr>
          <w:rFonts w:hint="eastAsia" w:ascii="仿宋_GB2312" w:hAnsi="仿宋_GB2312" w:eastAsia="仿宋_GB2312" w:cs="仿宋_GB2312"/>
          <w:sz w:val="32"/>
          <w:lang w:val="en-US" w:eastAsia="zh-CN"/>
        </w:rPr>
        <w:t>医院提高服务质量，就诊人次增加</w:t>
      </w:r>
      <w:r>
        <w:rPr>
          <w:rFonts w:hint="eastAsia" w:ascii="仿宋_GB2312" w:hAnsi="仿宋_GB2312" w:eastAsia="仿宋_GB2312" w:cs="仿宋_GB2312"/>
          <w:sz w:val="32"/>
        </w:rPr>
        <w:t>。</w:t>
      </w:r>
    </w:p>
    <w:p>
      <w:pPr>
        <w:numPr>
          <w:numId w:val="0"/>
        </w:numPr>
        <w:spacing w:line="600" w:lineRule="exact"/>
        <w:ind w:firstLine="640" w:firstLineChars="200"/>
        <w:rPr>
          <w:rFonts w:ascii="仿宋_GB2312" w:hAnsi="仿宋_GB2312" w:eastAsia="仿宋_GB2312" w:cs="仿宋_GB2312"/>
          <w:sz w:val="32"/>
        </w:rPr>
      </w:pPr>
      <w:r>
        <w:rPr>
          <w:rFonts w:hint="eastAsia" w:ascii="方正楷体_GBK" w:hAnsi="仿宋_GB2312" w:eastAsia="方正楷体_GBK" w:cs="仿宋_GB2312"/>
          <w:sz w:val="32"/>
        </w:rPr>
        <w:t>（二）支出预算：</w:t>
      </w:r>
      <w:r>
        <w:rPr>
          <w:rFonts w:hint="eastAsia" w:ascii="仿宋_GB2312" w:hAnsi="仿宋_GB2312" w:eastAsia="仿宋_GB2312" w:cs="仿宋_GB2312"/>
          <w:sz w:val="32"/>
        </w:rPr>
        <w:t>2024年年初预算数568.18万元，其中：一般公共服务支出</w:t>
      </w:r>
      <w:r>
        <w:rPr>
          <w:rFonts w:hint="eastAsia" w:ascii="仿宋_GB2312" w:hAnsi="仿宋_GB2312" w:eastAsia="仿宋_GB2312" w:cs="仿宋_GB2312"/>
          <w:color w:val="auto"/>
          <w:sz w:val="32"/>
          <w:lang w:val="en-US" w:eastAsia="zh-CN"/>
        </w:rPr>
        <w:t>0.00</w:t>
      </w:r>
      <w:r>
        <w:rPr>
          <w:rFonts w:hint="eastAsia" w:ascii="仿宋_GB2312" w:hAnsi="仿宋_GB2312" w:eastAsia="仿宋_GB2312" w:cs="仿宋_GB2312"/>
          <w:sz w:val="32"/>
        </w:rPr>
        <w:t>万元，教育支出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万元，社会保障和就业支出</w:t>
      </w:r>
      <w:r>
        <w:rPr>
          <w:rFonts w:hint="eastAsia" w:ascii="仿宋_GB2312" w:hAnsi="仿宋_GB2312" w:eastAsia="仿宋_GB2312" w:cs="仿宋_GB2312"/>
          <w:sz w:val="32"/>
          <w:lang w:val="en-US" w:eastAsia="zh-CN"/>
        </w:rPr>
        <w:t>28.98</w:t>
      </w:r>
      <w:r>
        <w:rPr>
          <w:rFonts w:hint="eastAsia" w:ascii="仿宋_GB2312" w:hAnsi="仿宋_GB2312" w:eastAsia="仿宋_GB2312" w:cs="仿宋_GB2312"/>
          <w:sz w:val="32"/>
        </w:rPr>
        <w:t>万元，卫生健康支出</w:t>
      </w:r>
      <w:r>
        <w:rPr>
          <w:rFonts w:hint="eastAsia" w:ascii="仿宋_GB2312" w:hAnsi="仿宋_GB2312" w:eastAsia="仿宋_GB2312" w:cs="仿宋_GB2312"/>
          <w:sz w:val="32"/>
          <w:lang w:val="en-US" w:eastAsia="zh-CN"/>
        </w:rPr>
        <w:t>539.20</w:t>
      </w:r>
      <w:r>
        <w:rPr>
          <w:rFonts w:hint="eastAsia" w:ascii="仿宋_GB2312" w:hAnsi="仿宋_GB2312" w:eastAsia="仿宋_GB2312" w:cs="仿宋_GB2312"/>
          <w:sz w:val="32"/>
        </w:rPr>
        <w:t>万元，住房保障支出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万元。支出较去年增加13.33</w:t>
      </w:r>
      <w:r>
        <w:rPr>
          <w:rFonts w:ascii="仿宋_GB2312" w:hAnsi="仿宋_GB2312" w:eastAsia="仿宋_GB2312" w:cs="仿宋_GB2312"/>
          <w:sz w:val="32"/>
        </w:rPr>
        <w:t xml:space="preserve"> </w:t>
      </w:r>
      <w:r>
        <w:rPr>
          <w:rFonts w:hint="eastAsia" w:ascii="仿宋_GB2312" w:hAnsi="仿宋_GB2312" w:eastAsia="仿宋_GB2312" w:cs="仿宋_GB2312"/>
          <w:sz w:val="32"/>
        </w:rPr>
        <w:t>万元，主要是基本支出</w:t>
      </w:r>
      <w:r>
        <w:rPr>
          <w:rFonts w:hint="eastAsia" w:ascii="仿宋_GB2312" w:hAnsi="仿宋_GB2312" w:eastAsia="仿宋_GB2312" w:cs="仿宋_GB2312"/>
          <w:sz w:val="32"/>
          <w:lang w:val="en-US" w:eastAsia="zh-CN"/>
        </w:rPr>
        <w:t>减少1.82万</w:t>
      </w:r>
      <w:r>
        <w:rPr>
          <w:rFonts w:hint="eastAsia" w:ascii="仿宋_GB2312" w:hAnsi="仿宋_GB2312" w:eastAsia="仿宋_GB2312" w:cs="仿宋_GB2312"/>
          <w:sz w:val="32"/>
        </w:rPr>
        <w:t>元，项目支出增加</w:t>
      </w:r>
      <w:r>
        <w:rPr>
          <w:rFonts w:hint="eastAsia" w:ascii="仿宋_GB2312" w:hAnsi="仿宋_GB2312" w:eastAsia="仿宋_GB2312" w:cs="仿宋_GB2312"/>
          <w:sz w:val="32"/>
          <w:lang w:val="en-US" w:eastAsia="zh-CN"/>
        </w:rPr>
        <w:t>15.15</w:t>
      </w:r>
      <w:r>
        <w:rPr>
          <w:rFonts w:hint="eastAsia" w:ascii="仿宋_GB2312" w:hAnsi="仿宋_GB2312" w:eastAsia="仿宋_GB2312" w:cs="仿宋_GB2312"/>
          <w:sz w:val="32"/>
        </w:rPr>
        <w:t>万元。</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部门预算情况说明</w:t>
      </w:r>
    </w:p>
    <w:p>
      <w:pPr>
        <w:spacing w:line="600" w:lineRule="exact"/>
        <w:ind w:firstLine="640" w:firstLineChars="200"/>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rPr>
        <w:t>2024年一般公共预算财政拨款收入</w:t>
      </w:r>
      <w:r>
        <w:rPr>
          <w:rFonts w:hint="eastAsia" w:ascii="仿宋_GB2312" w:hAnsi="仿宋_GB2312" w:eastAsia="仿宋_GB2312" w:cs="仿宋_GB2312"/>
          <w:sz w:val="32"/>
          <w:lang w:val="en-US" w:eastAsia="zh-CN"/>
        </w:rPr>
        <w:t>33.18</w:t>
      </w:r>
      <w:r>
        <w:rPr>
          <w:rFonts w:hint="eastAsia" w:ascii="仿宋_GB2312" w:hAnsi="仿宋_GB2312" w:eastAsia="仿宋_GB2312" w:cs="仿宋_GB2312"/>
          <w:sz w:val="32"/>
        </w:rPr>
        <w:t>万元，一般公共预算财政拨款支出</w:t>
      </w:r>
      <w:r>
        <w:rPr>
          <w:rFonts w:hint="eastAsia" w:ascii="仿宋_GB2312" w:hAnsi="仿宋_GB2312" w:eastAsia="仿宋_GB2312" w:cs="仿宋_GB2312"/>
          <w:sz w:val="32"/>
          <w:lang w:val="en-US" w:eastAsia="zh-CN"/>
        </w:rPr>
        <w:t>33.18</w:t>
      </w:r>
      <w:r>
        <w:rPr>
          <w:rFonts w:hint="eastAsia" w:ascii="仿宋_GB2312" w:hAnsi="仿宋_GB2312" w:eastAsia="仿宋_GB2312" w:cs="仿宋_GB2312"/>
          <w:sz w:val="32"/>
        </w:rPr>
        <w:t>万元，比2023年减少</w:t>
      </w:r>
      <w:r>
        <w:rPr>
          <w:rFonts w:hint="eastAsia" w:ascii="仿宋_GB2312" w:hAnsi="仿宋_GB2312" w:eastAsia="仿宋_GB2312" w:cs="仿宋_GB2312"/>
          <w:sz w:val="32"/>
          <w:lang w:val="en-US" w:eastAsia="zh-CN"/>
        </w:rPr>
        <w:t>11.67</w:t>
      </w:r>
      <w:r>
        <w:rPr>
          <w:rFonts w:hint="eastAsia" w:ascii="仿宋_GB2312" w:hAnsi="仿宋_GB2312" w:eastAsia="仿宋_GB2312" w:cs="仿宋_GB2312"/>
          <w:sz w:val="32"/>
        </w:rPr>
        <w:t>万元。其中</w:t>
      </w:r>
      <w:r>
        <w:rPr>
          <w:rFonts w:ascii="仿宋_GB2312" w:hAnsi="仿宋_GB2312" w:eastAsia="仿宋_GB2312" w:cs="仿宋_GB2312"/>
          <w:sz w:val="32"/>
        </w:rPr>
        <w:t>：</w:t>
      </w:r>
      <w:r>
        <w:rPr>
          <w:rFonts w:hint="eastAsia" w:ascii="仿宋_GB2312" w:hAnsi="仿宋_GB2312" w:eastAsia="仿宋_GB2312" w:cs="仿宋_GB2312"/>
          <w:sz w:val="32"/>
        </w:rPr>
        <w:t>基本支出</w:t>
      </w:r>
      <w:r>
        <w:rPr>
          <w:rFonts w:hint="eastAsia" w:ascii="仿宋_GB2312" w:hAnsi="仿宋_GB2312" w:eastAsia="仿宋_GB2312" w:cs="仿宋_GB2312"/>
          <w:sz w:val="32"/>
          <w:lang w:val="en-US" w:eastAsia="zh-CN"/>
        </w:rPr>
        <w:t>33.18</w:t>
      </w:r>
      <w:r>
        <w:rPr>
          <w:rFonts w:hint="eastAsia" w:ascii="仿宋_GB2312" w:hAnsi="仿宋_GB2312" w:eastAsia="仿宋_GB2312" w:cs="仿宋_GB2312"/>
          <w:sz w:val="32"/>
        </w:rPr>
        <w:t>万元，比2023年减少</w:t>
      </w:r>
      <w:r>
        <w:rPr>
          <w:rFonts w:hint="eastAsia" w:ascii="仿宋_GB2312" w:hAnsi="仿宋_GB2312" w:eastAsia="仿宋_GB2312" w:cs="仿宋_GB2312"/>
          <w:sz w:val="32"/>
          <w:lang w:val="en-US" w:eastAsia="zh-CN"/>
        </w:rPr>
        <w:t>1.82</w:t>
      </w:r>
      <w:r>
        <w:rPr>
          <w:rFonts w:hint="eastAsia" w:ascii="仿宋_GB2312" w:hAnsi="仿宋_GB2312" w:eastAsia="仿宋_GB2312" w:cs="仿宋_GB2312"/>
          <w:sz w:val="32"/>
        </w:rPr>
        <w:t>万元，主要是其他行政事业单位养老支出</w:t>
      </w:r>
      <w:r>
        <w:rPr>
          <w:rFonts w:hint="eastAsia" w:ascii="仿宋_GB2312" w:hAnsi="仿宋_GB2312" w:eastAsia="仿宋_GB2312" w:cs="仿宋_GB2312"/>
          <w:sz w:val="32"/>
          <w:lang w:val="en-US" w:eastAsia="zh-CN"/>
        </w:rPr>
        <w:t>减少3.22万元</w:t>
      </w:r>
      <w:r>
        <w:rPr>
          <w:rFonts w:hint="eastAsia" w:ascii="仿宋_GB2312" w:hAnsi="仿宋_GB2312" w:eastAsia="仿宋_GB2312" w:cs="仿宋_GB2312"/>
          <w:sz w:val="32"/>
        </w:rPr>
        <w:t>，</w:t>
      </w:r>
      <w:r>
        <w:rPr>
          <w:rFonts w:hint="eastAsia" w:ascii="仿宋_GB2312" w:hAnsi="仿宋_GB2312" w:eastAsia="仿宋_GB2312" w:cs="仿宋_GB2312"/>
          <w:sz w:val="32"/>
          <w:lang w:val="en-US" w:eastAsia="zh-CN"/>
        </w:rPr>
        <w:t>乡镇卫生院支出拨款增加1.40万元，</w:t>
      </w:r>
      <w:r>
        <w:rPr>
          <w:rFonts w:hint="eastAsia" w:ascii="仿宋_GB2312" w:hAnsi="仿宋_GB2312" w:eastAsia="仿宋_GB2312" w:cs="仿宋_GB2312"/>
          <w:sz w:val="32"/>
        </w:rPr>
        <w:t>主要用于保障退休人员补助；项目支出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万元，比2023年</w:t>
      </w:r>
      <w:r>
        <w:rPr>
          <w:rFonts w:hint="eastAsia" w:ascii="仿宋_GB2312" w:hAnsi="仿宋_GB2312" w:eastAsia="仿宋_GB2312" w:cs="仿宋_GB2312"/>
          <w:sz w:val="32"/>
          <w:lang w:val="en-US" w:eastAsia="zh-CN"/>
        </w:rPr>
        <w:t>减少9.85</w:t>
      </w:r>
      <w:r>
        <w:rPr>
          <w:rFonts w:hint="eastAsia" w:ascii="仿宋_GB2312" w:hAnsi="仿宋_GB2312" w:eastAsia="仿宋_GB2312" w:cs="仿宋_GB2312"/>
          <w:sz w:val="32"/>
        </w:rPr>
        <w:t>万元，主要原因是</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三支一扶</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lang w:val="en-US" w:eastAsia="zh-CN"/>
        </w:rPr>
        <w:t>人员转正，项目实施完毕。</w:t>
      </w:r>
    </w:p>
    <w:p>
      <w:pPr>
        <w:spacing w:line="600" w:lineRule="exact"/>
        <w:ind w:firstLine="640" w:firstLineChars="200"/>
        <w:rPr>
          <w:rFonts w:hint="eastAsia" w:ascii="仿宋_GB2312" w:hAnsi="仿宋_GB2312" w:eastAsia="仿宋_GB2312" w:cs="仿宋_GB2312"/>
          <w:sz w:val="32"/>
          <w:lang w:eastAsia="zh-CN"/>
        </w:rPr>
      </w:pPr>
      <w:r>
        <w:rPr>
          <w:rFonts w:hint="eastAsia" w:ascii="仿宋_GB2312" w:hAnsi="仿宋_GB2312" w:eastAsia="仿宋_GB2312" w:cs="仿宋_GB2312"/>
          <w:sz w:val="32"/>
        </w:rPr>
        <w:t>2024年政府性</w:t>
      </w:r>
      <w:r>
        <w:rPr>
          <w:rFonts w:ascii="仿宋_GB2312" w:hAnsi="仿宋_GB2312" w:eastAsia="仿宋_GB2312" w:cs="仿宋_GB2312"/>
          <w:sz w:val="32"/>
        </w:rPr>
        <w:t>基金预算收入</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w:t>
      </w:r>
      <w:r>
        <w:rPr>
          <w:rFonts w:ascii="仿宋_GB2312" w:hAnsi="仿宋_GB2312" w:eastAsia="仿宋_GB2312" w:cs="仿宋_GB2312"/>
          <w:sz w:val="32"/>
        </w:rPr>
        <w:t>，</w:t>
      </w:r>
      <w:r>
        <w:rPr>
          <w:rFonts w:hint="eastAsia" w:ascii="仿宋_GB2312" w:hAnsi="仿宋_GB2312" w:eastAsia="仿宋_GB2312" w:cs="仿宋_GB2312"/>
          <w:sz w:val="32"/>
        </w:rPr>
        <w:t>政府性</w:t>
      </w:r>
      <w:r>
        <w:rPr>
          <w:rFonts w:ascii="仿宋_GB2312" w:hAnsi="仿宋_GB2312" w:eastAsia="仿宋_GB2312" w:cs="仿宋_GB2312"/>
          <w:sz w:val="32"/>
        </w:rPr>
        <w:t>基金预算支出</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w:t>
      </w:r>
      <w:r>
        <w:rPr>
          <w:rFonts w:ascii="仿宋_GB2312" w:hAnsi="仿宋_GB2312" w:eastAsia="仿宋_GB2312" w:cs="仿宋_GB2312"/>
          <w:sz w:val="32"/>
        </w:rPr>
        <w:t>，</w:t>
      </w:r>
      <w:r>
        <w:rPr>
          <w:rFonts w:hint="eastAsia" w:ascii="仿宋_GB2312" w:hAnsi="仿宋_GB2312" w:eastAsia="仿宋_GB2312" w:cs="仿宋_GB2312"/>
          <w:sz w:val="32"/>
          <w:lang w:val="en-US" w:eastAsia="zh-CN"/>
        </w:rPr>
        <w:t>与上年持平。本单位</w:t>
      </w:r>
      <w:r>
        <w:rPr>
          <w:rFonts w:hint="eastAsia" w:ascii="仿宋_GB2312" w:hAnsi="仿宋_GB2312" w:eastAsia="仿宋_GB2312" w:cs="仿宋_GB2312"/>
          <w:sz w:val="32"/>
        </w:rPr>
        <w:t>2024</w:t>
      </w:r>
      <w:r>
        <w:rPr>
          <w:rFonts w:ascii="仿宋_GB2312" w:hAnsi="仿宋_GB2312" w:eastAsia="仿宋_GB2312" w:cs="仿宋_GB2312"/>
          <w:sz w:val="32"/>
        </w:rPr>
        <w:t>年</w:t>
      </w:r>
      <w:r>
        <w:rPr>
          <w:rFonts w:hint="eastAsia" w:ascii="仿宋_GB2312" w:hAnsi="仿宋_GB2312" w:eastAsia="仿宋_GB2312" w:cs="仿宋_GB2312"/>
          <w:sz w:val="32"/>
        </w:rPr>
        <w:t>无</w:t>
      </w:r>
      <w:r>
        <w:rPr>
          <w:rFonts w:ascii="仿宋_GB2312" w:hAnsi="仿宋_GB2312" w:eastAsia="仿宋_GB2312" w:cs="仿宋_GB2312"/>
          <w:sz w:val="32"/>
        </w:rPr>
        <w:t>使用政府性基金预算拨款安排的支出</w:t>
      </w:r>
      <w:r>
        <w:rPr>
          <w:rFonts w:hint="eastAsia" w:ascii="仿宋_GB2312" w:hAnsi="仿宋_GB2312" w:eastAsia="仿宋_GB2312" w:cs="仿宋_GB2312"/>
          <w:sz w:val="32"/>
          <w:lang w:eastAsia="zh-CN"/>
        </w:rPr>
        <w:t>。</w:t>
      </w:r>
    </w:p>
    <w:p>
      <w:pPr>
        <w:numPr>
          <w:ilvl w:val="0"/>
          <w:numId w:val="1"/>
        </w:numPr>
        <w:spacing w:line="600" w:lineRule="exact"/>
        <w:ind w:firstLine="640" w:firstLineChars="200"/>
        <w:rPr>
          <w:rFonts w:ascii="黑体" w:hAnsi="黑体" w:eastAsia="黑体" w:cs="仿宋_GB2312"/>
          <w:sz w:val="32"/>
        </w:rPr>
      </w:pPr>
      <w:r>
        <w:rPr>
          <w:rFonts w:hint="eastAsia" w:ascii="黑体" w:hAnsi="黑体" w:eastAsia="黑体" w:cs="仿宋_GB2312"/>
          <w:sz w:val="32"/>
        </w:rPr>
        <w:t>“三公”经费情况说明</w:t>
      </w:r>
    </w:p>
    <w:p>
      <w:pPr>
        <w:spacing w:line="600" w:lineRule="exact"/>
        <w:ind w:firstLine="600"/>
        <w:rPr>
          <w:rFonts w:hint="eastAsia" w:ascii="仿宋_GB2312" w:hAnsi="仿宋_GB2312" w:eastAsia="仿宋_GB2312" w:cs="仿宋_GB2312"/>
          <w:sz w:val="32"/>
        </w:rPr>
      </w:pPr>
      <w:r>
        <w:rPr>
          <w:rFonts w:hint="eastAsia" w:ascii="仿宋_GB2312" w:hAnsi="仿宋_GB2312" w:eastAsia="仿宋_GB2312" w:cs="仿宋_GB2312"/>
          <w:sz w:val="32"/>
        </w:rPr>
        <w:t>202</w:t>
      </w:r>
      <w:r>
        <w:rPr>
          <w:rFonts w:hint="eastAsia" w:ascii="仿宋_GB2312" w:hAnsi="仿宋_GB2312" w:eastAsia="仿宋_GB2312" w:cs="仿宋_GB2312"/>
          <w:sz w:val="32"/>
          <w:lang w:val="en-US" w:eastAsia="zh-CN"/>
        </w:rPr>
        <w:t>4</w:t>
      </w:r>
      <w:r>
        <w:rPr>
          <w:rFonts w:hint="eastAsia" w:ascii="仿宋_GB2312" w:hAnsi="仿宋_GB2312" w:eastAsia="仿宋_GB2312" w:cs="仿宋_GB2312"/>
          <w:sz w:val="32"/>
        </w:rPr>
        <w:t>年“三公”经费预算0</w:t>
      </w:r>
      <w:r>
        <w:rPr>
          <w:rFonts w:hint="eastAsia" w:ascii="仿宋_GB2312" w:hAnsi="仿宋_GB2312" w:eastAsia="仿宋_GB2312" w:cs="仿宋_GB2312"/>
          <w:sz w:val="32"/>
          <w:lang w:val="en-US" w:eastAsia="zh-CN"/>
        </w:rPr>
        <w:t>.00</w:t>
      </w:r>
      <w:r>
        <w:rPr>
          <w:rFonts w:hint="eastAsia" w:ascii="仿宋_GB2312" w:hAnsi="仿宋_GB2312" w:eastAsia="仿宋_GB2312" w:cs="仿宋_GB2312"/>
          <w:sz w:val="32"/>
        </w:rPr>
        <w:t>万元，与202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年持平。其中：因公出国（境）费用</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万元，与202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年持平；公务接待费</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万元，与202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年持平；公务用车运行维护费</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万元，与202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年持平；公务用车购置费</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万元，与202</w:t>
      </w:r>
      <w:r>
        <w:rPr>
          <w:rFonts w:hint="eastAsia" w:ascii="仿宋_GB2312" w:hAnsi="仿宋_GB2312" w:eastAsia="仿宋_GB2312" w:cs="仿宋_GB2312"/>
          <w:sz w:val="32"/>
          <w:lang w:val="en-US" w:eastAsia="zh-CN"/>
        </w:rPr>
        <w:t>3</w:t>
      </w:r>
      <w:r>
        <w:rPr>
          <w:rFonts w:hint="eastAsia" w:ascii="仿宋_GB2312" w:hAnsi="仿宋_GB2312" w:eastAsia="仿宋_GB2312" w:cs="仿宋_GB2312"/>
          <w:sz w:val="32"/>
        </w:rPr>
        <w:t>年持平。</w:t>
      </w:r>
    </w:p>
    <w:p>
      <w:pPr>
        <w:numPr>
          <w:ilvl w:val="0"/>
          <w:numId w:val="1"/>
        </w:numPr>
        <w:spacing w:line="600" w:lineRule="exact"/>
        <w:ind w:firstLine="640" w:firstLineChars="200"/>
        <w:rPr>
          <w:rFonts w:hint="eastAsia" w:ascii="黑体" w:hAnsi="黑体" w:eastAsia="黑体" w:cs="仿宋_GB2312"/>
          <w:sz w:val="32"/>
        </w:rPr>
      </w:pPr>
      <w:r>
        <w:rPr>
          <w:rFonts w:hint="eastAsia" w:ascii="黑体" w:hAnsi="黑体" w:eastAsia="黑体" w:cs="仿宋_GB2312"/>
          <w:sz w:val="32"/>
        </w:rPr>
        <w:t>其他重要</w:t>
      </w:r>
      <w:r>
        <w:rPr>
          <w:rFonts w:ascii="黑体" w:hAnsi="黑体" w:eastAsia="黑体" w:cs="仿宋_GB2312"/>
          <w:sz w:val="32"/>
        </w:rPr>
        <w:t>事项的情况说明</w:t>
      </w:r>
    </w:p>
    <w:p>
      <w:pPr>
        <w:ind w:firstLine="640" w:firstLineChars="200"/>
        <w:rPr>
          <w:rFonts w:hint="eastAsia" w:ascii="方正楷体_GBK" w:hAnsi="仿宋_GB2312" w:eastAsia="方正楷体_GBK" w:cs="仿宋_GB2312"/>
          <w:sz w:val="32"/>
        </w:rPr>
      </w:pPr>
      <w:r>
        <w:rPr>
          <w:rFonts w:hint="eastAsia" w:ascii="方正楷体_GBK" w:hAnsi="仿宋_GB2312" w:eastAsia="方正楷体_GBK" w:cs="仿宋_GB2312"/>
          <w:sz w:val="32"/>
        </w:rPr>
        <w:t>（一）</w:t>
      </w:r>
      <w:r>
        <w:rPr>
          <w:rFonts w:hint="eastAsia" w:ascii="方正楷体_GBK" w:hAnsi="仿宋_GB2312" w:eastAsia="方正楷体_GBK" w:cs="仿宋_GB2312"/>
          <w:sz w:val="32"/>
          <w:lang w:val="en-US" w:eastAsia="zh-CN"/>
        </w:rPr>
        <w:t>机关运行经费。</w:t>
      </w:r>
      <w:bookmarkStart w:id="0" w:name="_GoBack"/>
      <w:bookmarkEnd w:id="0"/>
      <w:r>
        <w:rPr>
          <w:rFonts w:hint="eastAsia" w:ascii="方正楷体_GBK" w:hAnsi="仿宋_GB2312" w:eastAsia="方正楷体_GBK" w:cs="仿宋_GB2312"/>
          <w:sz w:val="32"/>
        </w:rPr>
        <w:t>我单位不在机关运行经费统计范围之内。</w:t>
      </w:r>
    </w:p>
    <w:p>
      <w:pPr>
        <w:ind w:firstLine="640" w:firstLineChars="200"/>
        <w:rPr>
          <w:rFonts w:ascii="仿宋_GB2312" w:hAnsi="仿宋_GB2312" w:eastAsia="仿宋_GB2312" w:cs="仿宋_GB2312"/>
          <w:sz w:val="32"/>
        </w:rPr>
      </w:pPr>
      <w:r>
        <w:rPr>
          <w:rFonts w:hint="eastAsia" w:ascii="方正楷体_GBK" w:hAnsi="仿宋_GB2312" w:eastAsia="方正楷体_GBK" w:cs="仿宋_GB2312"/>
          <w:sz w:val="32"/>
        </w:rPr>
        <w:t>（二）政府采购情况。</w:t>
      </w:r>
      <w:r>
        <w:rPr>
          <w:rFonts w:ascii="仿宋_GB2312" w:hAnsi="仿宋_GB2312" w:eastAsia="仿宋_GB2312" w:cs="仿宋_GB2312"/>
          <w:sz w:val="32"/>
        </w:rPr>
        <w:t>所属各预算单位政府采购预</w:t>
      </w:r>
      <w:r>
        <w:rPr>
          <w:rFonts w:hint="eastAsia" w:ascii="仿宋_GB2312" w:hAnsi="仿宋_GB2312" w:eastAsia="仿宋_GB2312" w:cs="仿宋_GB2312"/>
          <w:sz w:val="32"/>
        </w:rPr>
        <w:t>算</w:t>
      </w:r>
      <w:r>
        <w:rPr>
          <w:rFonts w:ascii="仿宋_GB2312" w:hAnsi="仿宋_GB2312" w:eastAsia="仿宋_GB2312" w:cs="仿宋_GB2312"/>
          <w:sz w:val="32"/>
        </w:rPr>
        <w:t>总额</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万元：政府采购货物预算</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万元、政府采购工程预算</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万元、政府采购服务预算</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万元；其中一般</w:t>
      </w:r>
      <w:r>
        <w:rPr>
          <w:rFonts w:ascii="仿宋_GB2312" w:hAnsi="仿宋_GB2312" w:eastAsia="仿宋_GB2312" w:cs="仿宋_GB2312"/>
          <w:sz w:val="32"/>
        </w:rPr>
        <w:t>公</w:t>
      </w:r>
      <w:r>
        <w:rPr>
          <w:rFonts w:hint="eastAsia" w:ascii="仿宋_GB2312" w:hAnsi="仿宋_GB2312" w:eastAsia="仿宋_GB2312" w:cs="仿宋_GB2312"/>
          <w:sz w:val="32"/>
        </w:rPr>
        <w:t>共预算</w:t>
      </w:r>
      <w:r>
        <w:rPr>
          <w:rFonts w:ascii="仿宋_GB2312" w:hAnsi="仿宋_GB2312" w:eastAsia="仿宋_GB2312" w:cs="仿宋_GB2312"/>
          <w:sz w:val="32"/>
        </w:rPr>
        <w:t>拨款政府采购</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万元：政府采购货物预算</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万元、政府采购工程预算</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万元、政府采购服务预算</w:t>
      </w:r>
      <w:r>
        <w:rPr>
          <w:rFonts w:hint="eastAsia" w:ascii="仿宋_GB2312" w:hAnsi="仿宋_GB2312" w:eastAsia="仿宋_GB2312" w:cs="仿宋_GB2312"/>
          <w:sz w:val="32"/>
          <w:lang w:val="en-US" w:eastAsia="zh-CN"/>
        </w:rPr>
        <w:t>0.00</w:t>
      </w:r>
      <w:r>
        <w:rPr>
          <w:rFonts w:hint="eastAsia" w:ascii="仿宋_GB2312" w:hAnsi="仿宋_GB2312" w:eastAsia="仿宋_GB2312" w:cs="仿宋_GB2312"/>
          <w:sz w:val="32"/>
        </w:rPr>
        <w:t>万元。</w:t>
      </w:r>
    </w:p>
    <w:p>
      <w:pPr>
        <w:ind w:firstLine="640" w:firstLineChars="200"/>
        <w:rPr>
          <w:rFonts w:ascii="仿宋_GB2312" w:hAnsi="仿宋_GB2312" w:eastAsia="仿宋_GB2312" w:cs="仿宋_GB2312"/>
          <w:sz w:val="32"/>
        </w:rPr>
      </w:pPr>
      <w:r>
        <w:rPr>
          <w:rFonts w:hint="eastAsia" w:ascii="方正楷体_GBK" w:hAnsi="仿宋_GB2312" w:eastAsia="方正楷体_GBK" w:cs="仿宋_GB2312"/>
          <w:sz w:val="32"/>
        </w:rPr>
        <w:t>（三）绩效目标设置情况。</w:t>
      </w:r>
      <w:r>
        <w:rPr>
          <w:rFonts w:hint="eastAsia" w:ascii="仿宋_GB2312" w:hAnsi="仿宋_GB2312" w:eastAsia="仿宋_GB2312" w:cs="仿宋_GB2312"/>
          <w:sz w:val="32"/>
        </w:rPr>
        <w:t>2024</w:t>
      </w:r>
      <w:r>
        <w:rPr>
          <w:rFonts w:ascii="仿宋_GB2312" w:hAnsi="仿宋_GB2312" w:eastAsia="仿宋_GB2312" w:cs="仿宋_GB2312"/>
          <w:sz w:val="32"/>
        </w:rPr>
        <w:t>年</w:t>
      </w:r>
      <w:r>
        <w:rPr>
          <w:rFonts w:hint="eastAsia" w:ascii="仿宋_GB2312" w:hAnsi="仿宋_GB2312" w:eastAsia="仿宋_GB2312" w:cs="仿宋_GB2312"/>
          <w:sz w:val="32"/>
        </w:rPr>
        <w:t>项目支出均实行了</w:t>
      </w:r>
      <w:r>
        <w:rPr>
          <w:rFonts w:ascii="仿宋_GB2312" w:hAnsi="仿宋_GB2312" w:eastAsia="仿宋_GB2312" w:cs="仿宋_GB2312"/>
          <w:sz w:val="32"/>
        </w:rPr>
        <w:t>绩效目标管理</w:t>
      </w:r>
      <w:r>
        <w:rPr>
          <w:rFonts w:hint="eastAsia" w:ascii="仿宋_GB2312" w:hAnsi="仿宋_GB2312" w:eastAsia="仿宋_GB2312" w:cs="仿宋_GB2312"/>
          <w:sz w:val="32"/>
        </w:rPr>
        <w:t>，涉及资金量</w:t>
      </w:r>
      <w:r>
        <w:rPr>
          <w:rFonts w:hint="eastAsia" w:ascii="仿宋_GB2312" w:hAnsi="仿宋_GB2312" w:eastAsia="仿宋_GB2312" w:cs="仿宋_GB2312"/>
          <w:sz w:val="32"/>
          <w:lang w:val="en-US" w:eastAsia="zh-CN"/>
        </w:rPr>
        <w:t>535.00</w:t>
      </w:r>
      <w:r>
        <w:rPr>
          <w:rFonts w:hint="eastAsia" w:ascii="仿宋_GB2312" w:hAnsi="仿宋_GB2312" w:eastAsia="仿宋_GB2312" w:cs="仿宋_GB2312"/>
          <w:sz w:val="32"/>
        </w:rPr>
        <w:t>万元。</w:t>
      </w:r>
    </w:p>
    <w:p>
      <w:pPr>
        <w:ind w:firstLine="640" w:firstLineChars="200"/>
        <w:rPr>
          <w:rFonts w:hint="eastAsia" w:ascii="仿宋_GB2312" w:hAnsi="仿宋_GB2312" w:eastAsia="仿宋_GB2312" w:cs="仿宋_GB2312"/>
          <w:color w:val="000000"/>
          <w:sz w:val="32"/>
        </w:rPr>
      </w:pPr>
      <w:r>
        <w:rPr>
          <w:rFonts w:hint="eastAsia" w:ascii="方正楷体_GBK" w:hAnsi="仿宋_GB2312" w:eastAsia="方正楷体_GBK" w:cs="仿宋_GB2312"/>
          <w:color w:val="000000"/>
          <w:sz w:val="32"/>
        </w:rPr>
        <w:t>（四）国有资产占有使用情况。</w:t>
      </w:r>
      <w:r>
        <w:rPr>
          <w:rFonts w:hint="eastAsia" w:ascii="仿宋_GB2312" w:hAnsi="仿宋_GB2312" w:eastAsia="仿宋_GB2312" w:cs="仿宋_GB2312"/>
          <w:color w:val="000000"/>
          <w:sz w:val="32"/>
          <w:lang w:val="en-US" w:eastAsia="zh-CN"/>
        </w:rPr>
        <w:t>截至</w:t>
      </w:r>
      <w:r>
        <w:rPr>
          <w:rFonts w:hint="eastAsia" w:ascii="仿宋_GB2312" w:hAnsi="仿宋_GB2312" w:eastAsia="仿宋_GB2312" w:cs="仿宋_GB2312"/>
          <w:color w:val="000000"/>
          <w:sz w:val="32"/>
        </w:rPr>
        <w:t>2023年12月，所属各预算单位共有车辆</w:t>
      </w: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辆，其中一般公务用车</w:t>
      </w:r>
      <w:r>
        <w:rPr>
          <w:rFonts w:hint="eastAsia" w:ascii="仿宋_GB2312" w:hAnsi="仿宋_GB2312" w:eastAsia="仿宋_GB2312" w:cs="仿宋_GB2312"/>
          <w:color w:val="000000"/>
          <w:sz w:val="32"/>
          <w:lang w:val="en-US" w:eastAsia="zh-CN"/>
        </w:rPr>
        <w:t>1</w:t>
      </w:r>
      <w:r>
        <w:rPr>
          <w:rFonts w:hint="eastAsia" w:ascii="仿宋_GB2312" w:hAnsi="仿宋_GB2312" w:eastAsia="仿宋_GB2312" w:cs="仿宋_GB2312"/>
          <w:color w:val="000000"/>
          <w:sz w:val="32"/>
        </w:rPr>
        <w:t>辆、执勤执法用车</w:t>
      </w:r>
      <w:r>
        <w:rPr>
          <w:rFonts w:hint="eastAsia" w:ascii="仿宋_GB2312" w:hAnsi="仿宋_GB2312" w:eastAsia="仿宋_GB2312" w:cs="仿宋_GB2312"/>
          <w:color w:val="000000"/>
          <w:sz w:val="32"/>
          <w:lang w:val="en-US" w:eastAsia="zh-CN"/>
        </w:rPr>
        <w:t>0</w:t>
      </w:r>
      <w:r>
        <w:rPr>
          <w:rFonts w:hint="eastAsia" w:ascii="仿宋_GB2312" w:hAnsi="仿宋_GB2312" w:eastAsia="仿宋_GB2312" w:cs="仿宋_GB2312"/>
          <w:color w:val="000000"/>
          <w:sz w:val="32"/>
        </w:rPr>
        <w:t>辆。2024年一般公共预算安排购置车辆</w:t>
      </w:r>
      <w:r>
        <w:rPr>
          <w:rFonts w:hint="eastAsia" w:ascii="仿宋_GB2312" w:hAnsi="仿宋_GB2312" w:eastAsia="仿宋_GB2312" w:cs="仿宋_GB2312"/>
          <w:color w:val="000000"/>
          <w:sz w:val="32"/>
          <w:lang w:val="en-US" w:eastAsia="zh-CN"/>
        </w:rPr>
        <w:t>0</w:t>
      </w:r>
      <w:r>
        <w:rPr>
          <w:rFonts w:hint="eastAsia" w:ascii="仿宋_GB2312" w:hAnsi="仿宋_GB2312" w:eastAsia="仿宋_GB2312" w:cs="仿宋_GB2312"/>
          <w:color w:val="000000"/>
          <w:sz w:val="32"/>
        </w:rPr>
        <w:t>辆，其中一般公务用车</w:t>
      </w:r>
      <w:r>
        <w:rPr>
          <w:rFonts w:hint="eastAsia" w:ascii="仿宋_GB2312" w:hAnsi="仿宋_GB2312" w:eastAsia="仿宋_GB2312" w:cs="仿宋_GB2312"/>
          <w:color w:val="000000"/>
          <w:sz w:val="32"/>
          <w:lang w:val="en-US" w:eastAsia="zh-CN"/>
        </w:rPr>
        <w:t>0</w:t>
      </w:r>
      <w:r>
        <w:rPr>
          <w:rFonts w:hint="eastAsia" w:ascii="仿宋_GB2312" w:hAnsi="仿宋_GB2312" w:eastAsia="仿宋_GB2312" w:cs="仿宋_GB2312"/>
          <w:color w:val="000000"/>
          <w:sz w:val="32"/>
        </w:rPr>
        <w:t>辆、执勤执法用车</w:t>
      </w:r>
      <w:r>
        <w:rPr>
          <w:rFonts w:hint="eastAsia" w:ascii="仿宋_GB2312" w:hAnsi="仿宋_GB2312" w:eastAsia="仿宋_GB2312" w:cs="仿宋_GB2312"/>
          <w:color w:val="000000"/>
          <w:sz w:val="32"/>
          <w:lang w:val="en-US" w:eastAsia="zh-CN"/>
        </w:rPr>
        <w:t>0</w:t>
      </w:r>
      <w:r>
        <w:rPr>
          <w:rFonts w:hint="eastAsia" w:ascii="仿宋_GB2312" w:hAnsi="仿宋_GB2312" w:eastAsia="仿宋_GB2312" w:cs="仿宋_GB2312"/>
          <w:color w:val="000000"/>
          <w:sz w:val="32"/>
        </w:rPr>
        <w:t>辆。</w:t>
      </w:r>
    </w:p>
    <w:p>
      <w:pPr>
        <w:pStyle w:val="8"/>
        <w:tabs>
          <w:tab w:val="center" w:pos="4153"/>
          <w:tab w:val="left" w:pos="7275"/>
        </w:tabs>
        <w:spacing w:line="600" w:lineRule="exact"/>
        <w:ind w:firstLine="640"/>
        <w:jc w:val="left"/>
        <w:rPr>
          <w:rFonts w:ascii="方正仿宋_GBK" w:eastAsia="方正仿宋_GBK"/>
          <w:sz w:val="32"/>
          <w:szCs w:val="32"/>
        </w:rPr>
      </w:pPr>
      <w:r>
        <w:rPr>
          <w:rFonts w:hint="eastAsia" w:ascii="黑体" w:hAnsi="黑体" w:eastAsia="黑体" w:cs="仿宋_GB2312"/>
          <w:sz w:val="32"/>
        </w:rPr>
        <w:t>专业性名词</w:t>
      </w:r>
      <w:r>
        <w:rPr>
          <w:rFonts w:ascii="黑体" w:hAnsi="黑体" w:eastAsia="黑体" w:cs="仿宋_GB2312"/>
          <w:sz w:val="32"/>
        </w:rPr>
        <w:t>解释</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楷体_GBK" w:eastAsia="方正楷体_GBK"/>
          <w:sz w:val="32"/>
          <w:szCs w:val="32"/>
        </w:rPr>
        <w:t>（一）财政拨款收入：</w:t>
      </w:r>
      <w:r>
        <w:rPr>
          <w:rFonts w:hint="eastAsia" w:ascii="方正仿宋_GBK" w:eastAsia="方正仿宋_GBK"/>
          <w:sz w:val="32"/>
          <w:szCs w:val="32"/>
        </w:rPr>
        <w:t>指本年度从本级财政部门取得的财政拨款，包括一般公共预算财政拨款和政府性基金预算财政拨款。</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楷体_GBK" w:eastAsia="方正楷体_GBK"/>
          <w:sz w:val="32"/>
          <w:szCs w:val="32"/>
        </w:rPr>
        <w:t>（二）其他收入：</w:t>
      </w:r>
      <w:r>
        <w:rPr>
          <w:rFonts w:hint="eastAsia" w:ascii="方正仿宋_GBK" w:eastAsia="方正仿宋_GBK"/>
          <w:sz w:val="32"/>
          <w:szCs w:val="32"/>
        </w:rPr>
        <w:t>指单位取得的除“财政拨款收入”、“事业收入”、“经营收入”等以外的收入。</w:t>
      </w:r>
    </w:p>
    <w:p>
      <w:pPr>
        <w:pStyle w:val="8"/>
        <w:tabs>
          <w:tab w:val="center" w:pos="4153"/>
          <w:tab w:val="left" w:pos="7275"/>
        </w:tabs>
        <w:spacing w:line="600" w:lineRule="exact"/>
        <w:ind w:firstLine="640"/>
        <w:jc w:val="left"/>
        <w:rPr>
          <w:rFonts w:ascii="方正仿宋_GBK" w:eastAsia="方正仿宋_GBK"/>
          <w:sz w:val="32"/>
          <w:szCs w:val="32"/>
        </w:rPr>
      </w:pPr>
      <w:r>
        <w:rPr>
          <w:rFonts w:hint="eastAsia" w:ascii="方正楷体_GBK" w:eastAsia="方正楷体_GBK"/>
          <w:sz w:val="32"/>
          <w:szCs w:val="32"/>
        </w:rPr>
        <w:t>（三）基本支出：</w:t>
      </w:r>
      <w:r>
        <w:rPr>
          <w:rFonts w:hint="eastAsia" w:ascii="方正仿宋_GBK" w:eastAsia="方正仿宋_GBK"/>
          <w:sz w:val="32"/>
          <w:szCs w:val="32"/>
        </w:rPr>
        <w:t>指为保障机构正常运转、完成日常工作任务而发生的人员经费和公用经费。</w:t>
      </w:r>
    </w:p>
    <w:p>
      <w:pPr>
        <w:pStyle w:val="8"/>
        <w:tabs>
          <w:tab w:val="center" w:pos="4153"/>
          <w:tab w:val="left" w:pos="7275"/>
        </w:tabs>
        <w:spacing w:line="600" w:lineRule="exact"/>
        <w:ind w:firstLine="640"/>
        <w:jc w:val="left"/>
        <w:rPr>
          <w:rFonts w:hint="eastAsia" w:ascii="方正仿宋_GBK" w:eastAsia="方正仿宋_GBK"/>
          <w:sz w:val="32"/>
          <w:szCs w:val="32"/>
        </w:rPr>
      </w:pPr>
      <w:r>
        <w:rPr>
          <w:rFonts w:hint="eastAsia" w:ascii="方正楷体_GBK" w:eastAsia="方正楷体_GBK"/>
          <w:sz w:val="32"/>
          <w:szCs w:val="32"/>
        </w:rPr>
        <w:t>（四）项目支出：</w:t>
      </w:r>
      <w:r>
        <w:rPr>
          <w:rFonts w:hint="eastAsia" w:ascii="方正仿宋_GBK" w:eastAsia="方正仿宋_GBK"/>
          <w:sz w:val="32"/>
          <w:szCs w:val="32"/>
        </w:rPr>
        <w:t>指在基本支出之外为完成特定行政任务和事业发展目标所发生的支出。</w:t>
      </w:r>
    </w:p>
    <w:p>
      <w:pPr>
        <w:ind w:firstLine="640" w:firstLineChars="200"/>
        <w:rPr>
          <w:rFonts w:hint="eastAsia" w:ascii="仿宋_GB2312" w:hAnsi="仿宋_GB2312" w:eastAsia="仿宋_GB2312" w:cs="仿宋_GB2312"/>
          <w:color w:val="000000"/>
          <w:sz w:val="32"/>
        </w:rPr>
      </w:pPr>
      <w:r>
        <w:rPr>
          <w:rFonts w:hint="eastAsia" w:ascii="方正楷体_GBK" w:eastAsia="方正楷体_GBK"/>
          <w:sz w:val="32"/>
          <w:szCs w:val="32"/>
        </w:rPr>
        <w:t>（五）“三公”经费：</w:t>
      </w:r>
      <w:r>
        <w:rPr>
          <w:rFonts w:hint="eastAsia" w:ascii="方正仿宋_GBK"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hint="eastAsia" w:ascii="仿宋_GB2312" w:hAnsi="仿宋_GB2312" w:eastAsia="仿宋_GB2312" w:cs="仿宋_GB2312"/>
          <w:b/>
          <w:sz w:val="32"/>
        </w:rPr>
      </w:pPr>
      <w:r>
        <w:rPr>
          <w:rFonts w:hint="eastAsia" w:ascii="仿宋_GB2312" w:hAnsi="仿宋_GB2312" w:eastAsia="仿宋_GB2312" w:cs="仿宋_GB2312"/>
          <w:b/>
          <w:sz w:val="32"/>
        </w:rPr>
        <w:t>部门预算公开联系人：隆尧  联系方式：023-70609023</w:t>
      </w:r>
    </w:p>
    <w:sectPr>
      <w:footerReference r:id="rId4" w:type="default"/>
      <w:pgSz w:w="11906" w:h="16838"/>
      <w:pgMar w:top="2098" w:right="1531" w:bottom="1985"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tabs>
        <w:tab w:val="left" w:pos="3906"/>
        <w:tab w:val="clear" w:pos="4153"/>
      </w:tabs>
      <w:rPr>
        <w:rFonts w:hint="eastAsia"/>
      </w:rPr>
    </w:pPr>
    <w:r>
      <w:rPr>
        <w:rFonts w:ascii="Calibri" w:hAnsi="Calibri" w:eastAsia="宋体" w:cs="Times New Roman"/>
        <w:kern w:val="2"/>
        <w:sz w:val="18"/>
        <w:szCs w:val="18"/>
        <w:lang w:val="en-US" w:eastAsia="zh-CN" w:bidi="ar-SA"/>
      </w:rPr>
      <w:pict>
        <v:rect id="文本框 1" o:spid="_x0000_s1025" style="position:absolute;left:0;margin-top:0pt;height:144pt;width:144pt;mso-position-horizontal:outside;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3"/>
                  <w:rPr>
                    <w:rFonts w:hint="eastAsia"/>
                    <w:sz w:val="24"/>
                    <w:szCs w:val="24"/>
                  </w:rPr>
                </w:pP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p>
            </w:txbxContent>
          </v:textbox>
        </v:rect>
      </w:pic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42126079">
    <w:nsid w:val="441375FF"/>
    <w:multiLevelType w:val="singleLevel"/>
    <w:tmpl w:val="441375FF"/>
    <w:lvl w:ilvl="0" w:tentative="1">
      <w:start w:val="1"/>
      <w:numFmt w:val="chineseCounting"/>
      <w:suff w:val="nothing"/>
      <w:lvlText w:val="（%1）"/>
      <w:lvlJc w:val="left"/>
      <w:rPr>
        <w:rFonts w:hint="eastAsia"/>
      </w:rPr>
    </w:lvl>
  </w:abstractNum>
  <w:abstractNum w:abstractNumId="1481109948">
    <w:nsid w:val="5847F1BC"/>
    <w:multiLevelType w:val="singleLevel"/>
    <w:tmpl w:val="5847F1BC"/>
    <w:lvl w:ilvl="0" w:tentative="1">
      <w:start w:val="1"/>
      <w:numFmt w:val="chineseCounting"/>
      <w:suff w:val="nothing"/>
      <w:lvlText w:val="%1、"/>
      <w:lvlJc w:val="left"/>
    </w:lvl>
  </w:abstractNum>
  <w:abstractNum w:abstractNumId="2474641258">
    <w:nsid w:val="9380076A"/>
    <w:multiLevelType w:val="singleLevel"/>
    <w:tmpl w:val="9380076A"/>
    <w:lvl w:ilvl="0" w:tentative="1">
      <w:start w:val="1"/>
      <w:numFmt w:val="chineseCounting"/>
      <w:suff w:val="nothing"/>
      <w:lvlText w:val="（%1）"/>
      <w:lvlJc w:val="left"/>
      <w:rPr>
        <w:rFonts w:hint="eastAsia"/>
      </w:rPr>
    </w:lvl>
  </w:abstractNum>
  <w:num w:numId="1">
    <w:abstractNumId w:val="1481109948"/>
  </w:num>
  <w:num w:numId="2">
    <w:abstractNumId w:val="2474641258"/>
  </w:num>
  <w:num w:numId="3">
    <w:abstractNumId w:val="114212607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GFiMjI2NTY3NzI3NDA0NGQ4MmU0MjM4MjAwNWVlODk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61474"/>
    <w:rsid w:val="00165A74"/>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E46A9"/>
    <w:rsid w:val="0030024E"/>
    <w:rsid w:val="003019D9"/>
    <w:rsid w:val="003163CF"/>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B61F2"/>
    <w:rsid w:val="005E18A6"/>
    <w:rsid w:val="005F1960"/>
    <w:rsid w:val="006115F1"/>
    <w:rsid w:val="00620BCE"/>
    <w:rsid w:val="0066585E"/>
    <w:rsid w:val="006809FA"/>
    <w:rsid w:val="006C01C3"/>
    <w:rsid w:val="006D0C33"/>
    <w:rsid w:val="006D1609"/>
    <w:rsid w:val="006E0BEC"/>
    <w:rsid w:val="006E455F"/>
    <w:rsid w:val="006F7539"/>
    <w:rsid w:val="00714828"/>
    <w:rsid w:val="007158F8"/>
    <w:rsid w:val="0071734A"/>
    <w:rsid w:val="007252E3"/>
    <w:rsid w:val="007336ED"/>
    <w:rsid w:val="00742C4D"/>
    <w:rsid w:val="007620B8"/>
    <w:rsid w:val="00762CF8"/>
    <w:rsid w:val="00765DF5"/>
    <w:rsid w:val="007713EB"/>
    <w:rsid w:val="00791CE4"/>
    <w:rsid w:val="007B10D4"/>
    <w:rsid w:val="007B22D6"/>
    <w:rsid w:val="007B4264"/>
    <w:rsid w:val="007B5ACF"/>
    <w:rsid w:val="007B6182"/>
    <w:rsid w:val="007C4C9B"/>
    <w:rsid w:val="007D2AEA"/>
    <w:rsid w:val="007D4F40"/>
    <w:rsid w:val="007E098F"/>
    <w:rsid w:val="007E0B4D"/>
    <w:rsid w:val="007E6A39"/>
    <w:rsid w:val="007F68E5"/>
    <w:rsid w:val="00801BFF"/>
    <w:rsid w:val="00803270"/>
    <w:rsid w:val="00805D05"/>
    <w:rsid w:val="00813B4F"/>
    <w:rsid w:val="00830BF3"/>
    <w:rsid w:val="00833B65"/>
    <w:rsid w:val="00837BDB"/>
    <w:rsid w:val="008560C6"/>
    <w:rsid w:val="00866533"/>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0509"/>
    <w:rsid w:val="00972AB0"/>
    <w:rsid w:val="00983001"/>
    <w:rsid w:val="0098712E"/>
    <w:rsid w:val="009B77D4"/>
    <w:rsid w:val="009E6734"/>
    <w:rsid w:val="009F01A9"/>
    <w:rsid w:val="00A05F72"/>
    <w:rsid w:val="00A07288"/>
    <w:rsid w:val="00A174AB"/>
    <w:rsid w:val="00A21DCD"/>
    <w:rsid w:val="00A27ED6"/>
    <w:rsid w:val="00A33F5E"/>
    <w:rsid w:val="00A35F07"/>
    <w:rsid w:val="00A45A23"/>
    <w:rsid w:val="00A52D34"/>
    <w:rsid w:val="00A712EA"/>
    <w:rsid w:val="00A8020D"/>
    <w:rsid w:val="00A802E9"/>
    <w:rsid w:val="00A80B6C"/>
    <w:rsid w:val="00AA324B"/>
    <w:rsid w:val="00AB25DF"/>
    <w:rsid w:val="00AC39C3"/>
    <w:rsid w:val="00AC6F85"/>
    <w:rsid w:val="00AE0A20"/>
    <w:rsid w:val="00AE4156"/>
    <w:rsid w:val="00B1352B"/>
    <w:rsid w:val="00B24FA7"/>
    <w:rsid w:val="00B257E3"/>
    <w:rsid w:val="00B54CE7"/>
    <w:rsid w:val="00B558CC"/>
    <w:rsid w:val="00B65450"/>
    <w:rsid w:val="00B72347"/>
    <w:rsid w:val="00B86388"/>
    <w:rsid w:val="00BB3B39"/>
    <w:rsid w:val="00BC2C3D"/>
    <w:rsid w:val="00BD5AA0"/>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1530B"/>
    <w:rsid w:val="00E275D0"/>
    <w:rsid w:val="00E40ED1"/>
    <w:rsid w:val="00E4747D"/>
    <w:rsid w:val="00E67557"/>
    <w:rsid w:val="00E712B9"/>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7743407"/>
    <w:rsid w:val="0EDE4583"/>
    <w:rsid w:val="113944A6"/>
    <w:rsid w:val="18CC21E2"/>
    <w:rsid w:val="19D75DEA"/>
    <w:rsid w:val="25AF1247"/>
    <w:rsid w:val="3BC5739B"/>
    <w:rsid w:val="3F0F13DC"/>
    <w:rsid w:val="46125FA0"/>
    <w:rsid w:val="48310C7F"/>
    <w:rsid w:val="579C6035"/>
    <w:rsid w:val="599D4999"/>
    <w:rsid w:val="6105633A"/>
    <w:rsid w:val="69615350"/>
    <w:rsid w:val="6E772A99"/>
    <w:rsid w:val="711E0F0A"/>
    <w:rsid w:val="714B731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7">
    <w:name w:val="Normal Table"/>
    <w:semiHidden/>
    <w:uiPriority w:val="0"/>
    <w:tblPr>
      <w:tblStyle w:val="7"/>
      <w:tblLayout w:type="fixed"/>
      <w:tblCellMar>
        <w:top w:w="0" w:type="dxa"/>
        <w:left w:w="108" w:type="dxa"/>
        <w:bottom w:w="0" w:type="dxa"/>
        <w:right w:w="108" w:type="dxa"/>
      </w:tblCellMar>
    </w:tblPr>
  </w:style>
  <w:style w:type="paragraph" w:styleId="2">
    <w:name w:val="Balloon Text"/>
    <w:basedOn w:val="1"/>
    <w:link w:val="9"/>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List Paragraph"/>
    <w:basedOn w:val="1"/>
    <w:qFormat/>
    <w:uiPriority w:val="34"/>
    <w:pPr>
      <w:ind w:firstLine="420" w:firstLineChars="200"/>
    </w:pPr>
  </w:style>
  <w:style w:type="character" w:customStyle="1" w:styleId="9">
    <w:name w:val="批注框文本 字符"/>
    <w:link w:val="2"/>
    <w:qFormat/>
    <w:uiPriority w:val="0"/>
    <w:rPr>
      <w:kern w:val="2"/>
      <w:sz w:val="18"/>
      <w:szCs w:val="18"/>
    </w:rPr>
  </w:style>
  <w:style w:type="character" w:customStyle="1" w:styleId="10">
    <w:name w:val="页眉 字符"/>
    <w:link w:val="4"/>
    <w:uiPriority w:val="0"/>
    <w:rPr>
      <w:kern w:val="2"/>
      <w:sz w:val="18"/>
      <w:szCs w:val="18"/>
    </w:rPr>
  </w:style>
  <w:style w:type="character" w:customStyle="1" w:styleId="11">
    <w:name w:val="页脚 字符"/>
    <w:link w:val="3"/>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277</Words>
  <Characters>1585</Characters>
  <Lines>13</Lines>
  <Paragraphs>3</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acer</cp:lastModifiedBy>
  <cp:lastPrinted>2018-01-02T08:11:00Z</cp:lastPrinted>
  <dcterms:modified xsi:type="dcterms:W3CDTF">2024-02-22T04:05:15Z</dcterms:modified>
  <dc:title>丰都县三元中心卫生院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C5CA8B6BCC5A45C7BB9BC52176F1246D_13</vt:lpwstr>
  </property>
</Properties>
</file>