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丰都县江池镇卫生院</w:t>
      </w:r>
    </w:p>
    <w:p>
      <w:pPr>
        <w:pStyle w:val="2"/>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2024年部门预算情况说明</w:t>
      </w:r>
    </w:p>
    <w:p>
      <w:pPr>
        <w:spacing w:line="600" w:lineRule="exact"/>
        <w:ind w:firstLine="880" w:firstLineChars="200"/>
        <w:jc w:val="center"/>
        <w:rPr>
          <w:rFonts w:ascii="华文中宋" w:hAnsi="华文中宋" w:eastAsia="华文中宋" w:cs="华文中宋"/>
          <w:sz w:val="32"/>
          <w:szCs w:val="32"/>
        </w:rPr>
      </w:pPr>
    </w:p>
    <w:p>
      <w:pPr>
        <w:numPr>
          <w:ilvl w:val="0"/>
          <w:numId w:val="1"/>
        </w:numPr>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单位基本情况</w:t>
      </w:r>
    </w:p>
    <w:p>
      <w:pPr>
        <w:spacing w:line="600" w:lineRule="exact"/>
        <w:ind w:firstLine="8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（一）职能职责。</w:t>
      </w:r>
    </w:p>
    <w:p>
      <w:pPr>
        <w:ind w:firstLine="88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公共卫生服务：负责辖区城乡居民健康档案管理、健康教育、预防接种、儿童健康管理、孕产妇健康管理、老年人健康管理、高血压患者健康管理、2型糖尿病患者健康管理、重性精神疾病患者管理；中医药健康管理和疾病康复；疾病控制、传染病及突发公共卫生事件报告和处理等。负责辖区其他公共卫生服务项目。</w:t>
      </w:r>
    </w:p>
    <w:p>
      <w:pPr>
        <w:ind w:firstLine="88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2.基本医疗服务：开展一般常见病、多发病、地方病的基本医疗服务；现场救护和转诊服务；慢性病管理。</w:t>
      </w:r>
    </w:p>
    <w:p>
      <w:pPr>
        <w:ind w:firstLine="88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3.计划生育服务：开展避孕节育、生殖健康、优生服务和家庭保健的咨询、指导和技术服务。</w:t>
      </w:r>
    </w:p>
    <w:p>
      <w:pPr>
        <w:ind w:firstLine="88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4.协助乡镇政府制定和组织实施初级卫生保健、卫生事业发展规划和年度计划，开展爱国卫生工作。</w:t>
      </w:r>
    </w:p>
    <w:p>
      <w:pPr>
        <w:ind w:firstLine="88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5.指导辖区内诊所、村卫生室业务工作，对村医和村妇幼保健人员进行相关技能培训，做好医疗卫生信息统计报告工作，完整、及时、准确报告相关信息，逐步推进乡村卫生服务一体化管理。</w:t>
      </w:r>
    </w:p>
    <w:p>
      <w:pPr>
        <w:ind w:firstLine="88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6.开展城乡居民医疗保险政策法规宣传与咨询，协助做好相应的医疗服务和补偿结算等工作。</w:t>
      </w:r>
    </w:p>
    <w:p>
      <w:pPr>
        <w:ind w:firstLine="88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7.负责辖区公共卫生管理；协助开展辖区内卫生监督工作，承担区域内公共卫生信息收集与报告。</w:t>
      </w:r>
    </w:p>
    <w:p>
      <w:pPr>
        <w:ind w:firstLine="88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（二）单位构成。</w:t>
      </w:r>
    </w:p>
    <w:p>
      <w:pPr>
        <w:ind w:firstLine="88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丰都县江池镇卫生院属卫生健康委下面的二级预算单位。内设公共卫生科、内儿科、中医科、放射科、检验科、办公室、数字化接种门诊等科室。有彩超、全自动生化分析仪、呼吸机、救护车等大型医疗设备。编制床位30张，实际开放床位40张。</w:t>
      </w:r>
    </w:p>
    <w:p>
      <w:pPr>
        <w:numPr>
          <w:ilvl w:val="0"/>
          <w:numId w:val="1"/>
        </w:numPr>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部门</w:t>
      </w:r>
      <w:r>
        <w:rPr>
          <w:rFonts w:ascii="黑体" w:hAnsi="黑体" w:eastAsia="黑体" w:cs="仿宋_GB2312"/>
          <w:sz w:val="32"/>
          <w:szCs w:val="32"/>
        </w:rPr>
        <w:t>收支总体情况</w:t>
      </w:r>
    </w:p>
    <w:p>
      <w:pPr>
        <w:pStyle w:val="10"/>
        <w:numPr>
          <w:ilvl w:val="0"/>
          <w:numId w:val="2"/>
        </w:numPr>
        <w:rPr>
          <w:rFonts w:ascii="仿宋_GB2312" w:eastAsia="仿宋_GB2312"/>
          <w:color w:val="000000"/>
          <w:sz w:val="32"/>
          <w:szCs w:val="32"/>
        </w:rPr>
      </w:pPr>
      <w:r>
        <w:rPr>
          <w:rFonts w:hint="eastAsia" w:ascii="仿宋_GB2312" w:eastAsia="仿宋_GB2312"/>
          <w:color w:val="000000"/>
          <w:sz w:val="32"/>
          <w:szCs w:val="32"/>
        </w:rPr>
        <w:t>收入预算：2024年年初预算数</w:t>
      </w:r>
      <w:r>
        <w:rPr>
          <w:rFonts w:hint="eastAsia" w:ascii="仿宋_GB2312" w:eastAsia="仿宋_GB2312"/>
          <w:color w:val="000000"/>
          <w:sz w:val="32"/>
          <w:szCs w:val="32"/>
          <w:lang w:val="en-US" w:eastAsia="zh-CN"/>
        </w:rPr>
        <w:t>296.59</w:t>
      </w:r>
      <w:r>
        <w:rPr>
          <w:rFonts w:hint="eastAsia" w:ascii="仿宋_GB2312" w:eastAsia="仿宋_GB2312"/>
          <w:color w:val="000000"/>
          <w:sz w:val="32"/>
          <w:szCs w:val="32"/>
        </w:rPr>
        <w:t>万元，上年结转资金</w:t>
      </w:r>
      <w:r>
        <w:rPr>
          <w:rFonts w:hint="eastAsia" w:ascii="仿宋_GB2312" w:eastAsia="仿宋_GB2312"/>
          <w:color w:val="000000"/>
          <w:sz w:val="32"/>
          <w:szCs w:val="32"/>
          <w:lang w:val="en-US" w:eastAsia="zh-CN"/>
        </w:rPr>
        <w:t>0.0</w:t>
      </w:r>
      <w:r>
        <w:rPr>
          <w:rFonts w:hint="eastAsia" w:ascii="仿宋_GB2312" w:eastAsia="仿宋_GB2312"/>
          <w:color w:val="000000"/>
          <w:sz w:val="32"/>
          <w:szCs w:val="32"/>
        </w:rPr>
        <w:t>0万元，其中：一般公共预算拨款 16.59万元，政府性基金预算拨款 0</w:t>
      </w:r>
      <w:r>
        <w:rPr>
          <w:rFonts w:hint="eastAsia" w:ascii="仿宋_GB2312" w:eastAsia="仿宋_GB2312"/>
          <w:color w:val="000000"/>
          <w:sz w:val="32"/>
          <w:szCs w:val="32"/>
          <w:lang w:val="en-US" w:eastAsia="zh-CN"/>
        </w:rPr>
        <w:t>.00</w:t>
      </w:r>
      <w:r>
        <w:rPr>
          <w:rFonts w:hint="eastAsia" w:ascii="仿宋_GB2312" w:eastAsia="仿宋_GB2312"/>
          <w:color w:val="000000"/>
          <w:sz w:val="32"/>
          <w:szCs w:val="32"/>
        </w:rPr>
        <w:t>万元，国有资本经营预算拨款 0</w:t>
      </w:r>
      <w:r>
        <w:rPr>
          <w:rFonts w:hint="eastAsia" w:ascii="仿宋_GB2312" w:eastAsia="仿宋_GB2312"/>
          <w:color w:val="000000"/>
          <w:sz w:val="32"/>
          <w:szCs w:val="32"/>
          <w:lang w:val="en-US" w:eastAsia="zh-CN"/>
        </w:rPr>
        <w:t>.00</w:t>
      </w:r>
      <w:r>
        <w:rPr>
          <w:rFonts w:hint="eastAsia" w:ascii="仿宋_GB2312" w:eastAsia="仿宋_GB2312"/>
          <w:color w:val="000000"/>
          <w:sz w:val="32"/>
          <w:szCs w:val="32"/>
        </w:rPr>
        <w:t>万元，事业收入280</w:t>
      </w:r>
      <w:r>
        <w:rPr>
          <w:rFonts w:hint="eastAsia" w:ascii="仿宋_GB2312" w:eastAsia="仿宋_GB2312"/>
          <w:color w:val="000000"/>
          <w:sz w:val="32"/>
          <w:szCs w:val="32"/>
          <w:lang w:val="en-US" w:eastAsia="zh-CN"/>
        </w:rPr>
        <w:t>.00</w:t>
      </w:r>
      <w:r>
        <w:rPr>
          <w:rFonts w:hint="eastAsia" w:ascii="仿宋_GB2312" w:eastAsia="仿宋_GB2312"/>
          <w:color w:val="000000"/>
          <w:sz w:val="32"/>
          <w:szCs w:val="32"/>
        </w:rPr>
        <w:t>万元，事业单位经营收入 0</w:t>
      </w:r>
      <w:r>
        <w:rPr>
          <w:rFonts w:hint="eastAsia" w:ascii="仿宋_GB2312" w:eastAsia="仿宋_GB2312"/>
          <w:color w:val="000000"/>
          <w:sz w:val="32"/>
          <w:szCs w:val="32"/>
          <w:lang w:val="en-US" w:eastAsia="zh-CN"/>
        </w:rPr>
        <w:t>.00</w:t>
      </w:r>
      <w:r>
        <w:rPr>
          <w:rFonts w:hint="eastAsia" w:ascii="仿宋_GB2312" w:eastAsia="仿宋_GB2312"/>
          <w:color w:val="000000"/>
          <w:sz w:val="32"/>
          <w:szCs w:val="32"/>
        </w:rPr>
        <w:t>万元，其他收入0</w:t>
      </w:r>
      <w:r>
        <w:rPr>
          <w:rFonts w:hint="eastAsia" w:ascii="仿宋_GB2312" w:eastAsia="仿宋_GB2312"/>
          <w:color w:val="000000"/>
          <w:sz w:val="32"/>
          <w:szCs w:val="32"/>
          <w:lang w:val="en-US" w:eastAsia="zh-CN"/>
        </w:rPr>
        <w:t>.00</w:t>
      </w:r>
      <w:r>
        <w:rPr>
          <w:rFonts w:hint="eastAsia" w:ascii="仿宋_GB2312" w:eastAsia="仿宋_GB2312"/>
          <w:color w:val="000000"/>
          <w:sz w:val="32"/>
          <w:szCs w:val="32"/>
        </w:rPr>
        <w:t>万元。一般公共预算拨款较去年减少了 30.91万元，主要是其他公共卫生支出减少了30</w:t>
      </w:r>
      <w:r>
        <w:rPr>
          <w:rFonts w:hint="eastAsia" w:ascii="仿宋_GB2312" w:eastAsia="仿宋_GB2312"/>
          <w:color w:val="000000"/>
          <w:sz w:val="32"/>
          <w:szCs w:val="32"/>
          <w:lang w:val="en-US" w:eastAsia="zh-CN"/>
        </w:rPr>
        <w:t>.00</w:t>
      </w:r>
      <w:r>
        <w:rPr>
          <w:rFonts w:hint="eastAsia" w:ascii="仿宋_GB2312" w:eastAsia="仿宋_GB2312"/>
          <w:color w:val="000000"/>
          <w:sz w:val="32"/>
          <w:szCs w:val="32"/>
        </w:rPr>
        <w:t>万元，其他行政事业单位养老支出减少了1.61万元，医疗费补助又增加了0.7</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万元；事业收入较去年增加了 50</w:t>
      </w:r>
      <w:r>
        <w:rPr>
          <w:rFonts w:hint="eastAsia" w:ascii="仿宋_GB2312" w:eastAsia="仿宋_GB2312"/>
          <w:color w:val="000000"/>
          <w:sz w:val="32"/>
          <w:szCs w:val="32"/>
          <w:lang w:val="en-US" w:eastAsia="zh-CN"/>
        </w:rPr>
        <w:t>.00</w:t>
      </w:r>
      <w:r>
        <w:rPr>
          <w:rFonts w:hint="eastAsia" w:ascii="仿宋_GB2312" w:eastAsia="仿宋_GB2312"/>
          <w:color w:val="000000"/>
          <w:sz w:val="32"/>
          <w:szCs w:val="32"/>
        </w:rPr>
        <w:t>万元。</w:t>
      </w:r>
    </w:p>
    <w:p>
      <w:pPr>
        <w:pStyle w:val="10"/>
        <w:numPr>
          <w:numId w:val="0"/>
        </w:numPr>
        <w:rPr>
          <w:rFonts w:ascii="仿宋_GB2312" w:eastAsia="仿宋_GB2312"/>
          <w:color w:val="000000"/>
          <w:sz w:val="32"/>
          <w:szCs w:val="32"/>
        </w:rPr>
      </w:pPr>
      <w:r>
        <w:rPr>
          <w:rFonts w:hint="eastAsia" w:ascii="仿宋_GB2312" w:eastAsia="仿宋_GB2312"/>
          <w:color w:val="000000"/>
          <w:sz w:val="32"/>
          <w:szCs w:val="32"/>
        </w:rPr>
        <w:t>（二）支出预算：2024年年初预算数 296.59万元，其中：一般公共服务支出</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万元，教育支出 0</w:t>
      </w:r>
      <w:r>
        <w:rPr>
          <w:rFonts w:hint="eastAsia" w:ascii="仿宋_GB2312" w:eastAsia="仿宋_GB2312"/>
          <w:color w:val="000000"/>
          <w:sz w:val="32"/>
          <w:szCs w:val="32"/>
          <w:lang w:val="en-US" w:eastAsia="zh-CN"/>
        </w:rPr>
        <w:t>.00</w:t>
      </w:r>
      <w:r>
        <w:rPr>
          <w:rFonts w:hint="eastAsia" w:ascii="仿宋_GB2312" w:eastAsia="仿宋_GB2312"/>
          <w:color w:val="000000"/>
          <w:sz w:val="32"/>
          <w:szCs w:val="32"/>
        </w:rPr>
        <w:t>万元，社会保障和就业支出 14.49万元，卫生健康支出282.1</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万元，住房保障支出 0</w:t>
      </w:r>
      <w:r>
        <w:rPr>
          <w:rFonts w:hint="eastAsia" w:ascii="仿宋_GB2312" w:eastAsia="仿宋_GB2312"/>
          <w:color w:val="000000"/>
          <w:sz w:val="32"/>
          <w:szCs w:val="32"/>
          <w:lang w:val="en-US" w:eastAsia="zh-CN"/>
        </w:rPr>
        <w:t>.00</w:t>
      </w:r>
      <w:r>
        <w:rPr>
          <w:rFonts w:hint="eastAsia" w:ascii="仿宋_GB2312" w:eastAsia="仿宋_GB2312"/>
          <w:color w:val="000000"/>
          <w:sz w:val="32"/>
          <w:szCs w:val="32"/>
        </w:rPr>
        <w:t>万元。支出较去年增加了19.09万元，主要是基本支出减少了0.91 万元，项目支出增加了 20</w:t>
      </w:r>
      <w:r>
        <w:rPr>
          <w:rFonts w:hint="eastAsia" w:ascii="仿宋_GB2312" w:eastAsia="仿宋_GB2312"/>
          <w:color w:val="000000"/>
          <w:sz w:val="32"/>
          <w:szCs w:val="32"/>
          <w:lang w:val="en-US" w:eastAsia="zh-CN"/>
        </w:rPr>
        <w:t>.00</w:t>
      </w:r>
      <w:r>
        <w:rPr>
          <w:rFonts w:hint="eastAsia" w:ascii="仿宋_GB2312" w:eastAsia="仿宋_GB2312"/>
          <w:color w:val="000000"/>
          <w:sz w:val="32"/>
          <w:szCs w:val="32"/>
        </w:rPr>
        <w:t>万元。</w:t>
      </w:r>
    </w:p>
    <w:p>
      <w:pPr>
        <w:pStyle w:val="10"/>
        <w:numPr>
          <w:ilvl w:val="0"/>
          <w:numId w:val="1"/>
        </w:numPr>
        <w:ind w:firstLineChars="0"/>
        <w:rPr>
          <w:rFonts w:ascii="仿宋_GB2312" w:eastAsia="仿宋_GB2312"/>
          <w:color w:val="000000"/>
          <w:sz w:val="32"/>
          <w:szCs w:val="32"/>
        </w:rPr>
      </w:pPr>
      <w:r>
        <w:rPr>
          <w:rFonts w:hint="eastAsia" w:ascii="仿宋_GB2312" w:eastAsia="仿宋_GB2312"/>
          <w:b/>
          <w:bCs/>
          <w:color w:val="000000"/>
          <w:sz w:val="32"/>
          <w:szCs w:val="32"/>
        </w:rPr>
        <w:t>部门预算情况说明</w:t>
      </w:r>
    </w:p>
    <w:p>
      <w:pPr>
        <w:pStyle w:val="10"/>
        <w:spacing w:line="360" w:lineRule="auto"/>
        <w:ind w:left="420" w:firstLine="0" w:firstLineChars="0"/>
        <w:rPr>
          <w:rFonts w:ascii="仿宋_GB2312" w:eastAsia="仿宋_GB2312"/>
          <w:sz w:val="32"/>
          <w:szCs w:val="32"/>
        </w:rPr>
      </w:pPr>
      <w:r>
        <w:rPr>
          <w:rFonts w:hint="eastAsia" w:ascii="仿宋_GB2312" w:eastAsia="仿宋_GB2312"/>
          <w:sz w:val="32"/>
          <w:szCs w:val="32"/>
        </w:rPr>
        <w:t xml:space="preserve">   2024年一般公共预算财政拨款收入 </w:t>
      </w:r>
      <w:r>
        <w:rPr>
          <w:rFonts w:hint="eastAsia" w:ascii="仿宋_GB2312" w:eastAsia="仿宋_GB2312"/>
          <w:color w:val="000000"/>
          <w:sz w:val="32"/>
          <w:szCs w:val="32"/>
        </w:rPr>
        <w:t>16.59</w:t>
      </w:r>
      <w:r>
        <w:rPr>
          <w:rFonts w:hint="eastAsia" w:ascii="仿宋_GB2312" w:eastAsia="仿宋_GB2312"/>
          <w:sz w:val="32"/>
          <w:szCs w:val="32"/>
        </w:rPr>
        <w:t xml:space="preserve"> 万元，一般公共预算财政拨款支出</w:t>
      </w:r>
      <w:r>
        <w:rPr>
          <w:rFonts w:hint="eastAsia" w:ascii="仿宋_GB2312" w:eastAsia="仿宋_GB2312"/>
          <w:color w:val="000000"/>
          <w:sz w:val="32"/>
          <w:szCs w:val="32"/>
        </w:rPr>
        <w:t>16.59</w:t>
      </w:r>
      <w:r>
        <w:rPr>
          <w:rFonts w:hint="eastAsia" w:ascii="仿宋_GB2312" w:eastAsia="仿宋_GB2312"/>
          <w:sz w:val="32"/>
          <w:szCs w:val="32"/>
        </w:rPr>
        <w:t>万元，比2024年</w:t>
      </w:r>
      <w:r>
        <w:rPr>
          <w:rFonts w:hint="eastAsia" w:ascii="仿宋_GB2312" w:eastAsia="仿宋_GB2312"/>
          <w:color w:val="000000"/>
          <w:sz w:val="32"/>
          <w:szCs w:val="32"/>
        </w:rPr>
        <w:t>减少了30.91</w:t>
      </w:r>
      <w:r>
        <w:rPr>
          <w:rFonts w:hint="eastAsia" w:ascii="仿宋_GB2312" w:eastAsia="仿宋_GB2312"/>
          <w:sz w:val="32"/>
          <w:szCs w:val="32"/>
        </w:rPr>
        <w:t>万元。</w:t>
      </w:r>
      <w:r>
        <w:rPr>
          <w:rFonts w:hint="eastAsia" w:ascii="仿宋_GB2312" w:eastAsia="仿宋_GB2312"/>
          <w:color w:val="000000"/>
          <w:sz w:val="32"/>
          <w:szCs w:val="32"/>
        </w:rPr>
        <w:t>主要是其他公共卫生支出减少了30</w:t>
      </w:r>
      <w:r>
        <w:rPr>
          <w:rFonts w:hint="eastAsia" w:ascii="仿宋_GB2312" w:eastAsia="仿宋_GB2312"/>
          <w:color w:val="000000"/>
          <w:sz w:val="32"/>
          <w:szCs w:val="32"/>
          <w:lang w:val="en-US" w:eastAsia="zh-CN"/>
        </w:rPr>
        <w:t>.00</w:t>
      </w:r>
      <w:r>
        <w:rPr>
          <w:rFonts w:hint="eastAsia" w:ascii="仿宋_GB2312" w:eastAsia="仿宋_GB2312"/>
          <w:color w:val="000000"/>
          <w:sz w:val="32"/>
          <w:szCs w:val="32"/>
        </w:rPr>
        <w:t>万元，其他行政事业单位养老支出减少了0.91万元，医疗费补助又增加了0.7</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万元；社会保障和就业支出</w:t>
      </w:r>
      <w:r>
        <w:rPr>
          <w:rFonts w:hint="eastAsia" w:ascii="仿宋_GB2312" w:eastAsia="仿宋_GB2312"/>
          <w:sz w:val="32"/>
          <w:szCs w:val="32"/>
        </w:rPr>
        <w:t>主要用于保障退休人员补助；</w:t>
      </w:r>
      <w:r>
        <w:rPr>
          <w:rFonts w:hint="eastAsia" w:ascii="仿宋_GB2312" w:eastAsia="仿宋_GB2312"/>
          <w:color w:val="000000"/>
          <w:sz w:val="32"/>
          <w:szCs w:val="32"/>
        </w:rPr>
        <w:t>医疗费补助</w:t>
      </w:r>
      <w:r>
        <w:rPr>
          <w:rFonts w:hint="eastAsia" w:ascii="仿宋_GB2312" w:eastAsia="仿宋_GB2312"/>
          <w:sz w:val="32"/>
          <w:szCs w:val="32"/>
        </w:rPr>
        <w:t>主要用于保障退休人员健康体检。</w:t>
      </w:r>
    </w:p>
    <w:p>
      <w:pPr>
        <w:spacing w:line="360" w:lineRule="auto"/>
        <w:ind w:firstLine="8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2024年政府性</w:t>
      </w:r>
      <w:r>
        <w:rPr>
          <w:rFonts w:ascii="仿宋_GB2312" w:hAnsi="仿宋_GB2312" w:eastAsia="仿宋_GB2312" w:cs="仿宋_GB2312"/>
          <w:sz w:val="32"/>
          <w:szCs w:val="32"/>
        </w:rPr>
        <w:t>基金预算收入</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政府性</w:t>
      </w:r>
      <w:r>
        <w:rPr>
          <w:rFonts w:ascii="仿宋_GB2312" w:hAnsi="仿宋_GB2312" w:eastAsia="仿宋_GB2312" w:cs="仿宋_GB2312"/>
          <w:sz w:val="32"/>
          <w:szCs w:val="32"/>
        </w:rPr>
        <w:t>基金预算支出</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与2023年持平。本单位</w:t>
      </w:r>
      <w:r>
        <w:rPr>
          <w:rFonts w:ascii="仿宋_GB2312" w:hAnsi="仿宋_GB2312" w:eastAsia="仿宋_GB2312" w:cs="仿宋_GB2312"/>
          <w:sz w:val="32"/>
          <w:szCs w:val="32"/>
        </w:rPr>
        <w:t>2024年</w:t>
      </w:r>
      <w:r>
        <w:rPr>
          <w:rFonts w:hint="eastAsia" w:ascii="仿宋_GB2312" w:hAnsi="仿宋_GB2312" w:eastAsia="仿宋_GB2312" w:cs="仿宋_GB2312"/>
          <w:sz w:val="32"/>
          <w:szCs w:val="32"/>
        </w:rPr>
        <w:t>无</w:t>
      </w:r>
      <w:r>
        <w:rPr>
          <w:rFonts w:ascii="仿宋_GB2312" w:hAnsi="仿宋_GB2312" w:eastAsia="仿宋_GB2312" w:cs="仿宋_GB2312"/>
          <w:sz w:val="32"/>
          <w:szCs w:val="32"/>
        </w:rPr>
        <w:t>使用政府性基金预算拨款安排的支出</w:t>
      </w:r>
      <w:r>
        <w:rPr>
          <w:rFonts w:hint="eastAsia" w:ascii="仿宋_GB2312" w:hAnsi="仿宋_GB2312" w:eastAsia="仿宋_GB2312" w:cs="仿宋_GB2312"/>
          <w:sz w:val="32"/>
          <w:szCs w:val="32"/>
        </w:rPr>
        <w:t>。</w:t>
      </w:r>
    </w:p>
    <w:p>
      <w:pPr>
        <w:numPr>
          <w:ilvl w:val="0"/>
          <w:numId w:val="1"/>
        </w:numPr>
        <w:spacing w:line="360" w:lineRule="auto"/>
        <w:ind w:firstLine="880" w:firstLineChars="200"/>
        <w:rPr>
          <w:rFonts w:ascii="黑体" w:hAnsi="黑体" w:eastAsia="黑体" w:cs="仿宋_GB2312"/>
          <w:sz w:val="32"/>
          <w:szCs w:val="32"/>
        </w:rPr>
      </w:pPr>
      <w:r>
        <w:rPr>
          <w:rFonts w:hint="eastAsia" w:ascii="黑体" w:hAnsi="黑体" w:eastAsia="黑体" w:cs="仿宋_GB2312"/>
          <w:sz w:val="32"/>
          <w:szCs w:val="32"/>
        </w:rPr>
        <w:t>“三公”经费情况说明</w:t>
      </w:r>
    </w:p>
    <w:p>
      <w:pPr>
        <w:spacing w:line="360" w:lineRule="auto"/>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2024年“三公”经费预算0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万元，与2023年持平。其中：因公出国（境）费用0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万元，与2023年持平；公务接待费 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万元，与2023年持平；公务用车运行维护费</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万元，与2023年持平；</w:t>
      </w:r>
      <w:r>
        <w:rPr>
          <w:rFonts w:ascii="仿宋_GB2312" w:hAnsi="仿宋_GB2312" w:eastAsia="仿宋_GB2312" w:cs="仿宋_GB2312"/>
          <w:sz w:val="32"/>
          <w:szCs w:val="32"/>
        </w:rPr>
        <w:t>公务</w:t>
      </w:r>
      <w:r>
        <w:rPr>
          <w:rFonts w:hint="eastAsia" w:ascii="仿宋_GB2312" w:hAnsi="仿宋_GB2312" w:eastAsia="仿宋_GB2312" w:cs="仿宋_GB2312"/>
          <w:sz w:val="32"/>
          <w:szCs w:val="32"/>
        </w:rPr>
        <w:t>用车</w:t>
      </w:r>
      <w:r>
        <w:rPr>
          <w:rFonts w:ascii="仿宋_GB2312" w:hAnsi="仿宋_GB2312" w:eastAsia="仿宋_GB2312" w:cs="仿宋_GB2312"/>
          <w:sz w:val="32"/>
          <w:szCs w:val="32"/>
        </w:rPr>
        <w:t>购置费</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万元，与2023年持平。</w:t>
      </w:r>
    </w:p>
    <w:p>
      <w:pPr>
        <w:numPr>
          <w:ilvl w:val="0"/>
          <w:numId w:val="1"/>
        </w:numPr>
        <w:spacing w:line="360" w:lineRule="auto"/>
        <w:ind w:firstLine="880" w:firstLineChars="200"/>
        <w:rPr>
          <w:rFonts w:ascii="黑体" w:hAnsi="黑体" w:eastAsia="黑体" w:cs="仿宋_GB2312"/>
          <w:sz w:val="32"/>
          <w:szCs w:val="32"/>
        </w:rPr>
      </w:pPr>
      <w:r>
        <w:rPr>
          <w:rFonts w:hint="eastAsia" w:ascii="黑体" w:hAnsi="黑体" w:eastAsia="黑体" w:cs="仿宋_GB2312"/>
          <w:sz w:val="32"/>
          <w:szCs w:val="32"/>
        </w:rPr>
        <w:t>其他重要</w:t>
      </w:r>
      <w:r>
        <w:rPr>
          <w:rFonts w:ascii="黑体" w:hAnsi="黑体" w:eastAsia="黑体" w:cs="仿宋_GB2312"/>
          <w:sz w:val="32"/>
          <w:szCs w:val="32"/>
        </w:rPr>
        <w:t>事项的情况说明</w:t>
      </w:r>
    </w:p>
    <w:p>
      <w:pPr>
        <w:spacing w:line="360" w:lineRule="auto"/>
        <w:ind w:firstLine="880" w:firstLineChars="200"/>
        <w:rPr>
          <w:rFonts w:ascii="仿宋_GB2312" w:hAnsi="仿宋_GB2312" w:eastAsia="仿宋_GB2312" w:cs="仿宋_GB2312"/>
          <w:sz w:val="32"/>
          <w:szCs w:val="32"/>
        </w:rPr>
      </w:pPr>
      <w:r>
        <w:rPr>
          <w:rFonts w:hint="eastAsia" w:ascii="方正楷体_GBK" w:hAnsi="仿宋_GB2312" w:eastAsia="方正楷体_GBK" w:cs="仿宋_GB2312"/>
          <w:sz w:val="32"/>
          <w:szCs w:val="32"/>
        </w:rPr>
        <w:t>（一）机关运行经费</w:t>
      </w:r>
      <w:r>
        <w:rPr>
          <w:rFonts w:hint="eastAsia" w:ascii="方正楷体_GBK" w:hAnsi="仿宋_GB2312" w:eastAsia="方正楷体_GBK" w:cs="仿宋_GB2312"/>
          <w:sz w:val="32"/>
          <w:szCs w:val="32"/>
          <w:lang w:eastAsia="zh-CN"/>
        </w:rPr>
        <w:t>。</w:t>
      </w:r>
      <w:r>
        <w:rPr>
          <w:rFonts w:hint="eastAsia" w:ascii="仿宋_GB2312" w:hAnsi="仿宋_GB2312" w:eastAsia="仿宋_GB2312" w:cs="仿宋_GB2312"/>
          <w:sz w:val="32"/>
          <w:szCs w:val="32"/>
        </w:rPr>
        <w:t>我单位不在</w:t>
      </w:r>
      <w:r>
        <w:rPr>
          <w:rFonts w:ascii="仿宋_GB2312" w:hAnsi="仿宋_GB2312" w:eastAsia="仿宋_GB2312" w:cs="仿宋_GB2312"/>
          <w:sz w:val="32"/>
          <w:szCs w:val="32"/>
        </w:rPr>
        <w:t>机关运行经费统计范围之内。</w:t>
      </w:r>
    </w:p>
    <w:p>
      <w:pPr>
        <w:ind w:firstLine="880" w:firstLineChars="200"/>
        <w:rPr>
          <w:rFonts w:ascii="仿宋_GB2312" w:hAnsi="仿宋_GB2312" w:eastAsia="仿宋_GB2312" w:cs="仿宋_GB2312"/>
          <w:sz w:val="32"/>
          <w:szCs w:val="32"/>
        </w:rPr>
      </w:pPr>
      <w:r>
        <w:rPr>
          <w:rFonts w:hint="eastAsia" w:ascii="方正楷体_GBK" w:hAnsi="仿宋_GB2312" w:eastAsia="方正楷体_GBK" w:cs="仿宋_GB2312"/>
          <w:sz w:val="32"/>
          <w:szCs w:val="32"/>
        </w:rPr>
        <w:t>（二）政府采购情况</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所属各预算单位政府采购预</w:t>
      </w:r>
      <w:r>
        <w:rPr>
          <w:rFonts w:hint="eastAsia" w:ascii="仿宋_GB2312" w:hAnsi="仿宋_GB2312" w:eastAsia="仿宋_GB2312" w:cs="仿宋_GB2312"/>
          <w:sz w:val="32"/>
          <w:szCs w:val="32"/>
        </w:rPr>
        <w:t>算</w:t>
      </w:r>
      <w:r>
        <w:rPr>
          <w:rFonts w:ascii="仿宋_GB2312" w:hAnsi="仿宋_GB2312" w:eastAsia="仿宋_GB2312" w:cs="仿宋_GB2312"/>
          <w:sz w:val="32"/>
          <w:szCs w:val="32"/>
        </w:rPr>
        <w:t>总额</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万元：政府采购货物预算</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万元、政府采购工程预算</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万元、政府采购服务预算</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万元；其中一般</w:t>
      </w:r>
      <w:r>
        <w:rPr>
          <w:rFonts w:ascii="仿宋_GB2312" w:hAnsi="仿宋_GB2312" w:eastAsia="仿宋_GB2312" w:cs="仿宋_GB2312"/>
          <w:sz w:val="32"/>
          <w:szCs w:val="32"/>
        </w:rPr>
        <w:t>公</w:t>
      </w:r>
      <w:r>
        <w:rPr>
          <w:rFonts w:hint="eastAsia" w:ascii="仿宋_GB2312" w:hAnsi="仿宋_GB2312" w:eastAsia="仿宋_GB2312" w:cs="仿宋_GB2312"/>
          <w:sz w:val="32"/>
          <w:szCs w:val="32"/>
        </w:rPr>
        <w:t>共预算</w:t>
      </w:r>
      <w:r>
        <w:rPr>
          <w:rFonts w:ascii="仿宋_GB2312" w:hAnsi="仿宋_GB2312" w:eastAsia="仿宋_GB2312" w:cs="仿宋_GB2312"/>
          <w:sz w:val="32"/>
          <w:szCs w:val="32"/>
        </w:rPr>
        <w:t>拨款政府采购</w:t>
      </w:r>
      <w:r>
        <w:rPr>
          <w:rFonts w:hint="eastAsia" w:ascii="仿宋_GB2312" w:hAnsi="仿宋_GB2312" w:eastAsia="仿宋_GB2312" w:cs="仿宋_GB2312"/>
          <w:sz w:val="32"/>
          <w:szCs w:val="32"/>
        </w:rPr>
        <w:t>0万元：政府采购货物预算 0万元、政府采购工程预算 0 万元、政府采购服务预算 0万元。</w:t>
      </w:r>
    </w:p>
    <w:p>
      <w:pPr>
        <w:ind w:firstLine="880" w:firstLineChars="200"/>
        <w:rPr>
          <w:rFonts w:ascii="仿宋_GB2312" w:hAnsi="仿宋_GB2312" w:eastAsia="仿宋_GB2312" w:cs="仿宋_GB2312"/>
          <w:sz w:val="32"/>
          <w:szCs w:val="32"/>
        </w:rPr>
      </w:pPr>
      <w:r>
        <w:rPr>
          <w:rFonts w:hint="eastAsia" w:ascii="方正楷体_GBK" w:hAnsi="仿宋_GB2312" w:eastAsia="方正楷体_GBK" w:cs="仿宋_GB2312"/>
          <w:sz w:val="32"/>
          <w:szCs w:val="32"/>
        </w:rPr>
        <w:t>（三）绩效目标设置情况。</w:t>
      </w:r>
      <w:r>
        <w:rPr>
          <w:rFonts w:hint="eastAsia" w:ascii="仿宋_GB2312" w:hAnsi="仿宋_GB2312" w:eastAsia="仿宋_GB2312" w:cs="仿宋_GB2312"/>
          <w:sz w:val="32"/>
        </w:rPr>
        <w:t>2024</w:t>
      </w:r>
      <w:r>
        <w:rPr>
          <w:rFonts w:ascii="仿宋_GB2312" w:hAnsi="仿宋_GB2312" w:eastAsia="仿宋_GB2312" w:cs="仿宋_GB2312"/>
          <w:sz w:val="32"/>
        </w:rPr>
        <w:t>年</w:t>
      </w:r>
      <w:r>
        <w:rPr>
          <w:rFonts w:hint="eastAsia" w:ascii="仿宋_GB2312" w:hAnsi="仿宋_GB2312" w:eastAsia="仿宋_GB2312" w:cs="仿宋_GB2312"/>
          <w:sz w:val="32"/>
        </w:rPr>
        <w:t>项目支出均实行了</w:t>
      </w:r>
      <w:r>
        <w:rPr>
          <w:rFonts w:ascii="仿宋_GB2312" w:hAnsi="仿宋_GB2312" w:eastAsia="仿宋_GB2312" w:cs="仿宋_GB2312"/>
          <w:sz w:val="32"/>
        </w:rPr>
        <w:t>绩效目标管理</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涉及资金量 280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w:t>
      </w:r>
    </w:p>
    <w:p>
      <w:pPr>
        <w:ind w:firstLine="880" w:firstLineChars="200"/>
        <w:rPr>
          <w:rFonts w:ascii="仿宋_GB2312" w:hAnsi="仿宋_GB2312" w:eastAsia="仿宋_GB2312" w:cs="仿宋_GB2312"/>
          <w:color w:val="000000"/>
          <w:sz w:val="32"/>
          <w:szCs w:val="32"/>
        </w:rPr>
      </w:pPr>
      <w:r>
        <w:rPr>
          <w:rFonts w:hint="default" w:ascii="Times New Roman" w:hAnsi="Times New Roman" w:eastAsia="方正楷体_GBK" w:cs="Times New Roman"/>
          <w:color w:val="000000"/>
          <w:sz w:val="32"/>
          <w:szCs w:val="32"/>
        </w:rPr>
        <w:t>（四）国有资产占有使用情况。</w:t>
      </w:r>
      <w:r>
        <w:rPr>
          <w:rFonts w:hint="eastAsia" w:ascii="仿宋_GB2312" w:hAnsi="仿宋_GB2312" w:eastAsia="仿宋_GB2312" w:cs="仿宋_GB2312"/>
          <w:color w:val="000000"/>
          <w:sz w:val="32"/>
          <w:szCs w:val="32"/>
          <w:lang w:val="en-US" w:eastAsia="zh-CN"/>
        </w:rPr>
        <w:t>截至</w:t>
      </w:r>
      <w:bookmarkStart w:id="0" w:name="_GoBack"/>
      <w:bookmarkEnd w:id="0"/>
      <w:r>
        <w:rPr>
          <w:rFonts w:hint="eastAsia" w:ascii="仿宋_GB2312" w:hAnsi="仿宋_GB2312" w:eastAsia="仿宋_GB2312" w:cs="仿宋_GB2312"/>
          <w:color w:val="000000"/>
          <w:sz w:val="32"/>
          <w:szCs w:val="32"/>
        </w:rPr>
        <w:t>2023年12月，所属各预算单位共有车辆1 辆，其中一般公务用车1 辆、执勤执法用车0 辆。2024年一般公共预算安排购置车辆 0辆，其中一般公务用车0 辆、执勤执法用车 0辆。</w:t>
      </w:r>
    </w:p>
    <w:p>
      <w:pPr>
        <w:ind w:firstLine="880" w:firstLineChars="200"/>
        <w:rPr>
          <w:rFonts w:ascii="黑体" w:hAnsi="黑体" w:eastAsia="黑体" w:cs="仿宋_GB2312"/>
          <w:sz w:val="32"/>
          <w:szCs w:val="32"/>
        </w:rPr>
      </w:pPr>
      <w:r>
        <w:rPr>
          <w:rFonts w:hint="eastAsia" w:ascii="黑体" w:hAnsi="黑体" w:eastAsia="黑体" w:cs="仿宋_GB2312"/>
          <w:sz w:val="32"/>
          <w:szCs w:val="32"/>
        </w:rPr>
        <w:t>六、专业性名词解释</w:t>
      </w:r>
    </w:p>
    <w:p>
      <w:pPr>
        <w:ind w:firstLine="8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（一）财政拨款收入：指本年度从本级财政部门取得的财政拨款，包括一般公共预算财政拨款和政府性基金预算财政拨款。</w:t>
      </w:r>
    </w:p>
    <w:p>
      <w:pPr>
        <w:ind w:firstLine="880" w:firstLineChars="200"/>
        <w:rPr>
          <w:rFonts w:ascii="方正仿宋_GBK" w:eastAsia="方正仿宋_GBK"/>
          <w:sz w:val="32"/>
          <w:szCs w:val="32"/>
        </w:rPr>
      </w:pPr>
      <w:r>
        <w:rPr>
          <w:rFonts w:hint="eastAsia" w:ascii="仿宋_GB2312" w:hAnsi="仿宋_GB2312" w:eastAsia="仿宋_GB2312" w:cs="仿宋_GB2312"/>
          <w:sz w:val="32"/>
          <w:szCs w:val="32"/>
        </w:rPr>
        <w:t>（二）其他收入：指单位取得的除“财政拨款收入”、“事业收入”、“经营收入”等以外的收入</w:t>
      </w:r>
      <w:r>
        <w:rPr>
          <w:rFonts w:hint="eastAsia" w:ascii="方正仿宋_GBK" w:eastAsia="方正仿宋_GBK"/>
          <w:sz w:val="32"/>
          <w:szCs w:val="32"/>
        </w:rPr>
        <w:t>。</w:t>
      </w:r>
    </w:p>
    <w:p>
      <w:pPr>
        <w:pStyle w:val="10"/>
        <w:tabs>
          <w:tab w:val="center" w:pos="4153"/>
          <w:tab w:val="left" w:pos="7275"/>
        </w:tabs>
        <w:spacing w:line="600" w:lineRule="exact"/>
        <w:ind w:firstLine="8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（三）基本支出：指为保障机构正常运转、完成日常工作任务而发生的人员经费和公用经费。</w:t>
      </w:r>
    </w:p>
    <w:p>
      <w:pPr>
        <w:pStyle w:val="10"/>
        <w:tabs>
          <w:tab w:val="center" w:pos="4153"/>
          <w:tab w:val="left" w:pos="7275"/>
        </w:tabs>
        <w:spacing w:line="600" w:lineRule="exact"/>
        <w:ind w:firstLine="8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（四）项目支出：指在基本支出之外为完成特定行政任务和事业发展目标所发生的支出。</w:t>
      </w:r>
    </w:p>
    <w:p>
      <w:pPr>
        <w:ind w:firstLine="8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88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预算公开联系人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秦建娟，联系电话：023-70609023）</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1109948">
    <w:nsid w:val="5847F1BC"/>
    <w:multiLevelType w:val="singleLevel"/>
    <w:tmpl w:val="5847F1BC"/>
    <w:lvl w:ilvl="0" w:tentative="1">
      <w:start w:val="1"/>
      <w:numFmt w:val="chineseCounting"/>
      <w:suff w:val="nothing"/>
      <w:lvlText w:val="%1、"/>
      <w:lvlJc w:val="left"/>
    </w:lvl>
  </w:abstractNum>
  <w:abstractNum w:abstractNumId="1708332525">
    <w:nsid w:val="65D315ED"/>
    <w:multiLevelType w:val="singleLevel"/>
    <w:tmpl w:val="65D315ED"/>
    <w:lvl w:ilvl="0" w:tentative="1">
      <w:start w:val="1"/>
      <w:numFmt w:val="chineseCounting"/>
      <w:suff w:val="nothing"/>
      <w:lvlText w:val="（%1）"/>
      <w:lvlJc w:val="left"/>
    </w:lvl>
  </w:abstractNum>
  <w:num w:numId="1">
    <w:abstractNumId w:val="1481109948"/>
  </w:num>
  <w:num w:numId="2">
    <w:abstractNumId w:val="17083325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DUzOTJiZjIwMWY0NDQ2ZThiNWI3NWUzZDY2YTIwOGMifQ=="/>
  </w:docVars>
  <w:rsids>
    <w:rsidRoot w:val="004F7D1D"/>
    <w:rsid w:val="00006FB1"/>
    <w:rsid w:val="0001271B"/>
    <w:rsid w:val="00023A4C"/>
    <w:rsid w:val="00042219"/>
    <w:rsid w:val="00047C7A"/>
    <w:rsid w:val="00053834"/>
    <w:rsid w:val="000551A4"/>
    <w:rsid w:val="00057520"/>
    <w:rsid w:val="000624D8"/>
    <w:rsid w:val="0007330D"/>
    <w:rsid w:val="00075914"/>
    <w:rsid w:val="0008570C"/>
    <w:rsid w:val="00091B93"/>
    <w:rsid w:val="00093301"/>
    <w:rsid w:val="00096685"/>
    <w:rsid w:val="000A60FC"/>
    <w:rsid w:val="000C594E"/>
    <w:rsid w:val="000D2E8F"/>
    <w:rsid w:val="000D6437"/>
    <w:rsid w:val="000F1499"/>
    <w:rsid w:val="000F5707"/>
    <w:rsid w:val="0010264D"/>
    <w:rsid w:val="00106A76"/>
    <w:rsid w:val="00125C07"/>
    <w:rsid w:val="0014404E"/>
    <w:rsid w:val="001525DD"/>
    <w:rsid w:val="00161474"/>
    <w:rsid w:val="00165A74"/>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14440"/>
    <w:rsid w:val="003163CF"/>
    <w:rsid w:val="003229C2"/>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9017F"/>
    <w:rsid w:val="00492FB3"/>
    <w:rsid w:val="004B1650"/>
    <w:rsid w:val="004C42ED"/>
    <w:rsid w:val="004C60BD"/>
    <w:rsid w:val="004D1E02"/>
    <w:rsid w:val="004E592A"/>
    <w:rsid w:val="004E6E1A"/>
    <w:rsid w:val="004F1853"/>
    <w:rsid w:val="004F7D1D"/>
    <w:rsid w:val="00500B1D"/>
    <w:rsid w:val="00506DF4"/>
    <w:rsid w:val="00507823"/>
    <w:rsid w:val="005228CA"/>
    <w:rsid w:val="00536713"/>
    <w:rsid w:val="00543257"/>
    <w:rsid w:val="00572736"/>
    <w:rsid w:val="0058350C"/>
    <w:rsid w:val="005A1227"/>
    <w:rsid w:val="005A4606"/>
    <w:rsid w:val="005A4AD7"/>
    <w:rsid w:val="005B0F11"/>
    <w:rsid w:val="005E18A6"/>
    <w:rsid w:val="005F1960"/>
    <w:rsid w:val="006115F1"/>
    <w:rsid w:val="00620BCE"/>
    <w:rsid w:val="0066585E"/>
    <w:rsid w:val="006809FA"/>
    <w:rsid w:val="00681F30"/>
    <w:rsid w:val="006C01C3"/>
    <w:rsid w:val="006D0C33"/>
    <w:rsid w:val="006D1609"/>
    <w:rsid w:val="006E0BEC"/>
    <w:rsid w:val="006E455F"/>
    <w:rsid w:val="006F7539"/>
    <w:rsid w:val="00714828"/>
    <w:rsid w:val="007158F8"/>
    <w:rsid w:val="0071734A"/>
    <w:rsid w:val="007252E3"/>
    <w:rsid w:val="007336ED"/>
    <w:rsid w:val="00740102"/>
    <w:rsid w:val="00742C4D"/>
    <w:rsid w:val="007620B8"/>
    <w:rsid w:val="00762CF8"/>
    <w:rsid w:val="007642C7"/>
    <w:rsid w:val="00765DF5"/>
    <w:rsid w:val="007713EB"/>
    <w:rsid w:val="00791CE4"/>
    <w:rsid w:val="007B10D4"/>
    <w:rsid w:val="007B22D6"/>
    <w:rsid w:val="007B4264"/>
    <w:rsid w:val="007B5ACF"/>
    <w:rsid w:val="007B6182"/>
    <w:rsid w:val="007C4C9B"/>
    <w:rsid w:val="007D2AEA"/>
    <w:rsid w:val="007D4F40"/>
    <w:rsid w:val="007E098F"/>
    <w:rsid w:val="007E0B4D"/>
    <w:rsid w:val="007E6A39"/>
    <w:rsid w:val="007F68E5"/>
    <w:rsid w:val="00801BFF"/>
    <w:rsid w:val="00803270"/>
    <w:rsid w:val="00805D05"/>
    <w:rsid w:val="00813B4F"/>
    <w:rsid w:val="00830BF3"/>
    <w:rsid w:val="00833B65"/>
    <w:rsid w:val="00837BDB"/>
    <w:rsid w:val="008560C6"/>
    <w:rsid w:val="00866533"/>
    <w:rsid w:val="00876439"/>
    <w:rsid w:val="00880920"/>
    <w:rsid w:val="008854DB"/>
    <w:rsid w:val="00893BF5"/>
    <w:rsid w:val="008A13B7"/>
    <w:rsid w:val="008A622D"/>
    <w:rsid w:val="008D2570"/>
    <w:rsid w:val="008D33F5"/>
    <w:rsid w:val="008E3C27"/>
    <w:rsid w:val="008E5A19"/>
    <w:rsid w:val="008E7590"/>
    <w:rsid w:val="008F1CA6"/>
    <w:rsid w:val="008F731A"/>
    <w:rsid w:val="00905727"/>
    <w:rsid w:val="00914195"/>
    <w:rsid w:val="00926FE2"/>
    <w:rsid w:val="00933A24"/>
    <w:rsid w:val="00936EDC"/>
    <w:rsid w:val="00940465"/>
    <w:rsid w:val="0094655E"/>
    <w:rsid w:val="009561D9"/>
    <w:rsid w:val="009653AE"/>
    <w:rsid w:val="00970509"/>
    <w:rsid w:val="00972AB0"/>
    <w:rsid w:val="00983001"/>
    <w:rsid w:val="0098712E"/>
    <w:rsid w:val="009B77D4"/>
    <w:rsid w:val="009E6734"/>
    <w:rsid w:val="009F01A9"/>
    <w:rsid w:val="00A05F72"/>
    <w:rsid w:val="00A07288"/>
    <w:rsid w:val="00A174AB"/>
    <w:rsid w:val="00A21DCD"/>
    <w:rsid w:val="00A33F5E"/>
    <w:rsid w:val="00A35F07"/>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65450"/>
    <w:rsid w:val="00B72347"/>
    <w:rsid w:val="00B86388"/>
    <w:rsid w:val="00BB3B39"/>
    <w:rsid w:val="00BC2C3D"/>
    <w:rsid w:val="00BD5AA0"/>
    <w:rsid w:val="00BD5FA5"/>
    <w:rsid w:val="00BE573E"/>
    <w:rsid w:val="00BE5821"/>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8D9"/>
    <w:rsid w:val="00D64C2C"/>
    <w:rsid w:val="00D66063"/>
    <w:rsid w:val="00D77D37"/>
    <w:rsid w:val="00D80BC2"/>
    <w:rsid w:val="00D8620E"/>
    <w:rsid w:val="00DA7788"/>
    <w:rsid w:val="00DA7FE6"/>
    <w:rsid w:val="00DB0EC5"/>
    <w:rsid w:val="00DB2D78"/>
    <w:rsid w:val="00DB4539"/>
    <w:rsid w:val="00DE3685"/>
    <w:rsid w:val="00DE5805"/>
    <w:rsid w:val="00DF17C8"/>
    <w:rsid w:val="00E00D68"/>
    <w:rsid w:val="00E01CEB"/>
    <w:rsid w:val="00E11FB2"/>
    <w:rsid w:val="00E1530B"/>
    <w:rsid w:val="00E275D0"/>
    <w:rsid w:val="00E40ED1"/>
    <w:rsid w:val="00E4747D"/>
    <w:rsid w:val="00E67557"/>
    <w:rsid w:val="00E712B9"/>
    <w:rsid w:val="00E96899"/>
    <w:rsid w:val="00EC09E7"/>
    <w:rsid w:val="00EC409D"/>
    <w:rsid w:val="00EE21B6"/>
    <w:rsid w:val="00EF1B14"/>
    <w:rsid w:val="00EF782E"/>
    <w:rsid w:val="00EF7D6B"/>
    <w:rsid w:val="00F11A07"/>
    <w:rsid w:val="00F258CE"/>
    <w:rsid w:val="00F605C0"/>
    <w:rsid w:val="00F66710"/>
    <w:rsid w:val="00F84112"/>
    <w:rsid w:val="00F86A3C"/>
    <w:rsid w:val="00F90464"/>
    <w:rsid w:val="00F9492F"/>
    <w:rsid w:val="00FC2169"/>
    <w:rsid w:val="00FC2267"/>
    <w:rsid w:val="00FD78C3"/>
    <w:rsid w:val="00FE12C3"/>
    <w:rsid w:val="00FE28C5"/>
    <w:rsid w:val="01A83915"/>
    <w:rsid w:val="02631CFC"/>
    <w:rsid w:val="03A879FF"/>
    <w:rsid w:val="03B67684"/>
    <w:rsid w:val="0463609B"/>
    <w:rsid w:val="07BE1A52"/>
    <w:rsid w:val="08B86B84"/>
    <w:rsid w:val="097377E5"/>
    <w:rsid w:val="0D7B7604"/>
    <w:rsid w:val="0F61655E"/>
    <w:rsid w:val="172A0EF2"/>
    <w:rsid w:val="17CC652E"/>
    <w:rsid w:val="185A13F0"/>
    <w:rsid w:val="18CC21E2"/>
    <w:rsid w:val="19C5040D"/>
    <w:rsid w:val="19D75DEA"/>
    <w:rsid w:val="1A710D72"/>
    <w:rsid w:val="1B7962F3"/>
    <w:rsid w:val="215C7632"/>
    <w:rsid w:val="22A879B8"/>
    <w:rsid w:val="24951018"/>
    <w:rsid w:val="25BB59F6"/>
    <w:rsid w:val="26442DF1"/>
    <w:rsid w:val="28403565"/>
    <w:rsid w:val="2AF746E4"/>
    <w:rsid w:val="2E0A714A"/>
    <w:rsid w:val="317C6D0D"/>
    <w:rsid w:val="31F13A2C"/>
    <w:rsid w:val="3215608A"/>
    <w:rsid w:val="32E038C4"/>
    <w:rsid w:val="354168D6"/>
    <w:rsid w:val="36400366"/>
    <w:rsid w:val="36EF313C"/>
    <w:rsid w:val="393F208D"/>
    <w:rsid w:val="3BC5739B"/>
    <w:rsid w:val="3D332DF5"/>
    <w:rsid w:val="3F402ED5"/>
    <w:rsid w:val="42B04C67"/>
    <w:rsid w:val="42EF452D"/>
    <w:rsid w:val="47492FDA"/>
    <w:rsid w:val="48310C7F"/>
    <w:rsid w:val="48FF630F"/>
    <w:rsid w:val="4B2C5164"/>
    <w:rsid w:val="4D744794"/>
    <w:rsid w:val="4F2633C7"/>
    <w:rsid w:val="5177081B"/>
    <w:rsid w:val="51D27B8C"/>
    <w:rsid w:val="56BB2E72"/>
    <w:rsid w:val="586F2E10"/>
    <w:rsid w:val="59335D4B"/>
    <w:rsid w:val="5B9D3699"/>
    <w:rsid w:val="5D266030"/>
    <w:rsid w:val="5DA3276F"/>
    <w:rsid w:val="5F9D1513"/>
    <w:rsid w:val="65106DD2"/>
    <w:rsid w:val="66D67240"/>
    <w:rsid w:val="6AC41116"/>
    <w:rsid w:val="6CCC46AB"/>
    <w:rsid w:val="6E613CA3"/>
    <w:rsid w:val="6E75546B"/>
    <w:rsid w:val="6EAB2ECF"/>
    <w:rsid w:val="6FFA5DD7"/>
    <w:rsid w:val="71CB0848"/>
    <w:rsid w:val="73433BA9"/>
    <w:rsid w:val="76C73461"/>
    <w:rsid w:val="794D6BD1"/>
    <w:rsid w:val="7A434851"/>
    <w:rsid w:val="7C62146C"/>
    <w:rsid w:val="7F611C8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style>
  <w:style w:type="paragraph" w:styleId="4">
    <w:name w:val="Balloon Text"/>
    <w:basedOn w:val="1"/>
    <w:link w:val="13"/>
    <w:uiPriority w:val="0"/>
    <w:rPr>
      <w:sz w:val="18"/>
      <w:szCs w:val="18"/>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customStyle="1" w:styleId="10">
    <w:name w:val="List Paragraph"/>
    <w:basedOn w:val="1"/>
    <w:qFormat/>
    <w:uiPriority w:val="34"/>
    <w:pPr>
      <w:ind w:firstLine="420" w:firstLineChars="200"/>
    </w:pPr>
  </w:style>
  <w:style w:type="character" w:customStyle="1" w:styleId="11">
    <w:name w:val="页眉 Char"/>
    <w:link w:val="6"/>
    <w:uiPriority w:val="0"/>
    <w:rPr>
      <w:kern w:val="2"/>
      <w:sz w:val="18"/>
      <w:szCs w:val="18"/>
    </w:rPr>
  </w:style>
  <w:style w:type="character" w:customStyle="1" w:styleId="12">
    <w:name w:val="页脚 Char"/>
    <w:link w:val="5"/>
    <w:uiPriority w:val="0"/>
    <w:rPr>
      <w:kern w:val="2"/>
      <w:sz w:val="18"/>
      <w:szCs w:val="18"/>
    </w:rPr>
  </w:style>
  <w:style w:type="character" w:customStyle="1" w:styleId="13">
    <w:name w:val="批注框文本 Char"/>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318</Words>
  <Characters>1814</Characters>
  <Lines>15</Lines>
  <Paragraphs>4</Paragraphs>
  <ScaleCrop>false</ScaleCrop>
  <LinksUpToDate>false</LinksUpToDate>
  <CharactersWithSpaces>0</CharactersWithSpaces>
  <Application>WPS Office_9.1.0.5087_{F1E327BC-269C-435d-A152-05C5408002CA}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2018-12-17T06:47:00Z</dcterms:created>
  <dc:creator>Administrator</dc:creator>
  <cp:lastModifiedBy>acer</cp:lastModifiedBy>
  <cp:lastPrinted>2018-01-02T08:11:00Z</cp:lastPrinted>
  <dcterms:modified xsi:type="dcterms:W3CDTF">2024-02-21T09:16:08Z</dcterms:modified>
  <dc:title>丰都县江池镇卫生院2023年部门预算情况说明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y fmtid="{D5CDD505-2E9C-101B-9397-08002B2CF9AE}" pid="3" name="ICV">
    <vt:lpwstr>E914BD2CAFA044D69340B2453FD0099D_13</vt:lpwstr>
  </property>
</Properties>
</file>