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丰都县计划生育协会</w:t>
      </w:r>
    </w:p>
    <w:p>
      <w:pPr>
        <w:spacing w:line="60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4"/>
          <w:szCs w:val="44"/>
        </w:rPr>
        <w:t>2024年部门预算情况说明</w:t>
      </w:r>
    </w:p>
    <w:p>
      <w:pPr>
        <w:spacing w:line="600" w:lineRule="exact"/>
        <w:ind w:firstLine="880" w:firstLineChars="200"/>
        <w:jc w:val="center"/>
        <w:rPr>
          <w:rFonts w:hint="eastAsia" w:ascii="方正小标宋_GBK" w:hAnsi="华文中宋" w:eastAsia="方正小标宋_GBK" w:cs="华文中宋"/>
          <w:sz w:val="44"/>
          <w:szCs w:val="44"/>
        </w:rPr>
      </w:pP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单位基本情况</w:t>
      </w:r>
    </w:p>
    <w:p>
      <w:pPr>
        <w:numPr>
          <w:ilvl w:val="0"/>
          <w:numId w:val="2"/>
        </w:numPr>
        <w:spacing w:line="600" w:lineRule="exact"/>
        <w:ind w:firstLine="640" w:firstLineChars="200"/>
        <w:rPr>
          <w:rFonts w:hint="eastAsia" w:ascii="仿宋_GB2312" w:hAnsi="仿宋_GB2312" w:eastAsia="仿宋_GB2312" w:cs="仿宋_GB2312"/>
          <w:sz w:val="32"/>
        </w:rPr>
      </w:pPr>
      <w:r>
        <w:rPr>
          <w:rFonts w:hint="eastAsia" w:ascii="方正楷体_GBK" w:hAnsi="仿宋_GB2312" w:eastAsia="方正楷体_GBK" w:cs="仿宋_GB2312"/>
          <w:sz w:val="32"/>
        </w:rPr>
        <w:t>职能职责。</w:t>
      </w:r>
    </w:p>
    <w:p>
      <w:pPr>
        <w:numPr>
          <w:ilvl w:val="0"/>
          <w:numId w:val="0"/>
        </w:num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协助党委</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政府抓好全县人口和计划生育工作，帮助群众解决实行计划生育的实际困难和后顾之忧，检查考核基层计生协会工作，负责处理县计划生育协会机关的日常事务。</w:t>
      </w:r>
    </w:p>
    <w:p>
      <w:pPr>
        <w:pStyle w:val="8"/>
        <w:tabs>
          <w:tab w:val="center" w:pos="4153"/>
          <w:tab w:val="left" w:pos="7275"/>
        </w:tabs>
        <w:spacing w:line="600" w:lineRule="exact"/>
        <w:ind w:left="640" w:firstLine="0" w:firstLineChars="0"/>
        <w:jc w:val="left"/>
        <w:rPr>
          <w:rFonts w:hint="eastAsia" w:ascii="仿宋_GB2312" w:hAnsi="仿宋_GB2312" w:eastAsia="仿宋_GB2312" w:cs="仿宋_GB2312"/>
          <w:sz w:val="32"/>
        </w:rPr>
      </w:pPr>
      <w:r>
        <w:rPr>
          <w:rFonts w:hint="eastAsia" w:ascii="方正楷体_GBK" w:hAnsi="仿宋_GB2312" w:eastAsia="方正楷体_GBK" w:cs="仿宋_GB2312"/>
          <w:sz w:val="32"/>
        </w:rPr>
        <w:t>（二）单位构成。</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丰都县计划生育协会为丰都县卫生健康委员会下属二级单位，包含机关事业编制3名。其中：专职副会长1名，秘书长1名（按中层干部配备）。</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部门</w:t>
      </w:r>
      <w:r>
        <w:rPr>
          <w:rFonts w:ascii="黑体" w:hAnsi="黑体" w:eastAsia="黑体" w:cs="仿宋_GB2312"/>
          <w:sz w:val="32"/>
        </w:rPr>
        <w:t>收支总体情况</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（一）收入预算：</w:t>
      </w:r>
      <w:r>
        <w:rPr>
          <w:rFonts w:hint="eastAsia" w:ascii="仿宋_GB2312" w:hAnsi="仿宋_GB2312" w:eastAsia="仿宋_GB2312" w:cs="仿宋_GB2312"/>
          <w:sz w:val="32"/>
        </w:rPr>
        <w:t>2024年年初预算数217.86万元，其中：一般公共预算拨款217.86万元，政府性基金预算拨款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万元，国有资本经营预算拨款</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万元，事业收入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w:t>
      </w:r>
      <w:r>
        <w:rPr>
          <w:rFonts w:ascii="仿宋_GB2312" w:hAnsi="仿宋_GB2312" w:eastAsia="仿宋_GB2312" w:cs="仿宋_GB2312"/>
          <w:sz w:val="32"/>
        </w:rPr>
        <w:t>元，</w:t>
      </w:r>
      <w:r>
        <w:rPr>
          <w:rFonts w:hint="eastAsia" w:ascii="仿宋_GB2312" w:hAnsi="仿宋_GB2312" w:eastAsia="仿宋_GB2312" w:cs="仿宋_GB2312"/>
          <w:sz w:val="32"/>
        </w:rPr>
        <w:t>事业单位经营收入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，其他收入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万元。收入较去年增加</w:t>
      </w:r>
      <w:r>
        <w:rPr>
          <w:rFonts w:ascii="仿宋_GB2312" w:hAnsi="仿宋_GB2312" w:eastAsia="仿宋_GB2312" w:cs="仿宋_GB2312"/>
          <w:sz w:val="32"/>
        </w:rPr>
        <w:t xml:space="preserve"> </w:t>
      </w:r>
      <w:r>
        <w:rPr>
          <w:rFonts w:hint="eastAsia" w:ascii="仿宋_GB2312" w:hAnsi="仿宋_GB2312" w:eastAsia="仿宋_GB2312" w:cs="仿宋_GB2312"/>
          <w:sz w:val="32"/>
        </w:rPr>
        <w:t>96.06万元，主要是一般公共预算资金经费拨款增加</w:t>
      </w:r>
      <w:r>
        <w:rPr>
          <w:rFonts w:hint="eastAsia" w:ascii="仿宋_GB2312" w:hAnsi="仿宋_GB2312" w:eastAsia="仿宋_GB2312" w:cs="仿宋_GB2312"/>
          <w:sz w:val="32"/>
          <w:lang w:val="en-US" w:eastAsia="zh-CN"/>
        </w:rPr>
        <w:t>96.06</w:t>
      </w:r>
      <w:r>
        <w:rPr>
          <w:rFonts w:hint="eastAsia" w:ascii="仿宋_GB2312" w:hAnsi="仿宋_GB2312" w:eastAsia="仿宋_GB2312" w:cs="仿宋_GB2312"/>
          <w:sz w:val="32"/>
        </w:rPr>
        <w:t>万元。</w:t>
      </w:r>
    </w:p>
    <w:p>
      <w:pPr>
        <w:spacing w:line="600" w:lineRule="exact"/>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（二）支出预算：</w:t>
      </w:r>
      <w:r>
        <w:rPr>
          <w:rFonts w:hint="eastAsia" w:ascii="仿宋_GB2312" w:hAnsi="仿宋_GB2312" w:eastAsia="仿宋_GB2312" w:cs="仿宋_GB2312"/>
          <w:sz w:val="32"/>
        </w:rPr>
        <w:t>2024年年初预算数217.86万元，其中：一般公共服务支出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万元，教育支出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万元，社会保障和就业支出9.07万元，卫生健康支出203.75万元，住房保障支出5.03万元。支出较去年增加96.06万元，主要是基本支出增加</w:t>
      </w:r>
      <w:r>
        <w:rPr>
          <w:rFonts w:hint="eastAsia" w:ascii="仿宋_GB2312" w:hAnsi="仿宋_GB2312" w:eastAsia="仿宋_GB2312" w:cs="仿宋_GB2312"/>
          <w:sz w:val="32"/>
          <w:lang w:val="en-US" w:eastAsia="zh-CN"/>
        </w:rPr>
        <w:t>24.06</w:t>
      </w:r>
      <w:r>
        <w:rPr>
          <w:rFonts w:hint="eastAsia" w:ascii="仿宋_GB2312" w:hAnsi="仿宋_GB2312" w:eastAsia="仿宋_GB2312" w:cs="仿宋_GB2312"/>
          <w:sz w:val="32"/>
        </w:rPr>
        <w:t>万元，项目支出增加</w:t>
      </w:r>
      <w:r>
        <w:rPr>
          <w:rFonts w:hint="eastAsia" w:ascii="仿宋_GB2312" w:hAnsi="仿宋_GB2312" w:eastAsia="仿宋_GB2312" w:cs="仿宋_GB2312"/>
          <w:sz w:val="32"/>
          <w:lang w:val="en-US" w:eastAsia="zh-CN"/>
        </w:rPr>
        <w:t>72.00</w:t>
      </w:r>
      <w:r>
        <w:rPr>
          <w:rFonts w:hint="eastAsia" w:ascii="仿宋_GB2312" w:hAnsi="仿宋_GB2312" w:eastAsia="仿宋_GB2312" w:cs="仿宋_GB2312"/>
          <w:sz w:val="32"/>
        </w:rPr>
        <w:t>万元。</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部门预算情况说明</w:t>
      </w:r>
    </w:p>
    <w:p>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2024年一般公共预算财政拨款收入217.86万元，一般公共预算财政拨款支出217.86万元，比2023年增加</w:t>
      </w:r>
      <w:r>
        <w:rPr>
          <w:rFonts w:hint="eastAsia" w:ascii="仿宋_GB2312" w:hAnsi="仿宋_GB2312" w:eastAsia="仿宋_GB2312" w:cs="仿宋_GB2312"/>
          <w:sz w:val="32"/>
          <w:lang w:val="en-US" w:eastAsia="zh-CN"/>
        </w:rPr>
        <w:t>96.06</w:t>
      </w:r>
      <w:r>
        <w:rPr>
          <w:rFonts w:hint="eastAsia" w:ascii="仿宋_GB2312" w:hAnsi="仿宋_GB2312" w:eastAsia="仿宋_GB2312" w:cs="仿宋_GB2312"/>
          <w:sz w:val="32"/>
        </w:rPr>
        <w:t>万元。其中</w:t>
      </w:r>
      <w:r>
        <w:rPr>
          <w:rFonts w:ascii="仿宋_GB2312" w:hAnsi="仿宋_GB2312" w:eastAsia="仿宋_GB2312" w:cs="仿宋_GB2312"/>
          <w:sz w:val="32"/>
        </w:rPr>
        <w:t>：</w:t>
      </w:r>
      <w:r>
        <w:rPr>
          <w:rFonts w:hint="eastAsia" w:ascii="仿宋_GB2312" w:hAnsi="仿宋_GB2312" w:eastAsia="仿宋_GB2312" w:cs="仿宋_GB2312"/>
          <w:sz w:val="32"/>
        </w:rPr>
        <w:t>基本支出</w:t>
      </w:r>
      <w:r>
        <w:rPr>
          <w:rFonts w:hint="eastAsia" w:ascii="仿宋_GB2312" w:hAnsi="仿宋_GB2312" w:eastAsia="仿宋_GB2312" w:cs="仿宋_GB2312"/>
          <w:sz w:val="32"/>
          <w:lang w:val="en-US" w:eastAsia="zh-CN"/>
        </w:rPr>
        <w:t>71.86</w:t>
      </w:r>
      <w:r>
        <w:rPr>
          <w:rFonts w:hint="eastAsia" w:ascii="仿宋_GB2312" w:hAnsi="仿宋_GB2312" w:eastAsia="仿宋_GB2312" w:cs="仿宋_GB2312"/>
          <w:sz w:val="32"/>
        </w:rPr>
        <w:t>万元，比2023年增加</w:t>
      </w:r>
      <w:r>
        <w:rPr>
          <w:rFonts w:hint="eastAsia" w:ascii="仿宋_GB2312" w:hAnsi="仿宋_GB2312" w:eastAsia="仿宋_GB2312" w:cs="仿宋_GB2312"/>
          <w:sz w:val="32"/>
          <w:lang w:val="en-US" w:eastAsia="zh-CN"/>
        </w:rPr>
        <w:t>24.06</w:t>
      </w:r>
      <w:r>
        <w:rPr>
          <w:rFonts w:hint="eastAsia" w:ascii="仿宋_GB2312" w:hAnsi="仿宋_GB2312" w:eastAsia="仿宋_GB2312" w:cs="仿宋_GB2312"/>
          <w:sz w:val="32"/>
        </w:rPr>
        <w:t>万元，主要是社会保障和就业支出</w:t>
      </w:r>
      <w:r>
        <w:rPr>
          <w:rFonts w:hint="eastAsia" w:ascii="仿宋_GB2312" w:hAnsi="仿宋_GB2312" w:eastAsia="仿宋_GB2312" w:cs="仿宋_GB2312"/>
          <w:sz w:val="32"/>
          <w:lang w:val="en-US" w:eastAsia="zh-CN"/>
        </w:rPr>
        <w:t>增加2.98万元，卫生健康支出增加17.09万元，行政事业单位医疗增加2.35万元，住房保障支出增加1.63万元</w:t>
      </w:r>
      <w:r>
        <w:rPr>
          <w:rFonts w:hint="eastAsia" w:ascii="仿宋_GB2312" w:hAnsi="仿宋_GB2312" w:eastAsia="仿宋_GB2312" w:cs="仿宋_GB2312"/>
          <w:sz w:val="32"/>
        </w:rPr>
        <w:t>，主要用于</w:t>
      </w:r>
      <w:r>
        <w:rPr>
          <w:rFonts w:ascii="仿宋_GB2312" w:hAnsi="仿宋_GB2312" w:eastAsia="仿宋_GB2312" w:cs="仿宋_GB2312"/>
          <w:sz w:val="32"/>
        </w:rPr>
        <w:t>保障</w:t>
      </w:r>
      <w:r>
        <w:rPr>
          <w:rFonts w:hint="eastAsia" w:ascii="仿宋_GB2312" w:hAnsi="仿宋_GB2312" w:eastAsia="仿宋_GB2312" w:cs="仿宋_GB2312"/>
          <w:sz w:val="32"/>
        </w:rPr>
        <w:t>在职人员工资福利及社会保险缴费，</w:t>
      </w:r>
      <w:r>
        <w:rPr>
          <w:rFonts w:ascii="仿宋_GB2312" w:hAnsi="仿宋_GB2312" w:eastAsia="仿宋_GB2312" w:cs="仿宋_GB2312"/>
          <w:sz w:val="32"/>
        </w:rPr>
        <w:t>退休人员</w:t>
      </w:r>
      <w:r>
        <w:rPr>
          <w:rFonts w:hint="eastAsia" w:ascii="仿宋_GB2312" w:hAnsi="仿宋_GB2312" w:eastAsia="仿宋_GB2312" w:cs="仿宋_GB2312"/>
          <w:sz w:val="32"/>
        </w:rPr>
        <w:t>补助</w:t>
      </w:r>
      <w:bookmarkStart w:id="0" w:name="_GoBack"/>
      <w:bookmarkEnd w:id="0"/>
      <w:r>
        <w:rPr>
          <w:rFonts w:hint="eastAsia" w:ascii="仿宋_GB2312" w:hAnsi="仿宋_GB2312" w:eastAsia="仿宋_GB2312" w:cs="仿宋_GB2312"/>
          <w:sz w:val="32"/>
        </w:rPr>
        <w:t>等，保障部门正常运转的各项商品服务支出；项目支出</w:t>
      </w:r>
      <w:r>
        <w:rPr>
          <w:rFonts w:hint="eastAsia" w:ascii="仿宋_GB2312" w:hAnsi="仿宋_GB2312" w:eastAsia="仿宋_GB2312" w:cs="仿宋_GB2312"/>
          <w:sz w:val="32"/>
          <w:lang w:val="en-US" w:eastAsia="zh-CN"/>
        </w:rPr>
        <w:t>146.00</w:t>
      </w:r>
      <w:r>
        <w:rPr>
          <w:rFonts w:hint="eastAsia" w:ascii="仿宋_GB2312" w:hAnsi="仿宋_GB2312" w:eastAsia="仿宋_GB2312" w:cs="仿宋_GB2312"/>
          <w:sz w:val="32"/>
        </w:rPr>
        <w:t>万元，比2023年增加</w:t>
      </w:r>
      <w:r>
        <w:rPr>
          <w:rFonts w:hint="eastAsia" w:ascii="仿宋_GB2312" w:hAnsi="仿宋_GB2312" w:eastAsia="仿宋_GB2312" w:cs="仿宋_GB2312"/>
          <w:sz w:val="32"/>
          <w:lang w:val="en-US" w:eastAsia="zh-CN"/>
        </w:rPr>
        <w:t>72.00</w:t>
      </w:r>
      <w:r>
        <w:rPr>
          <w:rFonts w:hint="eastAsia" w:ascii="仿宋_GB2312" w:hAnsi="仿宋_GB2312" w:eastAsia="仿宋_GB2312" w:cs="仿宋_GB2312"/>
          <w:sz w:val="32"/>
        </w:rPr>
        <w:t>万元，主要原因是</w:t>
      </w:r>
      <w:r>
        <w:rPr>
          <w:rFonts w:hint="eastAsia" w:ascii="仿宋_GB2312" w:hAnsi="仿宋_GB2312" w:eastAsia="仿宋_GB2312" w:cs="仿宋_GB2312"/>
          <w:sz w:val="32"/>
          <w:lang w:val="en-US" w:eastAsia="zh-CN"/>
        </w:rPr>
        <w:t>计生特殊家庭保险费等支出</w:t>
      </w:r>
      <w:r>
        <w:rPr>
          <w:rFonts w:hint="eastAsia" w:ascii="仿宋_GB2312" w:hAnsi="仿宋_GB2312" w:eastAsia="仿宋_GB2312" w:cs="仿宋_GB2312"/>
          <w:sz w:val="32"/>
        </w:rPr>
        <w:t>，主要用于计划生育特殊家庭扶助关怀等重点工作。</w:t>
      </w:r>
    </w:p>
    <w:p>
      <w:pPr>
        <w:spacing w:line="600" w:lineRule="exact"/>
        <w:ind w:firstLine="640" w:firstLineChars="200"/>
        <w:rPr>
          <w:rFonts w:hint="eastAsia" w:ascii="仿宋_GB2312" w:hAnsi="仿宋_GB2312" w:eastAsia="仿宋_GB2312" w:cs="仿宋_GB2312"/>
          <w:sz w:val="32"/>
          <w:lang w:eastAsia="zh-CN"/>
        </w:rPr>
      </w:pPr>
      <w:r>
        <w:rPr>
          <w:rFonts w:hint="eastAsia" w:ascii="仿宋_GB2312" w:hAnsi="仿宋_GB2312" w:eastAsia="仿宋_GB2312" w:cs="仿宋_GB2312"/>
          <w:sz w:val="32"/>
        </w:rPr>
        <w:t>2024年政府性</w:t>
      </w:r>
      <w:r>
        <w:rPr>
          <w:rFonts w:ascii="仿宋_GB2312" w:hAnsi="仿宋_GB2312" w:eastAsia="仿宋_GB2312" w:cs="仿宋_GB2312"/>
          <w:sz w:val="32"/>
        </w:rPr>
        <w:t>基金预算收入</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rPr>
        <w:t>政府性</w:t>
      </w:r>
      <w:r>
        <w:rPr>
          <w:rFonts w:ascii="仿宋_GB2312" w:hAnsi="仿宋_GB2312" w:eastAsia="仿宋_GB2312" w:cs="仿宋_GB2312"/>
          <w:sz w:val="32"/>
        </w:rPr>
        <w:t>基金预算支出</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ascii="仿宋_GB2312" w:hAnsi="仿宋_GB2312" w:eastAsia="仿宋_GB2312" w:cs="仿宋_GB2312"/>
          <w:sz w:val="32"/>
        </w:rPr>
        <w:t>，</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丰都县计划生育协会2024</w:t>
      </w:r>
      <w:r>
        <w:rPr>
          <w:rFonts w:ascii="仿宋_GB2312" w:hAnsi="仿宋_GB2312" w:eastAsia="仿宋_GB2312" w:cs="仿宋_GB2312"/>
          <w:sz w:val="32"/>
        </w:rPr>
        <w:t>年</w:t>
      </w:r>
      <w:r>
        <w:rPr>
          <w:rFonts w:hint="eastAsia" w:ascii="仿宋_GB2312" w:hAnsi="仿宋_GB2312" w:eastAsia="仿宋_GB2312" w:cs="仿宋_GB2312"/>
          <w:sz w:val="32"/>
        </w:rPr>
        <w:t>无</w:t>
      </w:r>
      <w:r>
        <w:rPr>
          <w:rFonts w:ascii="仿宋_GB2312" w:hAnsi="仿宋_GB2312" w:eastAsia="仿宋_GB2312" w:cs="仿宋_GB2312"/>
          <w:sz w:val="32"/>
        </w:rPr>
        <w:t>使用政府性基金预算拨款安排的支出</w:t>
      </w:r>
      <w:r>
        <w:rPr>
          <w:rFonts w:hint="eastAsia" w:ascii="仿宋_GB2312" w:hAnsi="仿宋_GB2312" w:eastAsia="仿宋_GB2312" w:cs="仿宋_GB2312"/>
          <w:sz w:val="32"/>
          <w:lang w:eastAsia="zh-CN"/>
        </w:rPr>
        <w:t>。</w:t>
      </w:r>
    </w:p>
    <w:p>
      <w:pPr>
        <w:numPr>
          <w:ilvl w:val="0"/>
          <w:numId w:val="1"/>
        </w:numPr>
        <w:spacing w:line="600" w:lineRule="exact"/>
        <w:ind w:firstLine="640" w:firstLineChars="200"/>
        <w:rPr>
          <w:rFonts w:ascii="黑体" w:hAnsi="黑体" w:eastAsia="黑体" w:cs="仿宋_GB2312"/>
          <w:sz w:val="32"/>
        </w:rPr>
      </w:pPr>
      <w:r>
        <w:rPr>
          <w:rFonts w:hint="eastAsia" w:ascii="黑体" w:hAnsi="黑体" w:eastAsia="黑体" w:cs="仿宋_GB2312"/>
          <w:sz w:val="32"/>
        </w:rPr>
        <w:t>“三公”经费情况说明</w:t>
      </w:r>
    </w:p>
    <w:p>
      <w:pPr>
        <w:spacing w:line="600" w:lineRule="exact"/>
        <w:ind w:firstLine="600"/>
        <w:rPr>
          <w:rFonts w:hint="eastAsia" w:ascii="仿宋_GB2312" w:hAnsi="仿宋_GB2312" w:eastAsia="仿宋_GB2312" w:cs="仿宋_GB2312"/>
          <w:sz w:val="32"/>
        </w:rPr>
      </w:pPr>
      <w:r>
        <w:rPr>
          <w:rFonts w:hint="eastAsia" w:ascii="仿宋_GB2312" w:hAnsi="仿宋_GB2312" w:eastAsia="仿宋_GB2312" w:cs="仿宋_GB2312"/>
          <w:sz w:val="32"/>
        </w:rPr>
        <w:t>2024年“三公”经费预算</w:t>
      </w:r>
      <w:r>
        <w:rPr>
          <w:rFonts w:hint="eastAsia" w:ascii="仿宋_GB2312" w:hAnsi="仿宋_GB2312" w:eastAsia="仿宋_GB2312" w:cs="仿宋_GB2312"/>
          <w:sz w:val="32"/>
          <w:lang w:val="en-US" w:eastAsia="zh-CN"/>
        </w:rPr>
        <w:t>0.6</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。其中：因公出国（境）费用</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0.60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；公务用车运行维护费</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w:t>
      </w:r>
      <w:r>
        <w:rPr>
          <w:rFonts w:ascii="仿宋_GB2312" w:hAnsi="仿宋_GB2312" w:eastAsia="仿宋_GB2312" w:cs="仿宋_GB2312"/>
          <w:sz w:val="32"/>
        </w:rPr>
        <w:t>公务</w:t>
      </w:r>
      <w:r>
        <w:rPr>
          <w:rFonts w:hint="eastAsia" w:ascii="仿宋_GB2312" w:hAnsi="仿宋_GB2312" w:eastAsia="仿宋_GB2312" w:cs="仿宋_GB2312"/>
          <w:sz w:val="32"/>
        </w:rPr>
        <w:t>用车</w:t>
      </w:r>
      <w:r>
        <w:rPr>
          <w:rFonts w:ascii="仿宋_GB2312" w:hAnsi="仿宋_GB2312" w:eastAsia="仿宋_GB2312" w:cs="仿宋_GB2312"/>
          <w:sz w:val="32"/>
        </w:rPr>
        <w:t>购置费</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与上年持平</w:t>
      </w:r>
      <w:r>
        <w:rPr>
          <w:rFonts w:hint="eastAsia" w:ascii="仿宋_GB2312" w:hAnsi="仿宋_GB2312" w:eastAsia="仿宋_GB2312" w:cs="仿宋_GB2312"/>
          <w:sz w:val="32"/>
        </w:rPr>
        <w:t>。</w:t>
      </w:r>
    </w:p>
    <w:p>
      <w:pPr>
        <w:numPr>
          <w:ilvl w:val="0"/>
          <w:numId w:val="1"/>
        </w:numPr>
        <w:spacing w:line="600" w:lineRule="exact"/>
        <w:ind w:firstLine="640" w:firstLineChars="200"/>
        <w:rPr>
          <w:rFonts w:hint="eastAsia" w:ascii="黑体" w:hAnsi="黑体" w:eastAsia="黑体" w:cs="仿宋_GB2312"/>
          <w:sz w:val="32"/>
        </w:rPr>
      </w:pPr>
      <w:r>
        <w:rPr>
          <w:rFonts w:hint="eastAsia" w:ascii="黑体" w:hAnsi="黑体" w:eastAsia="黑体" w:cs="仿宋_GB2312"/>
          <w:sz w:val="32"/>
        </w:rPr>
        <w:t>其他重要</w:t>
      </w:r>
      <w:r>
        <w:rPr>
          <w:rFonts w:ascii="黑体" w:hAnsi="黑体" w:eastAsia="黑体" w:cs="仿宋_GB2312"/>
          <w:sz w:val="32"/>
        </w:rPr>
        <w:t>事项的情况说明</w:t>
      </w:r>
    </w:p>
    <w:p>
      <w:pPr>
        <w:ind w:firstLine="640" w:firstLineChars="200"/>
        <w:rPr>
          <w:rFonts w:hint="eastAsia" w:ascii="方正楷体_GBK" w:hAnsi="仿宋_GB2312" w:eastAsia="方正楷体_GBK" w:cs="仿宋_GB2312"/>
          <w:sz w:val="32"/>
        </w:rPr>
      </w:pPr>
      <w:r>
        <w:rPr>
          <w:rFonts w:hint="eastAsia" w:ascii="方正楷体_GBK" w:hAnsi="仿宋_GB2312" w:eastAsia="方正楷体_GBK" w:cs="仿宋_GB2312"/>
          <w:sz w:val="32"/>
        </w:rPr>
        <w:t>（一）机关运行经费。</w:t>
      </w:r>
      <w:r>
        <w:rPr>
          <w:rFonts w:hint="eastAsia" w:ascii="仿宋_GB2312" w:hAnsi="仿宋_GB2312" w:eastAsia="仿宋_GB2312" w:cs="仿宋_GB2312"/>
          <w:sz w:val="32"/>
        </w:rPr>
        <w:t>2024年一般公共预算财政拨款运行经费8.81万元，比上年</w:t>
      </w:r>
      <w:r>
        <w:rPr>
          <w:rFonts w:ascii="仿宋_GB2312" w:hAnsi="仿宋_GB2312" w:eastAsia="仿宋_GB2312" w:cs="仿宋_GB2312"/>
          <w:sz w:val="32"/>
        </w:rPr>
        <w:t>增加</w:t>
      </w:r>
      <w:r>
        <w:rPr>
          <w:rFonts w:hint="eastAsia" w:ascii="仿宋_GB2312" w:hAnsi="仿宋_GB2312" w:eastAsia="仿宋_GB2312" w:cs="仿宋_GB2312"/>
          <w:sz w:val="32"/>
          <w:lang w:val="en-US" w:eastAsia="zh-CN"/>
        </w:rPr>
        <w:t>2.74</w:t>
      </w:r>
      <w:r>
        <w:rPr>
          <w:rFonts w:hint="eastAsia" w:ascii="仿宋_GB2312" w:hAnsi="仿宋_GB2312" w:eastAsia="仿宋_GB2312" w:cs="仿宋_GB2312"/>
          <w:sz w:val="32"/>
        </w:rPr>
        <w:t>万元，</w:t>
      </w:r>
      <w:r>
        <w:rPr>
          <w:rFonts w:ascii="仿宋_GB2312" w:hAnsi="仿宋_GB2312" w:eastAsia="仿宋_GB2312" w:cs="仿宋_GB2312"/>
          <w:sz w:val="32"/>
        </w:rPr>
        <w:t>主要</w:t>
      </w:r>
      <w:r>
        <w:rPr>
          <w:rFonts w:hint="eastAsia" w:ascii="仿宋_GB2312" w:hAnsi="仿宋_GB2312" w:eastAsia="仿宋_GB2312" w:cs="仿宋_GB2312"/>
          <w:sz w:val="32"/>
          <w:lang w:val="en-US" w:eastAsia="zh-CN"/>
        </w:rPr>
        <w:t>是本年新增职工一名，相关经费支出增加</w:t>
      </w:r>
      <w:r>
        <w:rPr>
          <w:rFonts w:ascii="仿宋_GB2312" w:hAnsi="仿宋_GB2312" w:eastAsia="仿宋_GB2312" w:cs="仿宋_GB2312"/>
          <w:sz w:val="32"/>
        </w:rPr>
        <w:t>。</w:t>
      </w:r>
      <w:r>
        <w:rPr>
          <w:rFonts w:hint="eastAsia" w:ascii="仿宋_GB2312" w:hAnsi="仿宋_GB2312" w:eastAsia="仿宋_GB2312" w:cs="仿宋_GB2312"/>
          <w:sz w:val="32"/>
        </w:rPr>
        <w:t>主要用于办公费、印刷费、邮电费、水电费、物管费、差旅费、会议费、培训费及其他商品和服务支出等。</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（二）政府采购情况。</w:t>
      </w:r>
      <w:r>
        <w:rPr>
          <w:rFonts w:ascii="仿宋_GB2312" w:hAnsi="仿宋_GB2312" w:eastAsia="仿宋_GB2312" w:cs="仿宋_GB2312"/>
          <w:sz w:val="32"/>
        </w:rPr>
        <w:t>所属各预算单位政府采购预</w:t>
      </w:r>
      <w:r>
        <w:rPr>
          <w:rFonts w:hint="eastAsia" w:ascii="仿宋_GB2312" w:hAnsi="仿宋_GB2312" w:eastAsia="仿宋_GB2312" w:cs="仿宋_GB2312"/>
          <w:sz w:val="32"/>
        </w:rPr>
        <w:t>算</w:t>
      </w:r>
      <w:r>
        <w:rPr>
          <w:rFonts w:ascii="仿宋_GB2312" w:hAnsi="仿宋_GB2312" w:eastAsia="仿宋_GB2312" w:cs="仿宋_GB2312"/>
          <w:sz w:val="32"/>
        </w:rPr>
        <w:t>总额</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万元；其中一般</w:t>
      </w:r>
      <w:r>
        <w:rPr>
          <w:rFonts w:ascii="仿宋_GB2312" w:hAnsi="仿宋_GB2312" w:eastAsia="仿宋_GB2312" w:cs="仿宋_GB2312"/>
          <w:sz w:val="32"/>
        </w:rPr>
        <w:t>公</w:t>
      </w:r>
      <w:r>
        <w:rPr>
          <w:rFonts w:hint="eastAsia" w:ascii="仿宋_GB2312" w:hAnsi="仿宋_GB2312" w:eastAsia="仿宋_GB2312" w:cs="仿宋_GB2312"/>
          <w:sz w:val="32"/>
        </w:rPr>
        <w:t>共预算</w:t>
      </w:r>
      <w:r>
        <w:rPr>
          <w:rFonts w:ascii="仿宋_GB2312" w:hAnsi="仿宋_GB2312" w:eastAsia="仿宋_GB2312" w:cs="仿宋_GB2312"/>
          <w:sz w:val="32"/>
        </w:rPr>
        <w:t>拨款政府采购</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万元：政府采购货物预算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万元、政府采购工程预算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万元、政府采购服务预算</w:t>
      </w:r>
      <w:r>
        <w:rPr>
          <w:rFonts w:hint="eastAsia" w:ascii="仿宋_GB2312" w:hAnsi="仿宋_GB2312" w:eastAsia="仿宋_GB2312" w:cs="仿宋_GB2312"/>
          <w:sz w:val="32"/>
          <w:lang w:val="en-US" w:eastAsia="zh-CN"/>
        </w:rPr>
        <w:t>0.00</w:t>
      </w:r>
      <w:r>
        <w:rPr>
          <w:rFonts w:hint="eastAsia" w:ascii="仿宋_GB2312" w:hAnsi="仿宋_GB2312" w:eastAsia="仿宋_GB2312" w:cs="仿宋_GB2312"/>
          <w:sz w:val="32"/>
        </w:rPr>
        <w:t>万元。</w:t>
      </w:r>
    </w:p>
    <w:p>
      <w:pPr>
        <w:ind w:firstLine="640" w:firstLineChars="200"/>
        <w:rPr>
          <w:rFonts w:ascii="仿宋_GB2312" w:hAnsi="仿宋_GB2312" w:eastAsia="仿宋_GB2312" w:cs="仿宋_GB2312"/>
          <w:sz w:val="32"/>
        </w:rPr>
      </w:pPr>
      <w:r>
        <w:rPr>
          <w:rFonts w:hint="eastAsia" w:ascii="方正楷体_GBK" w:hAnsi="仿宋_GB2312" w:eastAsia="方正楷体_GBK" w:cs="仿宋_GB2312"/>
          <w:sz w:val="32"/>
        </w:rPr>
        <w:t>（三）绩效目标设置情况。</w:t>
      </w:r>
      <w:r>
        <w:rPr>
          <w:rFonts w:hint="eastAsia" w:ascii="仿宋_GB2312" w:hAnsi="仿宋_GB2312" w:eastAsia="仿宋_GB2312" w:cs="仿宋_GB2312"/>
          <w:sz w:val="32"/>
        </w:rPr>
        <w:t>2024</w:t>
      </w:r>
      <w:r>
        <w:rPr>
          <w:rFonts w:ascii="仿宋_GB2312" w:hAnsi="仿宋_GB2312" w:eastAsia="仿宋_GB2312" w:cs="仿宋_GB2312"/>
          <w:sz w:val="32"/>
        </w:rPr>
        <w:t>年</w:t>
      </w:r>
      <w:r>
        <w:rPr>
          <w:rFonts w:hint="eastAsia" w:ascii="仿宋_GB2312" w:hAnsi="仿宋_GB2312" w:eastAsia="仿宋_GB2312" w:cs="仿宋_GB2312"/>
          <w:sz w:val="32"/>
        </w:rPr>
        <w:t>项目支出均实行了</w:t>
      </w:r>
      <w:r>
        <w:rPr>
          <w:rFonts w:ascii="仿宋_GB2312" w:hAnsi="仿宋_GB2312" w:eastAsia="仿宋_GB2312" w:cs="仿宋_GB2312"/>
          <w:sz w:val="32"/>
        </w:rPr>
        <w:t>绩效目标管理</w:t>
      </w:r>
      <w:r>
        <w:rPr>
          <w:rFonts w:hint="eastAsia" w:ascii="仿宋_GB2312" w:hAnsi="仿宋_GB2312" w:eastAsia="仿宋_GB2312" w:cs="仿宋_GB2312"/>
          <w:sz w:val="32"/>
        </w:rPr>
        <w:t>，涉及资金量</w:t>
      </w:r>
      <w:r>
        <w:rPr>
          <w:rFonts w:hint="eastAsia" w:ascii="仿宋_GB2312" w:hAnsi="仿宋_GB2312" w:eastAsia="仿宋_GB2312" w:cs="仿宋_GB2312"/>
          <w:sz w:val="32"/>
          <w:lang w:val="en-US" w:eastAsia="zh-CN"/>
        </w:rPr>
        <w:t>146.00</w:t>
      </w:r>
      <w:r>
        <w:rPr>
          <w:rFonts w:hint="eastAsia" w:ascii="仿宋_GB2312" w:hAnsi="仿宋_GB2312" w:eastAsia="仿宋_GB2312" w:cs="仿宋_GB2312"/>
          <w:sz w:val="32"/>
        </w:rPr>
        <w:t>万元。</w:t>
      </w:r>
    </w:p>
    <w:p>
      <w:pPr>
        <w:ind w:firstLine="640" w:firstLineChars="200"/>
        <w:rPr>
          <w:rFonts w:hint="eastAsia" w:ascii="仿宋_GB2312" w:hAnsi="仿宋_GB2312" w:eastAsia="仿宋_GB2312" w:cs="仿宋_GB2312"/>
          <w:color w:val="000000"/>
          <w:sz w:val="32"/>
        </w:rPr>
      </w:pPr>
      <w:r>
        <w:rPr>
          <w:rFonts w:hint="eastAsia" w:ascii="方正楷体_GBK" w:hAnsi="仿宋_GB2312" w:eastAsia="方正楷体_GBK" w:cs="仿宋_GB2312"/>
          <w:color w:val="000000"/>
          <w:sz w:val="32"/>
        </w:rPr>
        <w:t>（四）国有资产占有使用情况。</w:t>
      </w:r>
      <w:r>
        <w:rPr>
          <w:rFonts w:hint="eastAsia" w:ascii="仿宋_GB2312" w:hAnsi="仿宋_GB2312" w:eastAsia="仿宋_GB2312" w:cs="仿宋_GB2312"/>
          <w:color w:val="000000"/>
          <w:sz w:val="32"/>
          <w:lang w:val="en-US" w:eastAsia="zh-CN"/>
        </w:rPr>
        <w:t>截至</w:t>
      </w:r>
      <w:r>
        <w:rPr>
          <w:rFonts w:hint="eastAsia" w:ascii="仿宋_GB2312" w:hAnsi="仿宋_GB2312" w:eastAsia="仿宋_GB2312" w:cs="仿宋_GB2312"/>
          <w:color w:val="000000"/>
          <w:sz w:val="32"/>
        </w:rPr>
        <w:t>2023年12月，所属各预算单位共有车辆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辆。2024年一般公共预算安排购置车辆</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辆，其中一般公务用车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辆、执勤执法用车</w:t>
      </w:r>
      <w:r>
        <w:rPr>
          <w:rFonts w:hint="eastAsia" w:ascii="仿宋_GB2312" w:hAnsi="仿宋_GB2312" w:eastAsia="仿宋_GB2312" w:cs="仿宋_GB2312"/>
          <w:color w:val="000000"/>
          <w:sz w:val="32"/>
          <w:lang w:val="en-US" w:eastAsia="zh-CN"/>
        </w:rPr>
        <w:t>0</w:t>
      </w:r>
      <w:r>
        <w:rPr>
          <w:rFonts w:hint="eastAsia" w:ascii="仿宋_GB2312" w:hAnsi="仿宋_GB2312" w:eastAsia="仿宋_GB2312" w:cs="仿宋_GB2312"/>
          <w:color w:val="000000"/>
          <w:sz w:val="32"/>
        </w:rPr>
        <w:t>辆。</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黑体" w:hAnsi="黑体" w:eastAsia="黑体" w:cs="仿宋_GB2312"/>
          <w:sz w:val="32"/>
        </w:rPr>
        <w:t>专业性名词</w:t>
      </w:r>
      <w:r>
        <w:rPr>
          <w:rFonts w:ascii="黑体" w:hAnsi="黑体" w:eastAsia="黑体" w:cs="仿宋_GB2312"/>
          <w:sz w:val="32"/>
        </w:rPr>
        <w:t>解释</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（二）其他收入：</w:t>
      </w:r>
      <w:r>
        <w:rPr>
          <w:rFonts w:hint="eastAsia" w:ascii="方正仿宋_GBK" w:eastAsia="方正仿宋_GBK"/>
          <w:sz w:val="32"/>
          <w:szCs w:val="32"/>
        </w:rPr>
        <w:t>指单位取得的除“财政拨款收入”、“事业收入”、“经营收入”等以外的收入。</w:t>
      </w:r>
    </w:p>
    <w:p>
      <w:pPr>
        <w:pStyle w:val="8"/>
        <w:tabs>
          <w:tab w:val="center" w:pos="4153"/>
          <w:tab w:val="left" w:pos="7275"/>
        </w:tabs>
        <w:spacing w:line="600" w:lineRule="exact"/>
        <w:ind w:firstLine="640"/>
        <w:jc w:val="left"/>
        <w:rPr>
          <w:rFonts w:ascii="方正仿宋_GBK" w:eastAsia="方正仿宋_GBK"/>
          <w:sz w:val="32"/>
          <w:szCs w:val="32"/>
        </w:rPr>
      </w:pPr>
      <w:r>
        <w:rPr>
          <w:rFonts w:hint="eastAsia" w:ascii="方正楷体_GBK" w:eastAsia="方正楷体_GBK"/>
          <w:sz w:val="32"/>
          <w:szCs w:val="32"/>
        </w:rPr>
        <w:t>（三）基本支出：</w:t>
      </w:r>
      <w:r>
        <w:rPr>
          <w:rFonts w:hint="eastAsia" w:ascii="方正仿宋_GBK" w:eastAsia="方正仿宋_GBK"/>
          <w:sz w:val="32"/>
          <w:szCs w:val="32"/>
        </w:rPr>
        <w:t>指为保障机构正常运转、完成日常工作任务而发生的人员经费和公用经费。</w:t>
      </w:r>
    </w:p>
    <w:p>
      <w:pPr>
        <w:pStyle w:val="8"/>
        <w:tabs>
          <w:tab w:val="center" w:pos="4153"/>
          <w:tab w:val="left" w:pos="7275"/>
        </w:tabs>
        <w:spacing w:line="600" w:lineRule="exact"/>
        <w:ind w:firstLine="640"/>
        <w:jc w:val="left"/>
        <w:rPr>
          <w:rFonts w:hint="eastAsia" w:ascii="方正仿宋_GBK" w:eastAsia="方正仿宋_GBK"/>
          <w:sz w:val="32"/>
          <w:szCs w:val="32"/>
        </w:rPr>
      </w:pPr>
      <w:r>
        <w:rPr>
          <w:rFonts w:hint="eastAsia" w:ascii="方正楷体_GBK" w:eastAsia="方正楷体_GBK"/>
          <w:sz w:val="32"/>
          <w:szCs w:val="32"/>
        </w:rPr>
        <w:t>（四）项目支出：</w:t>
      </w:r>
      <w:r>
        <w:rPr>
          <w:rFonts w:hint="eastAsia" w:ascii="方正仿宋_GBK" w:eastAsia="方正仿宋_GBK"/>
          <w:sz w:val="32"/>
          <w:szCs w:val="32"/>
        </w:rPr>
        <w:t>指在基本支出之外为完成特定行政任务和事业发展目标所发生的支出。</w:t>
      </w:r>
    </w:p>
    <w:p>
      <w:pPr>
        <w:ind w:firstLine="640" w:firstLineChars="200"/>
        <w:rPr>
          <w:rFonts w:hint="eastAsia" w:ascii="仿宋_GB2312" w:hAnsi="仿宋_GB2312" w:eastAsia="仿宋_GB2312" w:cs="仿宋_GB2312"/>
          <w:color w:val="000000"/>
          <w:sz w:val="32"/>
        </w:rPr>
      </w:pPr>
      <w:r>
        <w:rPr>
          <w:rFonts w:hint="eastAsia" w:ascii="方正楷体_GBK" w:eastAsia="方正楷体_GBK"/>
          <w:sz w:val="32"/>
          <w:szCs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2" w:firstLineChars="200"/>
        <w:rPr>
          <w:rFonts w:hint="eastAsia" w:ascii="仿宋_GB2312" w:hAnsi="仿宋_GB2312" w:eastAsia="仿宋_GB2312" w:cs="仿宋_GB2312"/>
          <w:b/>
          <w:sz w:val="32"/>
        </w:rPr>
      </w:pPr>
      <w:r>
        <w:rPr>
          <w:rFonts w:hint="eastAsia" w:ascii="仿宋_GB2312" w:hAnsi="仿宋_GB2312" w:eastAsia="仿宋_GB2312" w:cs="仿宋_GB2312"/>
          <w:b/>
          <w:sz w:val="32"/>
        </w:rPr>
        <w:t>部门预算公开联系人：隆尧  联系方式：023-70609023</w:t>
      </w:r>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3906"/>
        <w:tab w:val="clear" w:pos="4153"/>
      </w:tabs>
      <w:rPr>
        <w:rFonts w:hint="eastAsia"/>
      </w:rPr>
    </w:pPr>
    <w:r>
      <w:rPr>
        <w:rFonts w:ascii="Calibri" w:hAnsi="Calibri" w:eastAsia="宋体" w:cs="Times New Roman"/>
        <w:kern w:val="2"/>
        <w:sz w:val="18"/>
        <w:szCs w:val="18"/>
        <w:lang w:val="en-US" w:eastAsia="zh-CN" w:bidi="ar-SA"/>
      </w:rPr>
      <w:pict>
        <v:rect id="文本框 1" o:spid="_x0000_s2049" o:spt="1"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Fonts w:hint="eastAsia"/>
                    <w:sz w:val="24"/>
                    <w:szCs w:val="24"/>
                  </w:rPr>
                </w:pPr>
                <w:r>
                  <w:rPr>
                    <w:rFonts w:hint="eastAsia"/>
                    <w:sz w:val="24"/>
                    <w:szCs w:val="24"/>
                  </w:rPr>
                  <w:t xml:space="preserve">— </w:t>
                </w: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1</w:t>
                </w:r>
                <w:r>
                  <w:rPr>
                    <w:rFonts w:hint="eastAsia"/>
                    <w:sz w:val="24"/>
                    <w:szCs w:val="24"/>
                  </w:rPr>
                  <w:fldChar w:fldCharType="end"/>
                </w:r>
                <w:r>
                  <w:rPr>
                    <w:rFonts w:hint="eastAsia"/>
                    <w:sz w:val="24"/>
                    <w:szCs w:val="24"/>
                  </w:rPr>
                  <w:t xml:space="preserve"> —</w:t>
                </w:r>
              </w:p>
            </w:txbxContent>
          </v:textbox>
        </v:rect>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65EE1A"/>
    <w:multiLevelType w:val="singleLevel"/>
    <w:tmpl w:val="4D65EE1A"/>
    <w:lvl w:ilvl="0" w:tentative="0">
      <w:start w:val="1"/>
      <w:numFmt w:val="chineseCounting"/>
      <w:suff w:val="nothing"/>
      <w:lvlText w:val="（%1）"/>
      <w:lvlJc w:val="left"/>
      <w:rPr>
        <w:rFonts w:hint="eastAsia"/>
      </w:rPr>
    </w:lvl>
  </w:abstractNum>
  <w:abstractNum w:abstractNumId="1">
    <w:nsid w:val="5847F1BC"/>
    <w:multiLevelType w:val="singleLevel"/>
    <w:tmpl w:val="5847F1BC"/>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FiMjI2NTY3NzI3NDA0NGQ4MmU0MjM4MjAwNWVlODkifQ=="/>
  </w:docVars>
  <w:rsids>
    <w:rsidRoot w:val="004F7D1D"/>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957F9"/>
    <w:rsid w:val="001C0A7C"/>
    <w:rsid w:val="001D0CAA"/>
    <w:rsid w:val="001D4937"/>
    <w:rsid w:val="001E1AED"/>
    <w:rsid w:val="001E31D9"/>
    <w:rsid w:val="00202E0A"/>
    <w:rsid w:val="002132E9"/>
    <w:rsid w:val="00213635"/>
    <w:rsid w:val="00226F1D"/>
    <w:rsid w:val="00242727"/>
    <w:rsid w:val="00246006"/>
    <w:rsid w:val="00246AA4"/>
    <w:rsid w:val="00252849"/>
    <w:rsid w:val="002605A5"/>
    <w:rsid w:val="0026529F"/>
    <w:rsid w:val="0027005A"/>
    <w:rsid w:val="002773F0"/>
    <w:rsid w:val="00280A93"/>
    <w:rsid w:val="00286440"/>
    <w:rsid w:val="002959B6"/>
    <w:rsid w:val="002B41F1"/>
    <w:rsid w:val="002C4122"/>
    <w:rsid w:val="002D2A88"/>
    <w:rsid w:val="002E46A9"/>
    <w:rsid w:val="0030024E"/>
    <w:rsid w:val="003019D9"/>
    <w:rsid w:val="003163CF"/>
    <w:rsid w:val="00341606"/>
    <w:rsid w:val="00346387"/>
    <w:rsid w:val="0034700C"/>
    <w:rsid w:val="00357A28"/>
    <w:rsid w:val="00367516"/>
    <w:rsid w:val="00375FC9"/>
    <w:rsid w:val="00383298"/>
    <w:rsid w:val="003872D5"/>
    <w:rsid w:val="0039559F"/>
    <w:rsid w:val="003B11A5"/>
    <w:rsid w:val="003B33C4"/>
    <w:rsid w:val="003B36C2"/>
    <w:rsid w:val="003D14F0"/>
    <w:rsid w:val="003D7234"/>
    <w:rsid w:val="003D7504"/>
    <w:rsid w:val="003E4EB6"/>
    <w:rsid w:val="003F6450"/>
    <w:rsid w:val="00430B72"/>
    <w:rsid w:val="00437D88"/>
    <w:rsid w:val="004417DC"/>
    <w:rsid w:val="00445520"/>
    <w:rsid w:val="00462595"/>
    <w:rsid w:val="0049017F"/>
    <w:rsid w:val="00492FB3"/>
    <w:rsid w:val="004B1650"/>
    <w:rsid w:val="004C42ED"/>
    <w:rsid w:val="004C60BD"/>
    <w:rsid w:val="004D1E02"/>
    <w:rsid w:val="004E592A"/>
    <w:rsid w:val="004E6E1A"/>
    <w:rsid w:val="004F1853"/>
    <w:rsid w:val="004F7D1D"/>
    <w:rsid w:val="00500B1D"/>
    <w:rsid w:val="00506DF4"/>
    <w:rsid w:val="00507823"/>
    <w:rsid w:val="005228CA"/>
    <w:rsid w:val="00536713"/>
    <w:rsid w:val="00543257"/>
    <w:rsid w:val="00572736"/>
    <w:rsid w:val="0058350C"/>
    <w:rsid w:val="005A1227"/>
    <w:rsid w:val="005A4606"/>
    <w:rsid w:val="005A4AD7"/>
    <w:rsid w:val="005B0F11"/>
    <w:rsid w:val="005B61F2"/>
    <w:rsid w:val="005E18A6"/>
    <w:rsid w:val="005F1960"/>
    <w:rsid w:val="006115F1"/>
    <w:rsid w:val="00620BCE"/>
    <w:rsid w:val="0066585E"/>
    <w:rsid w:val="006809FA"/>
    <w:rsid w:val="006C01C3"/>
    <w:rsid w:val="006D0C33"/>
    <w:rsid w:val="006D1609"/>
    <w:rsid w:val="006E0BEC"/>
    <w:rsid w:val="006E455F"/>
    <w:rsid w:val="006F7539"/>
    <w:rsid w:val="00714828"/>
    <w:rsid w:val="007158F8"/>
    <w:rsid w:val="0071734A"/>
    <w:rsid w:val="007252E3"/>
    <w:rsid w:val="007336ED"/>
    <w:rsid w:val="00742C4D"/>
    <w:rsid w:val="007620B8"/>
    <w:rsid w:val="00762CF8"/>
    <w:rsid w:val="00765DF5"/>
    <w:rsid w:val="007713EB"/>
    <w:rsid w:val="00791CE4"/>
    <w:rsid w:val="007B10D4"/>
    <w:rsid w:val="007B22D6"/>
    <w:rsid w:val="007B4264"/>
    <w:rsid w:val="007B5ACF"/>
    <w:rsid w:val="007B6182"/>
    <w:rsid w:val="007C4C9B"/>
    <w:rsid w:val="007D2AEA"/>
    <w:rsid w:val="007D4F40"/>
    <w:rsid w:val="007E098F"/>
    <w:rsid w:val="007E0B4D"/>
    <w:rsid w:val="007E6A39"/>
    <w:rsid w:val="007F68E5"/>
    <w:rsid w:val="00801BFF"/>
    <w:rsid w:val="00803270"/>
    <w:rsid w:val="00805D05"/>
    <w:rsid w:val="00813B4F"/>
    <w:rsid w:val="00830BF3"/>
    <w:rsid w:val="00833B65"/>
    <w:rsid w:val="00837BDB"/>
    <w:rsid w:val="008560C6"/>
    <w:rsid w:val="00866533"/>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655E"/>
    <w:rsid w:val="009561D9"/>
    <w:rsid w:val="009653AE"/>
    <w:rsid w:val="00970509"/>
    <w:rsid w:val="00972AB0"/>
    <w:rsid w:val="00983001"/>
    <w:rsid w:val="0098712E"/>
    <w:rsid w:val="009B77D4"/>
    <w:rsid w:val="009E6734"/>
    <w:rsid w:val="009F01A9"/>
    <w:rsid w:val="00A05F72"/>
    <w:rsid w:val="00A07288"/>
    <w:rsid w:val="00A174AB"/>
    <w:rsid w:val="00A21DCD"/>
    <w:rsid w:val="00A27ED6"/>
    <w:rsid w:val="00A33F5E"/>
    <w:rsid w:val="00A35F07"/>
    <w:rsid w:val="00A45A23"/>
    <w:rsid w:val="00A52D34"/>
    <w:rsid w:val="00A712EA"/>
    <w:rsid w:val="00A8020D"/>
    <w:rsid w:val="00A802E9"/>
    <w:rsid w:val="00A80B6C"/>
    <w:rsid w:val="00AA324B"/>
    <w:rsid w:val="00AB25DF"/>
    <w:rsid w:val="00AC39C3"/>
    <w:rsid w:val="00AC6F85"/>
    <w:rsid w:val="00AE0A20"/>
    <w:rsid w:val="00AE4156"/>
    <w:rsid w:val="00B1352B"/>
    <w:rsid w:val="00B24FA7"/>
    <w:rsid w:val="00B257E3"/>
    <w:rsid w:val="00B54CE7"/>
    <w:rsid w:val="00B558CC"/>
    <w:rsid w:val="00B65450"/>
    <w:rsid w:val="00B72347"/>
    <w:rsid w:val="00B86388"/>
    <w:rsid w:val="00BB3B39"/>
    <w:rsid w:val="00BC2C3D"/>
    <w:rsid w:val="00BD5AA0"/>
    <w:rsid w:val="00BD5FA5"/>
    <w:rsid w:val="00BE573E"/>
    <w:rsid w:val="00BF67E7"/>
    <w:rsid w:val="00C2696C"/>
    <w:rsid w:val="00C427D3"/>
    <w:rsid w:val="00C47446"/>
    <w:rsid w:val="00C5758E"/>
    <w:rsid w:val="00C601F9"/>
    <w:rsid w:val="00C7602D"/>
    <w:rsid w:val="00C827DC"/>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648D9"/>
    <w:rsid w:val="00D64C2C"/>
    <w:rsid w:val="00D66063"/>
    <w:rsid w:val="00D77D37"/>
    <w:rsid w:val="00D80BC2"/>
    <w:rsid w:val="00D8620E"/>
    <w:rsid w:val="00DA7788"/>
    <w:rsid w:val="00DA7FE6"/>
    <w:rsid w:val="00DB0EC5"/>
    <w:rsid w:val="00DB2D78"/>
    <w:rsid w:val="00DB4539"/>
    <w:rsid w:val="00DE3685"/>
    <w:rsid w:val="00DE5805"/>
    <w:rsid w:val="00E00D68"/>
    <w:rsid w:val="00E01CEB"/>
    <w:rsid w:val="00E11FB2"/>
    <w:rsid w:val="00E1530B"/>
    <w:rsid w:val="00E275D0"/>
    <w:rsid w:val="00E40ED1"/>
    <w:rsid w:val="00E4747D"/>
    <w:rsid w:val="00E67557"/>
    <w:rsid w:val="00E712B9"/>
    <w:rsid w:val="00E96899"/>
    <w:rsid w:val="00EC09E7"/>
    <w:rsid w:val="00EC409D"/>
    <w:rsid w:val="00EE21B6"/>
    <w:rsid w:val="00EF1B14"/>
    <w:rsid w:val="00EF782E"/>
    <w:rsid w:val="00EF7D6B"/>
    <w:rsid w:val="00F11A07"/>
    <w:rsid w:val="00F258CE"/>
    <w:rsid w:val="00F605C0"/>
    <w:rsid w:val="00F66710"/>
    <w:rsid w:val="00F84112"/>
    <w:rsid w:val="00F86A3C"/>
    <w:rsid w:val="00F90464"/>
    <w:rsid w:val="00F9492F"/>
    <w:rsid w:val="00FC2169"/>
    <w:rsid w:val="00FC2267"/>
    <w:rsid w:val="00FE12C3"/>
    <w:rsid w:val="00FE28C5"/>
    <w:rsid w:val="07743407"/>
    <w:rsid w:val="18CC21E2"/>
    <w:rsid w:val="19D75DEA"/>
    <w:rsid w:val="25AF1247"/>
    <w:rsid w:val="34551F48"/>
    <w:rsid w:val="3BC5739B"/>
    <w:rsid w:val="46125FA0"/>
    <w:rsid w:val="48310C7F"/>
    <w:rsid w:val="51A03B0E"/>
    <w:rsid w:val="599D4999"/>
    <w:rsid w:val="5ACB25E9"/>
    <w:rsid w:val="6E772A99"/>
    <w:rsid w:val="714B7319"/>
    <w:rsid w:val="FFEA42A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List Paragraph"/>
    <w:basedOn w:val="1"/>
    <w:qFormat/>
    <w:uiPriority w:val="34"/>
    <w:pPr>
      <w:ind w:firstLine="420" w:firstLineChars="200"/>
    </w:pPr>
  </w:style>
  <w:style w:type="character" w:customStyle="1" w:styleId="9">
    <w:name w:val="批注框文本 字符"/>
    <w:link w:val="2"/>
    <w:qFormat/>
    <w:uiPriority w:val="0"/>
    <w:rPr>
      <w:kern w:val="2"/>
      <w:sz w:val="18"/>
      <w:szCs w:val="18"/>
    </w:rPr>
  </w:style>
  <w:style w:type="character" w:customStyle="1" w:styleId="10">
    <w:name w:val="页眉 字符"/>
    <w:link w:val="4"/>
    <w:qFormat/>
    <w:uiPriority w:val="0"/>
    <w:rPr>
      <w:kern w:val="2"/>
      <w:sz w:val="18"/>
      <w:szCs w:val="18"/>
    </w:rPr>
  </w:style>
  <w:style w:type="character" w:customStyle="1" w:styleId="11">
    <w:name w:val="页脚 字符"/>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277</Words>
  <Characters>1585</Characters>
  <Lines>13</Lines>
  <Paragraphs>3</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2018-12-17T14:47:00Z</dcterms:created>
  <dc:creator>Administrator</dc:creator>
  <cp:lastModifiedBy>卫健委机要秘书</cp:lastModifiedBy>
  <cp:lastPrinted>2018-01-02T16:11:00Z</cp:lastPrinted>
  <dcterms:modified xsi:type="dcterms:W3CDTF">2024-02-23T18:34:22Z</dcterms:modified>
  <dc:title>丰都县计划生育协会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C5CA8B6BCC5A45C7BB9BC52176F1246D_13</vt:lpwstr>
  </property>
</Properties>
</file>