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81B2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丰都县精神病医院</w:t>
      </w:r>
    </w:p>
    <w:p w14:paraId="5E409E7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2024</w:t>
      </w:r>
      <w:r>
        <w:rPr>
          <w:rFonts w:hint="eastAsia" w:ascii="方正小标宋_GBK" w:hAnsi="方正小标宋_GBK" w:eastAsia="方正小标宋_GBK" w:cs="方正小标宋_GBK"/>
          <w:sz w:val="44"/>
          <w:szCs w:val="44"/>
        </w:rPr>
        <w:t>年度决算公开说明</w:t>
      </w:r>
    </w:p>
    <w:p w14:paraId="7D497D9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p>
    <w:p w14:paraId="58C161CA">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eastAsia="zh-CN"/>
        </w:rPr>
        <w:t>单位</w:t>
      </w:r>
      <w:r>
        <w:rPr>
          <w:rFonts w:hint="eastAsia" w:ascii="方正黑体_GBK" w:hAnsi="方正黑体_GBK" w:eastAsia="方正黑体_GBK" w:cs="方正黑体_GBK"/>
          <w:b/>
          <w:bCs/>
          <w:sz w:val="32"/>
          <w:szCs w:val="32"/>
        </w:rPr>
        <w:t>基本情况</w:t>
      </w:r>
    </w:p>
    <w:p w14:paraId="0369C0D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（一）职能职责</w:t>
      </w:r>
    </w:p>
    <w:p w14:paraId="73A072D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1.</w:t>
      </w:r>
      <w:r>
        <w:rPr>
          <w:rFonts w:hint="eastAsia" w:ascii="Times New Roman" w:hAnsi="Times New Roman" w:eastAsia="方正仿宋_GBK"/>
          <w:sz w:val="32"/>
          <w:szCs w:val="32"/>
          <w:lang w:val="en-US" w:eastAsia="zh-CN"/>
        </w:rPr>
        <w:t>县精神病医院系县级公立医院，承担全县基本公共卫生严重精神障碍管理及社会心理健康服务，心理、精神障碍的诊疗、评估、康复、预防、培训、宣教等。</w:t>
      </w:r>
    </w:p>
    <w:p w14:paraId="1350B2D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r>
        <w:rPr>
          <w:rFonts w:hint="default" w:ascii="Times New Roman" w:hAnsi="Times New Roman" w:eastAsia="方正仿宋_GBK"/>
          <w:sz w:val="32"/>
          <w:szCs w:val="32"/>
          <w:lang w:val="en-US" w:eastAsia="zh-CN"/>
        </w:rPr>
        <w:t>2.</w:t>
      </w:r>
      <w:r>
        <w:rPr>
          <w:rFonts w:hint="eastAsia" w:ascii="Times New Roman" w:hAnsi="Times New Roman" w:eastAsia="方正仿宋_GBK"/>
          <w:sz w:val="32"/>
          <w:szCs w:val="32"/>
          <w:lang w:val="en-US" w:eastAsia="zh-CN"/>
        </w:rPr>
        <w:t>承担全县精神及智力残疾鉴定、严重精神障碍患者危险等级评估及医疗救助等工作。</w:t>
      </w:r>
    </w:p>
    <w:p w14:paraId="0A861A4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（二）机构设置</w:t>
      </w:r>
    </w:p>
    <w:p w14:paraId="4B41A8B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医院位于重庆市丰都县名山街道白沙坨村</w:t>
      </w:r>
      <w:r>
        <w:rPr>
          <w:rFonts w:hint="default" w:ascii="Times New Roman" w:hAnsi="Times New Roman" w:eastAsia="方正仿宋_GBK"/>
          <w:sz w:val="32"/>
          <w:szCs w:val="32"/>
          <w:lang w:val="en-US" w:eastAsia="zh-CN"/>
        </w:rPr>
        <w:t>2</w:t>
      </w:r>
      <w:r>
        <w:rPr>
          <w:rFonts w:hint="eastAsia" w:ascii="Times New Roman" w:hAnsi="Times New Roman" w:eastAsia="方正仿宋_GBK"/>
          <w:sz w:val="32"/>
          <w:szCs w:val="32"/>
          <w:lang w:val="en-US" w:eastAsia="zh-CN"/>
        </w:rPr>
        <w:t>组，是一所集预防、治疗、康复和社会化服务的县属精神卫生医疗机构。下设办公室、规划财务科、后勤管理科、精神病防治科、医务科教科、护理部、医技科、药剂科、保卫科、社会心理科、党建办、医保办、一病区、二病区、三病区、综合科、早干科。</w:t>
      </w:r>
    </w:p>
    <w:p w14:paraId="3798B13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w:t>
      </w:r>
      <w:r>
        <w:rPr>
          <w:rFonts w:hint="eastAsia" w:ascii="方正黑体_GBK" w:hAnsi="方正黑体_GBK" w:eastAsia="方正黑体_GBK" w:cs="方正黑体_GBK"/>
          <w:b/>
          <w:bCs/>
          <w:sz w:val="32"/>
          <w:szCs w:val="32"/>
          <w:lang w:eastAsia="zh-CN"/>
        </w:rPr>
        <w:t>单位</w:t>
      </w:r>
      <w:r>
        <w:rPr>
          <w:rFonts w:hint="eastAsia" w:ascii="方正黑体_GBK" w:hAnsi="方正黑体_GBK" w:eastAsia="方正黑体_GBK" w:cs="方正黑体_GBK"/>
          <w:b/>
          <w:bCs/>
          <w:sz w:val="32"/>
          <w:szCs w:val="32"/>
        </w:rPr>
        <w:t>决算</w:t>
      </w:r>
      <w:r>
        <w:rPr>
          <w:rFonts w:hint="eastAsia" w:ascii="方正黑体_GBK" w:hAnsi="方正黑体_GBK" w:eastAsia="方正黑体_GBK" w:cs="方正黑体_GBK"/>
          <w:b/>
          <w:bCs/>
          <w:sz w:val="32"/>
          <w:szCs w:val="32"/>
          <w:lang w:eastAsia="zh-CN"/>
        </w:rPr>
        <w:t>收支</w:t>
      </w:r>
      <w:r>
        <w:rPr>
          <w:rFonts w:hint="eastAsia" w:ascii="方正黑体_GBK" w:hAnsi="方正黑体_GBK" w:eastAsia="方正黑体_GBK" w:cs="方正黑体_GBK"/>
          <w:b/>
          <w:bCs/>
          <w:sz w:val="32"/>
          <w:szCs w:val="32"/>
        </w:rPr>
        <w:t>情况说明</w:t>
      </w:r>
    </w:p>
    <w:p w14:paraId="5E0F335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（一）收入支出决算总体情况说明</w:t>
      </w:r>
    </w:p>
    <w:p w14:paraId="69C8356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年度收</w:t>
      </w:r>
      <w:r>
        <w:rPr>
          <w:rFonts w:hint="eastAsia" w:ascii="Times New Roman" w:hAnsi="Times New Roman" w:eastAsia="方正仿宋_GBK"/>
          <w:sz w:val="32"/>
          <w:szCs w:val="32"/>
          <w:lang w:eastAsia="zh-CN"/>
        </w:rPr>
        <w:t>、支</w:t>
      </w:r>
      <w:r>
        <w:rPr>
          <w:rFonts w:ascii="Times New Roman" w:hAnsi="Times New Roman" w:eastAsia="方正仿宋_GBK"/>
          <w:sz w:val="32"/>
          <w:szCs w:val="32"/>
        </w:rPr>
        <w:t>总计</w:t>
      </w:r>
      <w:r>
        <w:rPr>
          <w:rFonts w:hint="eastAsia" w:ascii="Times New Roman" w:hAnsi="Times New Roman" w:eastAsia="方正仿宋_GBK"/>
          <w:sz w:val="32"/>
          <w:szCs w:val="32"/>
          <w:lang w:eastAsia="zh-CN"/>
        </w:rPr>
        <w:t>均为</w:t>
      </w:r>
      <w:r>
        <w:rPr>
          <w:rFonts w:hint="default" w:ascii="Times New Roman" w:hAnsi="Times New Roman" w:eastAsia="方正仿宋_GBK"/>
          <w:sz w:val="32"/>
          <w:szCs w:val="32"/>
        </w:rPr>
        <w:t>4395.52</w:t>
      </w:r>
      <w:r>
        <w:rPr>
          <w:rFonts w:ascii="Times New Roman" w:hAnsi="Times New Roman" w:eastAsia="方正仿宋_GBK"/>
          <w:sz w:val="32"/>
          <w:szCs w:val="32"/>
        </w:rPr>
        <w:t>万元。</w:t>
      </w:r>
      <w:r>
        <w:rPr>
          <w:rFonts w:hint="default" w:ascii="Times New Roman" w:hAnsi="Times New Roman" w:eastAsia="方正仿宋_GBK"/>
          <w:sz w:val="32"/>
          <w:szCs w:val="32"/>
        </w:rPr>
        <w:t>收、支与2023年度相比，增加1066.29万元，增长32.0%</w:t>
      </w:r>
      <w:r>
        <w:rPr>
          <w:rFonts w:ascii="Times New Roman" w:hAnsi="Times New Roman" w:eastAsia="方正仿宋_GBK"/>
          <w:sz w:val="32"/>
          <w:szCs w:val="32"/>
        </w:rPr>
        <w:t>，主要原因是</w:t>
      </w:r>
      <w:r>
        <w:rPr>
          <w:rFonts w:hint="eastAsia" w:ascii="Times New Roman" w:hAnsi="Times New Roman" w:eastAsia="方正仿宋_GBK"/>
          <w:sz w:val="32"/>
          <w:szCs w:val="32"/>
        </w:rPr>
        <w:t>社会保障和就业支出</w:t>
      </w:r>
      <w:r>
        <w:rPr>
          <w:rFonts w:hint="eastAsia" w:ascii="Times New Roman" w:hAnsi="Times New Roman" w:eastAsia="方正仿宋_GBK"/>
          <w:sz w:val="32"/>
          <w:szCs w:val="32"/>
          <w:lang w:val="en-US" w:eastAsia="zh-CN"/>
        </w:rPr>
        <w:t>增加</w:t>
      </w:r>
      <w:r>
        <w:rPr>
          <w:rFonts w:hint="default" w:ascii="Times New Roman" w:hAnsi="Times New Roman" w:eastAsia="方正仿宋_GBK"/>
          <w:sz w:val="32"/>
          <w:szCs w:val="32"/>
          <w:lang w:val="en-US" w:eastAsia="zh-CN"/>
        </w:rPr>
        <w:t>38.99</w:t>
      </w:r>
      <w:r>
        <w:rPr>
          <w:rFonts w:hint="eastAsia" w:ascii="Times New Roman" w:hAnsi="Times New Roman" w:eastAsia="方正仿宋_GBK"/>
          <w:sz w:val="32"/>
          <w:szCs w:val="32"/>
          <w:lang w:val="en-US" w:eastAsia="zh-CN"/>
        </w:rPr>
        <w:t>万元，卫生健康支出增加</w:t>
      </w:r>
      <w:r>
        <w:rPr>
          <w:rFonts w:hint="default" w:ascii="Times New Roman" w:hAnsi="Times New Roman" w:eastAsia="方正仿宋_GBK"/>
          <w:sz w:val="32"/>
          <w:szCs w:val="32"/>
          <w:lang w:val="en-US" w:eastAsia="zh-CN"/>
        </w:rPr>
        <w:t>1017.08</w:t>
      </w:r>
      <w:r>
        <w:rPr>
          <w:rFonts w:hint="eastAsia" w:ascii="Times New Roman" w:hAnsi="Times New Roman" w:eastAsia="方正仿宋_GBK"/>
          <w:sz w:val="32"/>
          <w:szCs w:val="32"/>
          <w:lang w:val="en-US" w:eastAsia="zh-CN"/>
        </w:rPr>
        <w:t>万元，住房保障支出增加</w:t>
      </w:r>
      <w:r>
        <w:rPr>
          <w:rFonts w:hint="default" w:ascii="Times New Roman" w:hAnsi="Times New Roman" w:eastAsia="方正仿宋_GBK"/>
          <w:sz w:val="32"/>
          <w:szCs w:val="32"/>
          <w:lang w:val="en-US" w:eastAsia="zh-CN"/>
        </w:rPr>
        <w:t>10.22</w:t>
      </w:r>
      <w:r>
        <w:rPr>
          <w:rFonts w:hint="eastAsia" w:ascii="Times New Roman" w:hAnsi="Times New Roman" w:eastAsia="方正仿宋_GBK"/>
          <w:sz w:val="32"/>
          <w:szCs w:val="32"/>
          <w:lang w:val="en-US" w:eastAsia="zh-CN"/>
        </w:rPr>
        <w:t>万元。</w:t>
      </w:r>
    </w:p>
    <w:p w14:paraId="4190347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Times New Roman" w:hAnsi="Times New Roman" w:eastAsia="方正仿宋_GBK"/>
          <w:b/>
          <w:bCs/>
          <w:sz w:val="32"/>
          <w:szCs w:val="32"/>
          <w:lang w:val="en-US" w:eastAsia="zh-CN"/>
        </w:rPr>
        <w:t>1</w:t>
      </w:r>
      <w:r>
        <w:rPr>
          <w:rFonts w:hint="eastAsia"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年度收入合计</w:t>
      </w:r>
      <w:r>
        <w:rPr>
          <w:rFonts w:hint="default" w:ascii="Times New Roman" w:hAnsi="Times New Roman" w:eastAsia="方正仿宋_GBK"/>
          <w:sz w:val="32"/>
          <w:szCs w:val="32"/>
        </w:rPr>
        <w:t>4395.52</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与2023年度相比，增加1087.20万元，增长32.9%</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财政收入减少</w:t>
      </w:r>
      <w:r>
        <w:rPr>
          <w:rFonts w:hint="eastAsia" w:ascii="Times New Roman" w:hAnsi="Times New Roman" w:eastAsia="方正仿宋_GBK"/>
          <w:sz w:val="32"/>
          <w:szCs w:val="32"/>
          <w:lang w:val="en-US" w:eastAsia="zh-CN"/>
        </w:rPr>
        <w:t>98.92万元，事业收入增加1186.12万元。</w:t>
      </w:r>
      <w:r>
        <w:rPr>
          <w:rFonts w:ascii="Times New Roman" w:hAnsi="Times New Roman" w:eastAsia="方正仿宋_GBK"/>
          <w:sz w:val="32"/>
          <w:szCs w:val="32"/>
        </w:rPr>
        <w:t>其中：财政拨款收入</w:t>
      </w:r>
      <w:r>
        <w:rPr>
          <w:rFonts w:hint="default" w:ascii="Times New Roman" w:hAnsi="Times New Roman" w:eastAsia="方正仿宋_GBK"/>
          <w:sz w:val="32"/>
          <w:szCs w:val="32"/>
        </w:rPr>
        <w:t>711.95</w:t>
      </w:r>
      <w:r>
        <w:rPr>
          <w:rFonts w:ascii="Times New Roman" w:hAnsi="Times New Roman" w:eastAsia="方正仿宋_GBK"/>
          <w:sz w:val="32"/>
          <w:szCs w:val="32"/>
        </w:rPr>
        <w:t>万元，占</w:t>
      </w:r>
      <w:r>
        <w:rPr>
          <w:rFonts w:hint="default" w:ascii="Times New Roman" w:hAnsi="Times New Roman" w:eastAsia="方正仿宋_GBK"/>
          <w:sz w:val="32"/>
          <w:szCs w:val="32"/>
        </w:rPr>
        <w:t>16.2%</w:t>
      </w:r>
      <w:r>
        <w:rPr>
          <w:rFonts w:ascii="Times New Roman" w:hAnsi="Times New Roman" w:eastAsia="方正仿宋_GBK"/>
          <w:sz w:val="32"/>
          <w:szCs w:val="32"/>
        </w:rPr>
        <w:t>；事业收入</w:t>
      </w:r>
      <w:r>
        <w:rPr>
          <w:rFonts w:hint="default" w:ascii="Times New Roman" w:hAnsi="Times New Roman" w:eastAsia="方正仿宋_GBK"/>
          <w:sz w:val="32"/>
          <w:szCs w:val="32"/>
        </w:rPr>
        <w:t>3677.61</w:t>
      </w:r>
      <w:r>
        <w:rPr>
          <w:rFonts w:ascii="Times New Roman" w:hAnsi="Times New Roman" w:eastAsia="方正仿宋_GBK"/>
          <w:sz w:val="32"/>
          <w:szCs w:val="32"/>
        </w:rPr>
        <w:t>万元，占</w:t>
      </w:r>
      <w:r>
        <w:rPr>
          <w:rFonts w:hint="default" w:ascii="Times New Roman" w:hAnsi="Times New Roman" w:eastAsia="方正仿宋_GBK"/>
          <w:sz w:val="32"/>
          <w:szCs w:val="32"/>
        </w:rPr>
        <w:t>83.7%</w:t>
      </w:r>
      <w:r>
        <w:rPr>
          <w:rFonts w:ascii="Times New Roman" w:hAnsi="Times New Roman" w:eastAsia="方正仿宋_GBK"/>
          <w:sz w:val="32"/>
          <w:szCs w:val="32"/>
        </w:rPr>
        <w:t>；经营收入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；其他收入</w:t>
      </w:r>
      <w:r>
        <w:rPr>
          <w:rFonts w:hint="default" w:ascii="Times New Roman" w:hAnsi="Times New Roman" w:eastAsia="方正仿宋_GBK"/>
          <w:sz w:val="32"/>
          <w:szCs w:val="32"/>
        </w:rPr>
        <w:t>5.96</w:t>
      </w:r>
      <w:r>
        <w:rPr>
          <w:rFonts w:ascii="Times New Roman" w:hAnsi="Times New Roman" w:eastAsia="方正仿宋_GBK"/>
          <w:sz w:val="32"/>
          <w:szCs w:val="32"/>
        </w:rPr>
        <w:t>万元，占</w:t>
      </w:r>
      <w:r>
        <w:rPr>
          <w:rFonts w:hint="default" w:ascii="Times New Roman" w:hAnsi="Times New Roman" w:eastAsia="方正仿宋_GBK"/>
          <w:sz w:val="32"/>
          <w:szCs w:val="32"/>
        </w:rPr>
        <w:t>0.1%</w:t>
      </w:r>
      <w:r>
        <w:rPr>
          <w:rFonts w:ascii="Times New Roman" w:hAnsi="Times New Roman" w:eastAsia="方正仿宋_GBK"/>
          <w:sz w:val="32"/>
          <w:szCs w:val="32"/>
        </w:rPr>
        <w:t>。此外，</w:t>
      </w:r>
      <w:r>
        <w:rPr>
          <w:rFonts w:hint="eastAsia" w:ascii="Times New Roman" w:hAnsi="Times New Roman" w:eastAsia="方正仿宋_GBK"/>
          <w:sz w:val="32"/>
          <w:szCs w:val="32"/>
        </w:rPr>
        <w:t>使用非财政拨款结余（含专用结余）</w:t>
      </w:r>
      <w:r>
        <w:rPr>
          <w:rFonts w:hint="default" w:ascii="Times New Roman" w:hAnsi="Times New Roman" w:eastAsia="方正仿宋_GBK"/>
          <w:sz w:val="32"/>
          <w:szCs w:val="32"/>
        </w:rPr>
        <w:t>0.00</w:t>
      </w:r>
      <w:r>
        <w:rPr>
          <w:rFonts w:ascii="Times New Roman" w:hAnsi="Times New Roman" w:eastAsia="方正仿宋_GBK"/>
          <w:sz w:val="32"/>
          <w:szCs w:val="32"/>
        </w:rPr>
        <w:t>万元，年初结转和结余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6FEEE32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eastAsia" w:ascii="Times New Roman" w:hAnsi="Times New Roman" w:eastAsia="方正仿宋_GBK"/>
          <w:b/>
          <w:bCs/>
          <w:sz w:val="32"/>
          <w:szCs w:val="32"/>
          <w:lang w:val="en-US" w:eastAsia="zh-CN"/>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年度支出合计</w:t>
      </w:r>
      <w:r>
        <w:rPr>
          <w:rFonts w:hint="default" w:ascii="Times New Roman" w:hAnsi="Times New Roman" w:eastAsia="方正仿宋_GBK"/>
          <w:sz w:val="32"/>
          <w:szCs w:val="32"/>
        </w:rPr>
        <w:t>4395.52</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与2023年度相比，增加1066.29万元，增长32.0%</w:t>
      </w:r>
      <w:r>
        <w:rPr>
          <w:rFonts w:ascii="Times New Roman" w:hAnsi="Times New Roman" w:eastAsia="方正仿宋_GBK"/>
          <w:sz w:val="32"/>
          <w:szCs w:val="32"/>
        </w:rPr>
        <w:t>，主要原因是</w:t>
      </w:r>
      <w:r>
        <w:rPr>
          <w:rFonts w:hint="eastAsia" w:ascii="Times New Roman" w:hAnsi="Times New Roman" w:eastAsia="方正仿宋_GBK"/>
          <w:sz w:val="32"/>
          <w:szCs w:val="32"/>
        </w:rPr>
        <w:t>社会保障和就业支出</w:t>
      </w:r>
      <w:r>
        <w:rPr>
          <w:rFonts w:hint="eastAsia" w:ascii="Times New Roman" w:hAnsi="Times New Roman" w:eastAsia="方正仿宋_GBK"/>
          <w:sz w:val="32"/>
          <w:szCs w:val="32"/>
          <w:lang w:val="en-US" w:eastAsia="zh-CN"/>
        </w:rPr>
        <w:t>增加38.99万元，卫生健康支出增加1017.08万元，住房保障支出增加10.22万元，</w:t>
      </w:r>
      <w:r>
        <w:rPr>
          <w:rFonts w:ascii="Times New Roman" w:hAnsi="Times New Roman" w:eastAsia="方正仿宋_GBK"/>
          <w:sz w:val="32"/>
          <w:szCs w:val="32"/>
        </w:rPr>
        <w:t>其中：基本支出</w:t>
      </w:r>
      <w:r>
        <w:rPr>
          <w:rFonts w:hint="default" w:ascii="Times New Roman" w:hAnsi="Times New Roman" w:eastAsia="方正仿宋_GBK"/>
          <w:sz w:val="32"/>
          <w:szCs w:val="32"/>
        </w:rPr>
        <w:t>4387.02</w:t>
      </w:r>
      <w:r>
        <w:rPr>
          <w:rFonts w:ascii="Times New Roman" w:hAnsi="Times New Roman" w:eastAsia="方正仿宋_GBK"/>
          <w:sz w:val="32"/>
          <w:szCs w:val="32"/>
        </w:rPr>
        <w:t>万元，占</w:t>
      </w:r>
      <w:r>
        <w:rPr>
          <w:rFonts w:hint="default" w:ascii="Times New Roman" w:hAnsi="Times New Roman" w:eastAsia="方正仿宋_GBK"/>
          <w:sz w:val="32"/>
          <w:szCs w:val="32"/>
        </w:rPr>
        <w:t>99.8%</w:t>
      </w:r>
      <w:r>
        <w:rPr>
          <w:rFonts w:ascii="Times New Roman" w:hAnsi="Times New Roman" w:eastAsia="方正仿宋_GBK"/>
          <w:sz w:val="32"/>
          <w:szCs w:val="32"/>
        </w:rPr>
        <w:t>；项目支出</w:t>
      </w:r>
      <w:r>
        <w:rPr>
          <w:rFonts w:hint="default" w:ascii="Times New Roman" w:hAnsi="Times New Roman" w:eastAsia="方正仿宋_GBK"/>
          <w:sz w:val="32"/>
          <w:szCs w:val="32"/>
        </w:rPr>
        <w:t>8.50</w:t>
      </w:r>
      <w:r>
        <w:rPr>
          <w:rFonts w:ascii="Times New Roman" w:hAnsi="Times New Roman" w:eastAsia="方正仿宋_GBK"/>
          <w:sz w:val="32"/>
          <w:szCs w:val="32"/>
        </w:rPr>
        <w:t>万元，占</w:t>
      </w:r>
      <w:r>
        <w:rPr>
          <w:rFonts w:hint="default" w:ascii="Times New Roman" w:hAnsi="Times New Roman" w:eastAsia="方正仿宋_GBK"/>
          <w:sz w:val="32"/>
          <w:szCs w:val="32"/>
        </w:rPr>
        <w:t>0.2%</w:t>
      </w:r>
      <w:r>
        <w:rPr>
          <w:rFonts w:ascii="Times New Roman" w:hAnsi="Times New Roman" w:eastAsia="方正仿宋_GBK"/>
          <w:sz w:val="32"/>
          <w:szCs w:val="32"/>
        </w:rPr>
        <w:t>；经营支出</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。此外，结余分配</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316E5AB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b/>
          <w:bCs/>
          <w:sz w:val="32"/>
          <w:szCs w:val="32"/>
          <w:lang w:val="en-US" w:eastAsia="zh-CN"/>
        </w:rPr>
        <w:t>3</w:t>
      </w:r>
      <w:r>
        <w:rPr>
          <w:rFonts w:hint="eastAsia"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hint="eastAsia" w:ascii="Times New Roman" w:hAnsi="Times New Roman" w:eastAsia="方正仿宋_GBK"/>
          <w:sz w:val="32"/>
          <w:szCs w:val="32"/>
          <w:lang w:eastAsia="zh-CN"/>
        </w:rPr>
        <w:t>。</w:t>
      </w:r>
    </w:p>
    <w:p w14:paraId="765403B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（二）财政拨款收入支出决算总体情况说明</w:t>
      </w:r>
    </w:p>
    <w:p w14:paraId="59B0503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rPr>
        <w:t>2024</w:t>
      </w:r>
      <w:r>
        <w:rPr>
          <w:rFonts w:ascii="Times New Roman" w:hAnsi="Times New Roman" w:eastAsia="方正仿宋_GBK"/>
          <w:sz w:val="32"/>
          <w:szCs w:val="32"/>
        </w:rPr>
        <w:t>年度财政拨款收、支总计均为</w:t>
      </w:r>
      <w:r>
        <w:rPr>
          <w:rFonts w:hint="default" w:ascii="Times New Roman" w:hAnsi="Times New Roman" w:eastAsia="方正仿宋_GBK"/>
          <w:sz w:val="32"/>
          <w:szCs w:val="32"/>
        </w:rPr>
        <w:t>711.95</w:t>
      </w:r>
      <w:r>
        <w:rPr>
          <w:rFonts w:ascii="Times New Roman" w:hAnsi="Times New Roman" w:eastAsia="方正仿宋_GBK"/>
          <w:sz w:val="32"/>
          <w:szCs w:val="32"/>
        </w:rPr>
        <w:t>万元。与</w:t>
      </w:r>
      <w:r>
        <w:rPr>
          <w:rFonts w:hint="default" w:ascii="Times New Roman" w:hAnsi="Times New Roman" w:eastAsia="方正仿宋_GBK"/>
          <w:sz w:val="32"/>
          <w:szCs w:val="32"/>
        </w:rPr>
        <w:t>2023</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度</w:t>
      </w:r>
      <w:r>
        <w:rPr>
          <w:rFonts w:ascii="Times New Roman" w:hAnsi="Times New Roman" w:eastAsia="方正仿宋_GBK"/>
          <w:sz w:val="32"/>
          <w:szCs w:val="32"/>
        </w:rPr>
        <w:t>相比，</w:t>
      </w:r>
      <w:r>
        <w:rPr>
          <w:rFonts w:hint="default" w:ascii="Times New Roman" w:hAnsi="Times New Roman" w:eastAsia="方正仿宋_GBK"/>
          <w:sz w:val="32"/>
          <w:szCs w:val="32"/>
        </w:rPr>
        <w:t>财政拨款收、支总计各减少119.84万元，下降14.4%</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社会保障和就业支出增加</w:t>
      </w:r>
      <w:r>
        <w:rPr>
          <w:rFonts w:hint="default" w:ascii="Times New Roman" w:hAnsi="Times New Roman" w:eastAsia="方正仿宋_GBK"/>
          <w:sz w:val="32"/>
          <w:szCs w:val="32"/>
          <w:lang w:val="en-US" w:eastAsia="zh-CN"/>
        </w:rPr>
        <w:t>38.99</w:t>
      </w:r>
      <w:r>
        <w:rPr>
          <w:rFonts w:hint="eastAsia" w:ascii="Times New Roman" w:hAnsi="Times New Roman" w:eastAsia="方正仿宋_GBK"/>
          <w:sz w:val="32"/>
          <w:szCs w:val="32"/>
          <w:lang w:val="en-US" w:eastAsia="zh-CN"/>
        </w:rPr>
        <w:t>万元，卫生健康支出减少</w:t>
      </w:r>
      <w:r>
        <w:rPr>
          <w:rFonts w:hint="default" w:ascii="Times New Roman" w:hAnsi="Times New Roman" w:eastAsia="方正仿宋_GBK"/>
          <w:sz w:val="32"/>
          <w:szCs w:val="32"/>
          <w:lang w:val="en-US" w:eastAsia="zh-CN"/>
        </w:rPr>
        <w:t>169.05</w:t>
      </w:r>
      <w:r>
        <w:rPr>
          <w:rFonts w:hint="eastAsia" w:ascii="Times New Roman" w:hAnsi="Times New Roman" w:eastAsia="方正仿宋_GBK"/>
          <w:sz w:val="32"/>
          <w:szCs w:val="32"/>
          <w:lang w:val="en-US" w:eastAsia="zh-CN"/>
        </w:rPr>
        <w:t>万元，住房保障支出增加</w:t>
      </w:r>
      <w:r>
        <w:rPr>
          <w:rFonts w:hint="default" w:ascii="Times New Roman" w:hAnsi="Times New Roman" w:eastAsia="方正仿宋_GBK"/>
          <w:sz w:val="32"/>
          <w:szCs w:val="32"/>
          <w:lang w:val="en-US" w:eastAsia="zh-CN"/>
        </w:rPr>
        <w:t>10.22</w:t>
      </w:r>
      <w:r>
        <w:rPr>
          <w:rFonts w:hint="eastAsia" w:ascii="Times New Roman" w:hAnsi="Times New Roman" w:eastAsia="方正仿宋_GBK"/>
          <w:sz w:val="32"/>
          <w:szCs w:val="32"/>
          <w:lang w:val="en-US" w:eastAsia="zh-CN"/>
        </w:rPr>
        <w:t>万元。</w:t>
      </w:r>
    </w:p>
    <w:p w14:paraId="79B81F4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（三）一般公共预算财政拨款收入支出决算情况说明</w:t>
      </w:r>
    </w:p>
    <w:p w14:paraId="19FDE91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1</w:t>
      </w:r>
      <w:r>
        <w:rPr>
          <w:rFonts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年度一般公共预算财政拨款收入</w:t>
      </w:r>
      <w:r>
        <w:rPr>
          <w:rFonts w:hint="default" w:ascii="Times New Roman" w:hAnsi="Times New Roman" w:eastAsia="方正仿宋_GBK"/>
          <w:sz w:val="32"/>
          <w:szCs w:val="32"/>
        </w:rPr>
        <w:t>711.95</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与2023年度相比，减少98.92万元，下降12.2%</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社会保障和就业支出增加</w:t>
      </w:r>
      <w:r>
        <w:rPr>
          <w:rFonts w:hint="eastAsia" w:ascii="Times New Roman" w:hAnsi="Times New Roman" w:eastAsia="方正仿宋_GBK"/>
          <w:sz w:val="32"/>
          <w:szCs w:val="32"/>
          <w:lang w:val="en-US" w:eastAsia="zh-CN"/>
        </w:rPr>
        <w:t>38.99万元，卫生健康支出减少148.13万元，住房保障支出增加10.22万元。</w:t>
      </w:r>
      <w:r>
        <w:rPr>
          <w:rFonts w:hint="default" w:ascii="Times New Roman" w:hAnsi="Times New Roman" w:eastAsia="方正仿宋_GBK"/>
          <w:sz w:val="32"/>
          <w:szCs w:val="32"/>
        </w:rPr>
        <w:t>较年初预算数减少277.87万元，下降28.1%</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年初预算了超额绩效但年终追减了超额绩效。</w:t>
      </w:r>
      <w:r>
        <w:rPr>
          <w:rFonts w:ascii="Times New Roman" w:hAnsi="Times New Roman" w:eastAsia="方正仿宋_GBK"/>
          <w:sz w:val="32"/>
          <w:szCs w:val="32"/>
        </w:rPr>
        <w:t>此外，年初财政拨款结转和结余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2DDF677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b/>
          <w:bCs/>
          <w:sz w:val="32"/>
          <w:szCs w:val="32"/>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年度一般公共预算财政拨款支出</w:t>
      </w:r>
      <w:r>
        <w:rPr>
          <w:rFonts w:hint="default" w:ascii="Times New Roman" w:hAnsi="Times New Roman" w:eastAsia="方正仿宋_GBK"/>
          <w:sz w:val="32"/>
          <w:szCs w:val="32"/>
        </w:rPr>
        <w:t>711.95</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与2023年度相比，减少119.84万元，下降14.4%</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社会保障和就业支出增加</w:t>
      </w:r>
      <w:r>
        <w:rPr>
          <w:rFonts w:hint="eastAsia" w:ascii="Times New Roman" w:hAnsi="Times New Roman" w:eastAsia="方正仿宋_GBK"/>
          <w:sz w:val="32"/>
          <w:szCs w:val="32"/>
          <w:lang w:val="en-US" w:eastAsia="zh-CN"/>
        </w:rPr>
        <w:t>38.99万元，卫生健康支出减少169.05万元，住房保障支出增加10.22万元。</w:t>
      </w:r>
      <w:r>
        <w:rPr>
          <w:rFonts w:hint="default" w:ascii="Times New Roman" w:hAnsi="Times New Roman" w:eastAsia="方正仿宋_GBK"/>
          <w:sz w:val="32"/>
          <w:szCs w:val="32"/>
        </w:rPr>
        <w:t>较年初预算数减少277.87万元，下降28.1%</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年初预算了超额绩效但年终追减了超额绩效。</w:t>
      </w:r>
    </w:p>
    <w:p w14:paraId="726C4FB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一般公共预算财政拨款支出主要</w:t>
      </w:r>
      <w:r>
        <w:rPr>
          <w:rFonts w:hint="eastAsia" w:ascii="Times New Roman" w:hAnsi="Times New Roman" w:eastAsia="方正仿宋_GBK"/>
          <w:sz w:val="32"/>
          <w:szCs w:val="32"/>
          <w:lang w:eastAsia="zh-CN"/>
        </w:rPr>
        <w:t>用途如下</w:t>
      </w:r>
      <w:r>
        <w:rPr>
          <w:rFonts w:ascii="Times New Roman" w:hAnsi="Times New Roman" w:eastAsia="方正仿宋_GBK"/>
          <w:sz w:val="32"/>
          <w:szCs w:val="32"/>
        </w:rPr>
        <w:t>：</w:t>
      </w:r>
    </w:p>
    <w:p w14:paraId="32B2EE7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r>
        <w:rPr>
          <w:rFonts w:hint="default" w:ascii="Times New Roman" w:hAnsi="Times New Roman" w:eastAsia="方正仿宋_GBK"/>
          <w:sz w:val="32"/>
          <w:szCs w:val="32"/>
          <w:lang w:val="en-US" w:eastAsia="zh-CN"/>
        </w:rPr>
        <w:t>（1）</w:t>
      </w:r>
      <w:r>
        <w:rPr>
          <w:rFonts w:ascii="Times New Roman" w:hAnsi="Times New Roman" w:eastAsia="方正仿宋_GBK"/>
          <w:sz w:val="32"/>
          <w:szCs w:val="32"/>
        </w:rPr>
        <w:t>社会保障</w:t>
      </w:r>
      <w:r>
        <w:rPr>
          <w:rFonts w:hint="eastAsia" w:ascii="Times New Roman" w:hAnsi="Times New Roman" w:eastAsia="方正仿宋_GBK"/>
          <w:sz w:val="32"/>
          <w:szCs w:val="32"/>
          <w:lang w:eastAsia="zh-CN"/>
        </w:rPr>
        <w:t>和</w:t>
      </w:r>
      <w:r>
        <w:rPr>
          <w:rFonts w:ascii="Times New Roman" w:hAnsi="Times New Roman" w:eastAsia="方正仿宋_GBK"/>
          <w:sz w:val="32"/>
          <w:szCs w:val="32"/>
        </w:rPr>
        <w:t>就业支出</w:t>
      </w:r>
      <w:r>
        <w:rPr>
          <w:rFonts w:hint="default" w:ascii="Times New Roman" w:hAnsi="Times New Roman" w:eastAsia="方正仿宋_GBK"/>
          <w:sz w:val="32"/>
          <w:szCs w:val="32"/>
        </w:rPr>
        <w:t>154.28</w:t>
      </w:r>
      <w:r>
        <w:rPr>
          <w:rFonts w:ascii="Times New Roman" w:hAnsi="Times New Roman" w:eastAsia="方正仿宋_GBK"/>
          <w:sz w:val="32"/>
          <w:szCs w:val="32"/>
        </w:rPr>
        <w:t>万元，占</w:t>
      </w:r>
      <w:r>
        <w:rPr>
          <w:rFonts w:hint="default" w:ascii="Times New Roman" w:hAnsi="Times New Roman" w:eastAsia="方正仿宋_GBK"/>
          <w:sz w:val="32"/>
          <w:szCs w:val="32"/>
        </w:rPr>
        <w:t>21.7%</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较年初预算数增加40.41万元，增长35.5%</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人员增加导致五险预算增加</w:t>
      </w:r>
      <w:r>
        <w:rPr>
          <w:rFonts w:hint="eastAsia" w:ascii="Times New Roman" w:hAnsi="Times New Roman" w:eastAsia="方正仿宋_GBK"/>
          <w:sz w:val="32"/>
          <w:szCs w:val="32"/>
        </w:rPr>
        <w:t>。</w:t>
      </w:r>
    </w:p>
    <w:p w14:paraId="2F93B1A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（2）</w:t>
      </w:r>
      <w:r>
        <w:rPr>
          <w:rFonts w:ascii="Times New Roman" w:hAnsi="Times New Roman" w:eastAsia="方正仿宋_GBK"/>
          <w:sz w:val="32"/>
          <w:szCs w:val="32"/>
        </w:rPr>
        <w:t>卫生健康支出</w:t>
      </w:r>
      <w:r>
        <w:rPr>
          <w:rFonts w:hint="default" w:ascii="Times New Roman" w:hAnsi="Times New Roman" w:eastAsia="方正仿宋_GBK"/>
          <w:sz w:val="32"/>
          <w:szCs w:val="32"/>
        </w:rPr>
        <w:t>515.23</w:t>
      </w:r>
      <w:r>
        <w:rPr>
          <w:rFonts w:ascii="Times New Roman" w:hAnsi="Times New Roman" w:eastAsia="方正仿宋_GBK"/>
          <w:sz w:val="32"/>
          <w:szCs w:val="32"/>
        </w:rPr>
        <w:t>万元，占</w:t>
      </w:r>
      <w:r>
        <w:rPr>
          <w:rFonts w:hint="default" w:ascii="Times New Roman" w:hAnsi="Times New Roman" w:eastAsia="方正仿宋_GBK"/>
          <w:sz w:val="32"/>
          <w:szCs w:val="32"/>
        </w:rPr>
        <w:t>72.4%</w:t>
      </w:r>
      <w:r>
        <w:rPr>
          <w:rFonts w:ascii="Times New Roman" w:hAnsi="Times New Roman" w:eastAsia="方正仿宋_GBK"/>
          <w:sz w:val="32"/>
          <w:szCs w:val="32"/>
        </w:rPr>
        <w:t>，</w:t>
      </w:r>
      <w:r>
        <w:rPr>
          <w:rFonts w:hint="default" w:ascii="Times New Roman" w:hAnsi="Times New Roman" w:eastAsia="方正仿宋_GBK"/>
          <w:sz w:val="32"/>
          <w:szCs w:val="32"/>
        </w:rPr>
        <w:t>较年初预算数</w:t>
      </w:r>
    </w:p>
    <w:p w14:paraId="4946106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减少318.28万元，下降38.2%</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年初预算了超额绩效但年终追减了超额绩效</w:t>
      </w:r>
      <w:r>
        <w:rPr>
          <w:rFonts w:hint="eastAsia" w:ascii="Times New Roman" w:hAnsi="Times New Roman" w:eastAsia="方正仿宋_GBK"/>
          <w:sz w:val="32"/>
          <w:szCs w:val="32"/>
        </w:rPr>
        <w:t>。</w:t>
      </w:r>
    </w:p>
    <w:p w14:paraId="7B426D8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w:t>
      </w:r>
      <w:r>
        <w:rPr>
          <w:rFonts w:hint="default" w:ascii="Times New Roman" w:hAnsi="Times New Roman" w:eastAsia="方正仿宋_GBK"/>
          <w:sz w:val="32"/>
          <w:szCs w:val="32"/>
          <w:lang w:val="en-US" w:eastAsia="zh-CN"/>
        </w:rPr>
        <w:t>3</w:t>
      </w:r>
      <w:r>
        <w:rPr>
          <w:rFonts w:hint="default" w:ascii="Times New Roman" w:hAnsi="Times New Roman" w:eastAsia="方正仿宋_GBK"/>
          <w:sz w:val="32"/>
          <w:szCs w:val="32"/>
        </w:rPr>
        <w:t>）</w:t>
      </w:r>
      <w:r>
        <w:rPr>
          <w:rFonts w:ascii="Times New Roman" w:hAnsi="Times New Roman" w:eastAsia="方正仿宋_GBK"/>
          <w:sz w:val="32"/>
          <w:szCs w:val="32"/>
        </w:rPr>
        <w:t>住房保障支出</w:t>
      </w:r>
      <w:r>
        <w:rPr>
          <w:rFonts w:hint="default" w:ascii="Times New Roman" w:hAnsi="Times New Roman" w:eastAsia="方正仿宋_GBK"/>
          <w:sz w:val="32"/>
          <w:szCs w:val="32"/>
        </w:rPr>
        <w:t>42.44</w:t>
      </w:r>
      <w:r>
        <w:rPr>
          <w:rFonts w:ascii="Times New Roman" w:hAnsi="Times New Roman" w:eastAsia="方正仿宋_GBK"/>
          <w:sz w:val="32"/>
          <w:szCs w:val="32"/>
        </w:rPr>
        <w:t>万元，占</w:t>
      </w:r>
      <w:r>
        <w:rPr>
          <w:rFonts w:hint="default" w:ascii="Times New Roman" w:hAnsi="Times New Roman" w:eastAsia="方正仿宋_GBK"/>
          <w:sz w:val="32"/>
          <w:szCs w:val="32"/>
        </w:rPr>
        <w:t>6.0%</w:t>
      </w:r>
      <w:r>
        <w:rPr>
          <w:rFonts w:ascii="Times New Roman" w:hAnsi="Times New Roman" w:eastAsia="方正仿宋_GBK"/>
          <w:sz w:val="32"/>
          <w:szCs w:val="32"/>
        </w:rPr>
        <w:t>，</w:t>
      </w:r>
      <w:r>
        <w:rPr>
          <w:rFonts w:hint="default" w:ascii="Times New Roman" w:hAnsi="Times New Roman" w:eastAsia="方正仿宋_GBK"/>
          <w:sz w:val="32"/>
          <w:szCs w:val="32"/>
        </w:rPr>
        <w:t>较年初预算数无增减</w:t>
      </w:r>
      <w:r>
        <w:rPr>
          <w:rFonts w:hint="eastAsia" w:ascii="Times New Roman" w:hAnsi="Times New Roman" w:eastAsia="方正仿宋_GBK"/>
          <w:sz w:val="32"/>
          <w:szCs w:val="32"/>
          <w:lang w:eastAsia="zh-CN"/>
        </w:rPr>
        <w:t>。</w:t>
      </w:r>
    </w:p>
    <w:p w14:paraId="5F410E2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lang w:val="en-US" w:eastAsia="zh-CN"/>
        </w:rPr>
      </w:pPr>
      <w:r>
        <w:rPr>
          <w:rFonts w:hint="default" w:ascii="Times New Roman" w:hAnsi="Times New Roman" w:eastAsia="方正仿宋_GBK"/>
          <w:b/>
          <w:bCs/>
          <w:sz w:val="32"/>
          <w:szCs w:val="32"/>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年度年末一般公共预算财政拨款结转和结余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hint="eastAsia" w:ascii="Times New Roman" w:hAnsi="Times New Roman" w:eastAsia="方正仿宋_GBK"/>
          <w:sz w:val="32"/>
          <w:szCs w:val="32"/>
          <w:lang w:eastAsia="zh-CN"/>
        </w:rPr>
        <w:t>。</w:t>
      </w:r>
    </w:p>
    <w:p w14:paraId="7DEDD8F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（四）一般公共预算财政拨款基本支出决算情况说明</w:t>
      </w:r>
    </w:p>
    <w:p w14:paraId="4CBA00A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年度一般公共财政拨款基本支出</w:t>
      </w:r>
      <w:r>
        <w:rPr>
          <w:rFonts w:hint="default" w:ascii="Times New Roman" w:hAnsi="Times New Roman" w:eastAsia="方正仿宋_GBK"/>
          <w:sz w:val="32"/>
          <w:szCs w:val="32"/>
        </w:rPr>
        <w:t>703.45</w:t>
      </w:r>
      <w:r>
        <w:rPr>
          <w:rFonts w:ascii="Times New Roman" w:hAnsi="Times New Roman" w:eastAsia="方正仿宋_GBK"/>
          <w:sz w:val="32"/>
          <w:szCs w:val="32"/>
        </w:rPr>
        <w:t>万元。其中：</w:t>
      </w:r>
    </w:p>
    <w:p w14:paraId="4F4007B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r>
        <w:rPr>
          <w:rFonts w:ascii="Times New Roman" w:hAnsi="Times New Roman" w:eastAsia="方正仿宋_GBK"/>
          <w:sz w:val="32"/>
          <w:szCs w:val="32"/>
        </w:rPr>
        <w:t>人员经费</w:t>
      </w:r>
      <w:r>
        <w:rPr>
          <w:rFonts w:hint="default" w:ascii="Times New Roman" w:hAnsi="Times New Roman" w:eastAsia="方正仿宋_GBK"/>
          <w:sz w:val="32"/>
          <w:szCs w:val="32"/>
        </w:rPr>
        <w:t>294.03</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与2023年度相比，减少407.79万元，下降58.1%</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年初预算了超额绩效但年终追减了超额绩效。</w:t>
      </w:r>
      <w:r>
        <w:rPr>
          <w:rFonts w:ascii="Times New Roman" w:hAnsi="Times New Roman" w:eastAsia="方正仿宋_GBK"/>
          <w:sz w:val="32"/>
          <w:szCs w:val="32"/>
        </w:rPr>
        <w:t>人员经费用途主要包括</w:t>
      </w:r>
      <w:r>
        <w:rPr>
          <w:rFonts w:hint="eastAsia" w:ascii="Times New Roman" w:hAnsi="Times New Roman" w:eastAsia="方正仿宋_GBK"/>
          <w:sz w:val="32"/>
          <w:szCs w:val="32"/>
        </w:rPr>
        <w:t>基本工资、津贴补贴、伙食补助费、绩效工资、机关事业单位基本养老保险费、职业年金缴费、职工基本医疗保险缴费、其他社会保障缴费、住房公积金、医疗费、其他工资福利支出等。</w:t>
      </w:r>
    </w:p>
    <w:p w14:paraId="38E863B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公用经费</w:t>
      </w:r>
      <w:r>
        <w:rPr>
          <w:rFonts w:hint="default" w:ascii="Times New Roman" w:hAnsi="Times New Roman" w:eastAsia="方正仿宋_GBK"/>
          <w:sz w:val="32"/>
          <w:szCs w:val="32"/>
        </w:rPr>
        <w:t>409.43</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与2023年度相比，增加327.68万元，增长400.8%</w:t>
      </w:r>
      <w:r>
        <w:rPr>
          <w:rFonts w:ascii="Times New Roman" w:hAnsi="Times New Roman" w:eastAsia="方正仿宋_GBK"/>
          <w:sz w:val="32"/>
          <w:szCs w:val="32"/>
        </w:rPr>
        <w:t>，主要原因是</w:t>
      </w:r>
      <w:r>
        <w:rPr>
          <w:rFonts w:hint="default" w:ascii="Times New Roman" w:hAnsi="Times New Roman" w:eastAsia="方正仿宋_GBK"/>
          <w:sz w:val="32"/>
          <w:szCs w:val="32"/>
          <w:lang w:val="en-US" w:eastAsia="zh-CN"/>
        </w:rPr>
        <w:t>2023</w:t>
      </w:r>
      <w:r>
        <w:rPr>
          <w:rFonts w:hint="eastAsia" w:ascii="Times New Roman" w:hAnsi="Times New Roman" w:eastAsia="方正仿宋_GBK"/>
          <w:sz w:val="32"/>
          <w:szCs w:val="32"/>
          <w:lang w:val="en-US" w:eastAsia="zh-CN"/>
        </w:rPr>
        <w:t>年财政追减了公用经费，在</w:t>
      </w:r>
      <w:r>
        <w:rPr>
          <w:rFonts w:hint="default" w:ascii="Times New Roman" w:hAnsi="Times New Roman" w:eastAsia="方正仿宋_GBK"/>
          <w:sz w:val="32"/>
          <w:szCs w:val="32"/>
          <w:lang w:val="en-US" w:eastAsia="zh-CN"/>
        </w:rPr>
        <w:t>2024</w:t>
      </w:r>
      <w:r>
        <w:rPr>
          <w:rFonts w:hint="eastAsia" w:ascii="Times New Roman" w:hAnsi="Times New Roman" w:eastAsia="方正仿宋_GBK"/>
          <w:sz w:val="32"/>
          <w:szCs w:val="32"/>
          <w:lang w:val="en-US" w:eastAsia="zh-CN"/>
        </w:rPr>
        <w:t>年追加了</w:t>
      </w:r>
      <w:r>
        <w:rPr>
          <w:rFonts w:hint="default" w:ascii="Times New Roman" w:hAnsi="Times New Roman" w:eastAsia="方正仿宋_GBK"/>
          <w:sz w:val="32"/>
          <w:szCs w:val="32"/>
          <w:lang w:val="en-US" w:eastAsia="zh-CN"/>
        </w:rPr>
        <w:t>2023</w:t>
      </w:r>
      <w:r>
        <w:rPr>
          <w:rFonts w:hint="eastAsia" w:ascii="Times New Roman" w:hAnsi="Times New Roman" w:eastAsia="方正仿宋_GBK"/>
          <w:sz w:val="32"/>
          <w:szCs w:val="32"/>
          <w:lang w:val="en-US" w:eastAsia="zh-CN"/>
        </w:rPr>
        <w:t>年的公用经费</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公用经费用途主要包括</w:t>
      </w:r>
      <w:r>
        <w:rPr>
          <w:rFonts w:hint="eastAsia" w:ascii="Times New Roman" w:hAnsi="Times New Roman" w:eastAsia="方正仿宋_GBK"/>
          <w:sz w:val="32"/>
          <w:szCs w:val="32"/>
        </w:rPr>
        <w:t>办公费、差旅费、培训费、劳务费、工会经费、公务用车运行维护费、其他交通费用、其他商品和服务支出、办公设备购置等。</w:t>
      </w:r>
    </w:p>
    <w:p w14:paraId="0BDF341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（五）政府性基金预算收支决算情况说明</w:t>
      </w:r>
    </w:p>
    <w:p w14:paraId="090431F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本</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rPr>
        <w:t>202</w:t>
      </w:r>
      <w:r>
        <w:rPr>
          <w:rFonts w:hint="default" w:ascii="Times New Roman" w:hAnsi="Times New Roman" w:eastAsia="方正仿宋_GBK"/>
          <w:sz w:val="32"/>
          <w:szCs w:val="32"/>
          <w:lang w:val="en-US" w:eastAsia="zh-CN"/>
        </w:rPr>
        <w:t>4</w:t>
      </w:r>
      <w:r>
        <w:rPr>
          <w:rFonts w:hint="eastAsia" w:ascii="Times New Roman" w:hAnsi="Times New Roman" w:eastAsia="方正仿宋_GBK"/>
          <w:sz w:val="32"/>
          <w:szCs w:val="32"/>
        </w:rPr>
        <w:t>年度无政府性基金预算财政拨款收支</w:t>
      </w:r>
    </w:p>
    <w:p w14:paraId="7CB242F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（六）国有资本经营预算财政拨款支出决算情况说明</w:t>
      </w:r>
    </w:p>
    <w:p w14:paraId="7FB7153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本</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rPr>
        <w:t>202</w:t>
      </w:r>
      <w:r>
        <w:rPr>
          <w:rFonts w:hint="default" w:ascii="Times New Roman" w:hAnsi="Times New Roman" w:eastAsia="方正仿宋_GBK"/>
          <w:sz w:val="32"/>
          <w:szCs w:val="32"/>
          <w:lang w:val="en-US" w:eastAsia="zh-CN"/>
        </w:rPr>
        <w:t>4</w:t>
      </w:r>
      <w:r>
        <w:rPr>
          <w:rFonts w:hint="eastAsia" w:ascii="Times New Roman" w:hAnsi="Times New Roman" w:eastAsia="方正仿宋_GBK"/>
          <w:sz w:val="32"/>
          <w:szCs w:val="32"/>
        </w:rPr>
        <w:t>年度无国有资本经营预算财政拨款支出。</w:t>
      </w:r>
    </w:p>
    <w:p w14:paraId="1F49A21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w:t>
      </w:r>
      <w:r>
        <w:rPr>
          <w:rFonts w:hint="eastAsia" w:ascii="方正黑体_GBK" w:hAnsi="方正黑体_GBK" w:eastAsia="方正黑体_GBK" w:cs="方正黑体_GBK"/>
          <w:b/>
          <w:bCs/>
          <w:sz w:val="32"/>
          <w:szCs w:val="32"/>
          <w:lang w:eastAsia="zh-CN"/>
        </w:rPr>
        <w:t>财政拨款</w:t>
      </w:r>
      <w:r>
        <w:rPr>
          <w:rFonts w:hint="eastAsia" w:ascii="方正黑体_GBK" w:hAnsi="方正黑体_GBK" w:eastAsia="方正黑体_GBK" w:cs="方正黑体_GBK"/>
          <w:b/>
          <w:bCs/>
          <w:sz w:val="32"/>
          <w:szCs w:val="32"/>
        </w:rPr>
        <w:t>“三公”经费情况说明</w:t>
      </w:r>
    </w:p>
    <w:p w14:paraId="15AF750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（一）“三公”经费支出总体情况说明</w:t>
      </w:r>
    </w:p>
    <w:p w14:paraId="593FD10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2024</w:t>
      </w:r>
      <w:r>
        <w:rPr>
          <w:rFonts w:ascii="Times New Roman" w:hAnsi="Times New Roman" w:eastAsia="方正仿宋_GBK"/>
          <w:sz w:val="32"/>
          <w:szCs w:val="32"/>
        </w:rPr>
        <w:t>年度“三公”经费支出共计</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较年初预算数无增减</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rPr>
        <w:t>较上年支出数减少2.94万元，下降100.0%</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未发生“三公”经费。</w:t>
      </w:r>
    </w:p>
    <w:p w14:paraId="1CC8630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（二）“三公”经费分项支出情况</w:t>
      </w:r>
    </w:p>
    <w:p w14:paraId="6D6FF3E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因公出国（境）费用</w:t>
      </w:r>
      <w:r>
        <w:rPr>
          <w:rFonts w:hint="default" w:ascii="Times New Roman" w:hAnsi="Times New Roman" w:eastAsia="方正仿宋_GBK"/>
          <w:sz w:val="32"/>
          <w:szCs w:val="32"/>
        </w:rPr>
        <w:t>0.00</w:t>
      </w:r>
      <w:r>
        <w:rPr>
          <w:rFonts w:ascii="Times New Roman" w:hAnsi="Times New Roman" w:eastAsia="方正仿宋_GBK"/>
          <w:sz w:val="32"/>
          <w:szCs w:val="32"/>
        </w:rPr>
        <w:t>万元。费用支出</w:t>
      </w:r>
      <w:r>
        <w:rPr>
          <w:rFonts w:hint="default" w:ascii="Times New Roman" w:hAnsi="Times New Roman" w:eastAsia="方正仿宋_GBK"/>
          <w:sz w:val="32"/>
          <w:szCs w:val="32"/>
        </w:rPr>
        <w:t>较年初预算数无增减</w:t>
      </w:r>
      <w:r>
        <w:rPr>
          <w:rFonts w:ascii="Times New Roman" w:hAnsi="Times New Roman" w:eastAsia="方正仿宋_GBK"/>
          <w:sz w:val="32"/>
          <w:szCs w:val="32"/>
        </w:rPr>
        <w:t>。</w:t>
      </w:r>
      <w:r>
        <w:rPr>
          <w:rFonts w:hint="default" w:ascii="Times New Roman" w:hAnsi="Times New Roman" w:eastAsia="方正仿宋_GBK"/>
          <w:sz w:val="32"/>
          <w:szCs w:val="32"/>
        </w:rPr>
        <w:t>较上年支出数无增减</w:t>
      </w:r>
      <w:r>
        <w:rPr>
          <w:rFonts w:ascii="Times New Roman" w:hAnsi="Times New Roman" w:eastAsia="方正仿宋_GBK"/>
          <w:sz w:val="32"/>
          <w:szCs w:val="32"/>
        </w:rPr>
        <w:t>。</w:t>
      </w:r>
    </w:p>
    <w:p w14:paraId="6B1CA76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公务</w:t>
      </w:r>
      <w:r>
        <w:rPr>
          <w:rFonts w:hint="eastAsia" w:ascii="Times New Roman" w:hAnsi="Times New Roman" w:eastAsia="方正仿宋_GBK"/>
          <w:sz w:val="32"/>
          <w:szCs w:val="32"/>
          <w:lang w:eastAsia="zh-CN"/>
        </w:rPr>
        <w:t>用</w:t>
      </w:r>
      <w:r>
        <w:rPr>
          <w:rFonts w:ascii="Times New Roman" w:hAnsi="Times New Roman" w:eastAsia="方正仿宋_GBK"/>
          <w:sz w:val="32"/>
          <w:szCs w:val="32"/>
        </w:rPr>
        <w:t>车购置费</w:t>
      </w:r>
      <w:r>
        <w:rPr>
          <w:rFonts w:hint="default" w:ascii="Times New Roman" w:hAnsi="Times New Roman" w:eastAsia="方正仿宋_GBK"/>
          <w:sz w:val="32"/>
          <w:szCs w:val="32"/>
        </w:rPr>
        <w:t>0.00</w:t>
      </w:r>
      <w:r>
        <w:rPr>
          <w:rFonts w:ascii="Times New Roman" w:hAnsi="Times New Roman" w:eastAsia="方正仿宋_GBK"/>
          <w:sz w:val="32"/>
          <w:szCs w:val="32"/>
        </w:rPr>
        <w:t>万元。费用支出</w:t>
      </w:r>
      <w:r>
        <w:rPr>
          <w:rFonts w:hint="default" w:ascii="Times New Roman" w:hAnsi="Times New Roman" w:eastAsia="方正仿宋_GBK"/>
          <w:sz w:val="32"/>
          <w:szCs w:val="32"/>
        </w:rPr>
        <w:t>较年初预算数无增减</w:t>
      </w:r>
      <w:r>
        <w:rPr>
          <w:rFonts w:ascii="Times New Roman" w:hAnsi="Times New Roman" w:eastAsia="方正仿宋_GBK"/>
          <w:sz w:val="32"/>
          <w:szCs w:val="32"/>
        </w:rPr>
        <w:t>。</w:t>
      </w:r>
      <w:r>
        <w:rPr>
          <w:rFonts w:hint="default" w:ascii="Times New Roman" w:hAnsi="Times New Roman" w:eastAsia="方正仿宋_GBK"/>
          <w:sz w:val="32"/>
          <w:szCs w:val="32"/>
        </w:rPr>
        <w:t>较上年支出数无增减</w:t>
      </w:r>
      <w:r>
        <w:rPr>
          <w:rFonts w:ascii="Times New Roman" w:hAnsi="Times New Roman" w:eastAsia="方正仿宋_GBK"/>
          <w:sz w:val="32"/>
          <w:szCs w:val="32"/>
        </w:rPr>
        <w:t>。</w:t>
      </w:r>
    </w:p>
    <w:p w14:paraId="7AE0DE6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公务</w:t>
      </w:r>
      <w:r>
        <w:rPr>
          <w:rFonts w:hint="eastAsia" w:ascii="Times New Roman" w:hAnsi="Times New Roman" w:eastAsia="方正仿宋_GBK"/>
          <w:sz w:val="32"/>
          <w:szCs w:val="32"/>
          <w:lang w:eastAsia="zh-CN"/>
        </w:rPr>
        <w:t>用</w:t>
      </w:r>
      <w:r>
        <w:rPr>
          <w:rFonts w:ascii="Times New Roman" w:hAnsi="Times New Roman" w:eastAsia="方正仿宋_GBK"/>
          <w:sz w:val="32"/>
          <w:szCs w:val="32"/>
        </w:rPr>
        <w:t>车运行维护费</w:t>
      </w:r>
      <w:r>
        <w:rPr>
          <w:rFonts w:hint="default" w:ascii="Times New Roman" w:hAnsi="Times New Roman" w:eastAsia="方正仿宋_GBK"/>
          <w:sz w:val="32"/>
          <w:szCs w:val="32"/>
        </w:rPr>
        <w:t>0.00</w:t>
      </w:r>
      <w:r>
        <w:rPr>
          <w:rFonts w:ascii="Times New Roman" w:hAnsi="Times New Roman" w:eastAsia="方正仿宋_GBK"/>
          <w:sz w:val="32"/>
          <w:szCs w:val="32"/>
        </w:rPr>
        <w:t>万元，费用支出</w:t>
      </w:r>
      <w:r>
        <w:rPr>
          <w:rFonts w:hint="default" w:ascii="Times New Roman" w:hAnsi="Times New Roman" w:eastAsia="方正仿宋_GBK"/>
          <w:sz w:val="32"/>
          <w:szCs w:val="32"/>
        </w:rPr>
        <w:t>较年初预算数无增减</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本单位</w:t>
      </w:r>
      <w:r>
        <w:rPr>
          <w:rFonts w:hint="default" w:ascii="Times New Roman" w:hAnsi="Times New Roman" w:eastAsia="方正仿宋_GBK"/>
          <w:sz w:val="32"/>
          <w:szCs w:val="32"/>
          <w:lang w:val="en-US" w:eastAsia="zh-CN"/>
        </w:rPr>
        <w:t>2024</w:t>
      </w:r>
      <w:r>
        <w:rPr>
          <w:rFonts w:hint="eastAsia" w:ascii="Times New Roman" w:hAnsi="Times New Roman" w:eastAsia="方正仿宋_GBK"/>
          <w:sz w:val="32"/>
          <w:szCs w:val="32"/>
          <w:lang w:val="en-US" w:eastAsia="zh-CN"/>
        </w:rPr>
        <w:t>年度未发生</w:t>
      </w:r>
      <w:r>
        <w:rPr>
          <w:rFonts w:ascii="Times New Roman" w:hAnsi="Times New Roman" w:eastAsia="方正仿宋_GBK"/>
          <w:sz w:val="32"/>
          <w:szCs w:val="32"/>
        </w:rPr>
        <w:t>公务</w:t>
      </w:r>
      <w:r>
        <w:rPr>
          <w:rFonts w:hint="eastAsia" w:ascii="Times New Roman" w:hAnsi="Times New Roman" w:eastAsia="方正仿宋_GBK"/>
          <w:sz w:val="32"/>
          <w:szCs w:val="32"/>
          <w:lang w:eastAsia="zh-CN"/>
        </w:rPr>
        <w:t>用</w:t>
      </w:r>
      <w:r>
        <w:rPr>
          <w:rFonts w:ascii="Times New Roman" w:hAnsi="Times New Roman" w:eastAsia="方正仿宋_GBK"/>
          <w:sz w:val="32"/>
          <w:szCs w:val="32"/>
        </w:rPr>
        <w:t>车运行维护费</w:t>
      </w:r>
      <w:r>
        <w:rPr>
          <w:rFonts w:hint="eastAsia" w:ascii="Times New Roman" w:hAnsi="Times New Roman" w:eastAsia="方正仿宋_GBK"/>
          <w:sz w:val="32"/>
          <w:szCs w:val="32"/>
          <w:lang w:eastAsia="zh-CN"/>
        </w:rPr>
        <w:t>支出。</w:t>
      </w:r>
      <w:r>
        <w:rPr>
          <w:rFonts w:hint="default" w:ascii="Times New Roman" w:hAnsi="Times New Roman" w:eastAsia="方正仿宋_GBK"/>
          <w:sz w:val="32"/>
          <w:szCs w:val="32"/>
        </w:rPr>
        <w:t>较上年支出数减少2.94万元，下降100.0%</w:t>
      </w:r>
      <w:r>
        <w:rPr>
          <w:rFonts w:ascii="Times New Roman" w:hAnsi="Times New Roman" w:eastAsia="方正仿宋_GBK"/>
          <w:sz w:val="32"/>
          <w:szCs w:val="32"/>
        </w:rPr>
        <w:t>，主要原因是</w:t>
      </w:r>
      <w:r>
        <w:rPr>
          <w:rFonts w:hint="default" w:ascii="Times New Roman" w:hAnsi="Times New Roman" w:eastAsia="方正仿宋_GBK"/>
          <w:sz w:val="32"/>
          <w:szCs w:val="32"/>
          <w:lang w:val="en-US" w:eastAsia="zh-CN"/>
        </w:rPr>
        <w:t>2024</w:t>
      </w:r>
      <w:r>
        <w:rPr>
          <w:rFonts w:hint="eastAsia" w:ascii="Times New Roman" w:hAnsi="Times New Roman" w:eastAsia="方正仿宋_GBK"/>
          <w:sz w:val="32"/>
          <w:szCs w:val="32"/>
          <w:lang w:val="en-US" w:eastAsia="zh-CN"/>
        </w:rPr>
        <w:t>年度未发生</w:t>
      </w:r>
      <w:r>
        <w:rPr>
          <w:rFonts w:ascii="Times New Roman" w:hAnsi="Times New Roman" w:eastAsia="方正仿宋_GBK"/>
          <w:sz w:val="32"/>
          <w:szCs w:val="32"/>
        </w:rPr>
        <w:t>公务</w:t>
      </w:r>
      <w:r>
        <w:rPr>
          <w:rFonts w:hint="eastAsia" w:ascii="Times New Roman" w:hAnsi="Times New Roman" w:eastAsia="方正仿宋_GBK"/>
          <w:sz w:val="32"/>
          <w:szCs w:val="32"/>
          <w:lang w:eastAsia="zh-CN"/>
        </w:rPr>
        <w:t>用</w:t>
      </w:r>
      <w:r>
        <w:rPr>
          <w:rFonts w:ascii="Times New Roman" w:hAnsi="Times New Roman" w:eastAsia="方正仿宋_GBK"/>
          <w:sz w:val="32"/>
          <w:szCs w:val="32"/>
        </w:rPr>
        <w:t>车运行维护费</w:t>
      </w:r>
      <w:r>
        <w:rPr>
          <w:rFonts w:hint="eastAsia" w:ascii="Times New Roman" w:hAnsi="Times New Roman" w:eastAsia="方正仿宋_GBK"/>
          <w:sz w:val="32"/>
          <w:szCs w:val="32"/>
          <w:lang w:eastAsia="zh-CN"/>
        </w:rPr>
        <w:t>支出。</w:t>
      </w:r>
    </w:p>
    <w:p w14:paraId="33E8314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公务接待费</w:t>
      </w:r>
      <w:r>
        <w:rPr>
          <w:rFonts w:hint="default" w:ascii="Times New Roman" w:hAnsi="Times New Roman" w:eastAsia="方正仿宋_GBK"/>
          <w:sz w:val="32"/>
          <w:szCs w:val="32"/>
        </w:rPr>
        <w:t>0.00</w:t>
      </w:r>
      <w:r>
        <w:rPr>
          <w:rFonts w:ascii="Times New Roman" w:hAnsi="Times New Roman" w:eastAsia="方正仿宋_GBK"/>
          <w:sz w:val="32"/>
          <w:szCs w:val="32"/>
        </w:rPr>
        <w:t>万元。费用支出</w:t>
      </w:r>
      <w:r>
        <w:rPr>
          <w:rFonts w:hint="default" w:ascii="Times New Roman" w:hAnsi="Times New Roman" w:eastAsia="方正仿宋_GBK"/>
          <w:sz w:val="32"/>
          <w:szCs w:val="32"/>
        </w:rPr>
        <w:t>较年初预算数无增减</w:t>
      </w:r>
      <w:r>
        <w:rPr>
          <w:rFonts w:ascii="Times New Roman" w:hAnsi="Times New Roman" w:eastAsia="方正仿宋_GBK"/>
          <w:sz w:val="32"/>
          <w:szCs w:val="32"/>
        </w:rPr>
        <w:t>。</w:t>
      </w:r>
      <w:r>
        <w:rPr>
          <w:rFonts w:hint="default" w:ascii="Times New Roman" w:hAnsi="Times New Roman" w:eastAsia="方正仿宋_GBK"/>
          <w:sz w:val="32"/>
          <w:szCs w:val="32"/>
        </w:rPr>
        <w:t>较上年支出数无增减</w:t>
      </w:r>
      <w:r>
        <w:rPr>
          <w:rFonts w:ascii="Times New Roman" w:hAnsi="Times New Roman" w:eastAsia="方正仿宋_GBK"/>
          <w:sz w:val="32"/>
          <w:szCs w:val="32"/>
        </w:rPr>
        <w:t>。</w:t>
      </w:r>
    </w:p>
    <w:p w14:paraId="112087E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（三）“三公”经费实物量情况</w:t>
      </w:r>
    </w:p>
    <w:p w14:paraId="231C031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因公出国（境）共计</w:t>
      </w:r>
      <w:r>
        <w:rPr>
          <w:rFonts w:hint="default" w:ascii="Times New Roman" w:hAnsi="Times New Roman" w:eastAsia="方正仿宋_GBK"/>
          <w:sz w:val="32"/>
          <w:szCs w:val="32"/>
        </w:rPr>
        <w:t>0</w:t>
      </w:r>
      <w:r>
        <w:rPr>
          <w:rFonts w:ascii="Times New Roman" w:hAnsi="Times New Roman" w:eastAsia="方正仿宋_GBK"/>
          <w:sz w:val="32"/>
          <w:szCs w:val="32"/>
        </w:rPr>
        <w:t>个团组，</w:t>
      </w:r>
      <w:r>
        <w:rPr>
          <w:rFonts w:hint="default" w:ascii="Times New Roman" w:hAnsi="Times New Roman" w:eastAsia="方正仿宋_GBK"/>
          <w:sz w:val="32"/>
          <w:szCs w:val="32"/>
        </w:rPr>
        <w:t>0</w:t>
      </w:r>
      <w:r>
        <w:rPr>
          <w:rFonts w:ascii="Times New Roman" w:hAnsi="Times New Roman" w:eastAsia="方正仿宋_GBK"/>
          <w:sz w:val="32"/>
          <w:szCs w:val="32"/>
        </w:rPr>
        <w:t>人；公务用车购置</w:t>
      </w:r>
      <w:r>
        <w:rPr>
          <w:rFonts w:hint="default" w:ascii="Times New Roman" w:hAnsi="Times New Roman" w:eastAsia="方正仿宋_GBK"/>
          <w:sz w:val="32"/>
          <w:szCs w:val="32"/>
        </w:rPr>
        <w:t>0</w:t>
      </w:r>
      <w:r>
        <w:rPr>
          <w:rFonts w:ascii="Times New Roman" w:hAnsi="Times New Roman" w:eastAsia="方正仿宋_GBK"/>
          <w:sz w:val="32"/>
          <w:szCs w:val="32"/>
        </w:rPr>
        <w:t>辆，公务车保有量为</w:t>
      </w:r>
      <w:r>
        <w:rPr>
          <w:rFonts w:hint="default" w:ascii="Times New Roman" w:hAnsi="Times New Roman" w:eastAsia="方正仿宋_GBK"/>
          <w:sz w:val="32"/>
          <w:szCs w:val="32"/>
        </w:rPr>
        <w:t>0</w:t>
      </w:r>
      <w:r>
        <w:rPr>
          <w:rFonts w:ascii="Times New Roman" w:hAnsi="Times New Roman" w:eastAsia="方正仿宋_GBK"/>
          <w:sz w:val="32"/>
          <w:szCs w:val="32"/>
        </w:rPr>
        <w:t>辆；国内公务接待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人，其中：国内外事接待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人；国（境）外公务接待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w:t>
      </w:r>
      <w:r>
        <w:rPr>
          <w:rFonts w:hint="default" w:ascii="Times New Roman" w:hAnsi="Times New Roman" w:eastAsia="方正仿宋_GBK"/>
          <w:sz w:val="32"/>
          <w:szCs w:val="32"/>
        </w:rPr>
        <w:t>2024</w:t>
      </w:r>
      <w:r>
        <w:rPr>
          <w:rFonts w:ascii="Times New Roman" w:hAnsi="Times New Roman" w:eastAsia="方正仿宋_GBK"/>
          <w:sz w:val="32"/>
          <w:szCs w:val="32"/>
        </w:rPr>
        <w:t>年本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人均接待费</w:t>
      </w:r>
      <w:r>
        <w:rPr>
          <w:rFonts w:hint="default" w:ascii="Times New Roman" w:hAnsi="Times New Roman" w:eastAsia="方正仿宋_GBK"/>
          <w:sz w:val="32"/>
          <w:szCs w:val="32"/>
        </w:rPr>
        <w:t>0</w:t>
      </w:r>
      <w:r>
        <w:rPr>
          <w:rFonts w:ascii="Times New Roman" w:hAnsi="Times New Roman" w:eastAsia="方正仿宋_GBK"/>
          <w:sz w:val="32"/>
          <w:szCs w:val="32"/>
        </w:rPr>
        <w:t>元，车均购置费</w:t>
      </w:r>
      <w:r>
        <w:rPr>
          <w:rFonts w:hint="default" w:ascii="Times New Roman" w:hAnsi="Times New Roman" w:eastAsia="方正仿宋_GBK"/>
          <w:sz w:val="32"/>
          <w:szCs w:val="32"/>
        </w:rPr>
        <w:t>0</w:t>
      </w:r>
      <w:r>
        <w:rPr>
          <w:rFonts w:ascii="Times New Roman" w:hAnsi="Times New Roman" w:eastAsia="方正仿宋_GBK"/>
          <w:sz w:val="32"/>
          <w:szCs w:val="32"/>
        </w:rPr>
        <w:t>万元，车均维护费</w:t>
      </w:r>
      <w:r>
        <w:rPr>
          <w:rFonts w:hint="default" w:ascii="Times New Roman" w:hAnsi="Times New Roman" w:eastAsia="方正仿宋_GBK"/>
          <w:sz w:val="32"/>
          <w:szCs w:val="32"/>
        </w:rPr>
        <w:t>0</w:t>
      </w:r>
      <w:r>
        <w:rPr>
          <w:rFonts w:ascii="Times New Roman" w:hAnsi="Times New Roman" w:eastAsia="方正仿宋_GBK"/>
          <w:sz w:val="32"/>
          <w:szCs w:val="32"/>
        </w:rPr>
        <w:t>万元。</w:t>
      </w:r>
    </w:p>
    <w:p w14:paraId="528413C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四、其他需要说明的事项</w:t>
      </w:r>
    </w:p>
    <w:p w14:paraId="68D26B5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（一）财政拨款会议费、培训费和差旅费情况说明</w:t>
      </w:r>
    </w:p>
    <w:p w14:paraId="12358A4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本年度会议费支出</w:t>
      </w:r>
      <w:r>
        <w:rPr>
          <w:rFonts w:hint="default" w:ascii="Times New Roman" w:hAnsi="Times New Roman" w:eastAsia="方正仿宋_GBK"/>
          <w:sz w:val="32"/>
          <w:szCs w:val="32"/>
        </w:rPr>
        <w:t>2.79</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与2023年度相比，减少1.39万元，下降33.3%</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单位节约支出，减少不必要的会议支出。</w:t>
      </w:r>
      <w:r>
        <w:rPr>
          <w:rFonts w:ascii="Times New Roman" w:hAnsi="Times New Roman" w:eastAsia="方正仿宋_GBK"/>
          <w:sz w:val="32"/>
          <w:szCs w:val="32"/>
        </w:rPr>
        <w:t>本年度培训费支出</w:t>
      </w:r>
      <w:r>
        <w:rPr>
          <w:rFonts w:hint="default" w:ascii="Times New Roman" w:hAnsi="Times New Roman" w:eastAsia="方正仿宋_GBK"/>
          <w:sz w:val="32"/>
          <w:szCs w:val="32"/>
        </w:rPr>
        <w:t>1.83</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与2023年度相比，减少2.57万元，下降58.4%</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单位节约支出，减少不必要的培训支出。</w:t>
      </w:r>
      <w:r>
        <w:rPr>
          <w:rFonts w:ascii="Times New Roman" w:hAnsi="Times New Roman" w:eastAsia="方正仿宋_GBK"/>
          <w:sz w:val="32"/>
          <w:szCs w:val="32"/>
        </w:rPr>
        <w:t>本年度差旅费支出</w:t>
      </w:r>
      <w:r>
        <w:rPr>
          <w:rFonts w:hint="default" w:ascii="Times New Roman" w:hAnsi="Times New Roman" w:eastAsia="方正仿宋_GBK"/>
          <w:sz w:val="32"/>
          <w:szCs w:val="32"/>
        </w:rPr>
        <w:t>6.86</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与2023年度相比，减少5.45万元，下降44.3%</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单位节约支出，减少不必要的差旅支出。</w:t>
      </w:r>
    </w:p>
    <w:p w14:paraId="756B7C5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（二）机关运行经费情况说明</w:t>
      </w:r>
    </w:p>
    <w:p w14:paraId="4FA9424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lang w:eastAsia="zh-CN"/>
        </w:rPr>
        <w:t>按照</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lang w:eastAsia="zh-CN"/>
        </w:rPr>
        <w:t>决算列报口径，我</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lang w:eastAsia="zh-CN"/>
        </w:rPr>
        <w:t>不在机关运行经费统计范围之内。</w:t>
      </w:r>
    </w:p>
    <w:p w14:paraId="2CE41F3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（三）国有资产占用情况说明</w:t>
      </w:r>
    </w:p>
    <w:p w14:paraId="4195175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截至</w:t>
      </w:r>
      <w:r>
        <w:rPr>
          <w:rFonts w:hint="default" w:ascii="Times New Roman" w:hAnsi="Times New Roman" w:eastAsia="方正仿宋_GBK"/>
          <w:sz w:val="32"/>
          <w:szCs w:val="32"/>
        </w:rPr>
        <w:t>2024</w:t>
      </w:r>
      <w:r>
        <w:rPr>
          <w:rFonts w:ascii="Times New Roman" w:hAnsi="Times New Roman" w:eastAsia="方正仿宋_GBK"/>
          <w:sz w:val="32"/>
          <w:szCs w:val="32"/>
        </w:rPr>
        <w:t>年</w:t>
      </w:r>
      <w:r>
        <w:rPr>
          <w:rFonts w:hint="default" w:ascii="Times New Roman" w:hAnsi="Times New Roman" w:eastAsia="方正仿宋_GBK"/>
          <w:sz w:val="32"/>
          <w:szCs w:val="32"/>
        </w:rPr>
        <w:t>12</w:t>
      </w:r>
      <w:r>
        <w:rPr>
          <w:rFonts w:ascii="Times New Roman" w:hAnsi="Times New Roman" w:eastAsia="方正仿宋_GBK"/>
          <w:sz w:val="32"/>
          <w:szCs w:val="32"/>
        </w:rPr>
        <w:t>月</w:t>
      </w:r>
      <w:r>
        <w:rPr>
          <w:rFonts w:hint="default" w:ascii="Times New Roman" w:hAnsi="Times New Roman" w:eastAsia="方正仿宋_GBK"/>
          <w:sz w:val="32"/>
          <w:szCs w:val="32"/>
        </w:rPr>
        <w:t>31</w:t>
      </w:r>
      <w:r>
        <w:rPr>
          <w:rFonts w:ascii="Times New Roman" w:hAnsi="Times New Roman" w:eastAsia="方正仿宋_GBK"/>
          <w:sz w:val="32"/>
          <w:szCs w:val="32"/>
        </w:rPr>
        <w:t>日，本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共有车辆</w:t>
      </w:r>
      <w:r>
        <w:rPr>
          <w:rFonts w:hint="default" w:ascii="Times New Roman" w:hAnsi="Times New Roman" w:eastAsia="方正仿宋_GBK"/>
          <w:sz w:val="32"/>
          <w:szCs w:val="32"/>
        </w:rPr>
        <w:t>4</w:t>
      </w:r>
      <w:r>
        <w:rPr>
          <w:rFonts w:ascii="Times New Roman" w:hAnsi="Times New Roman" w:eastAsia="方正仿宋_GBK"/>
          <w:sz w:val="32"/>
          <w:szCs w:val="32"/>
        </w:rPr>
        <w:t>辆，其中，副部（省）级及以上领导用车</w:t>
      </w:r>
      <w:r>
        <w:rPr>
          <w:rFonts w:hint="default" w:ascii="Times New Roman" w:hAnsi="Times New Roman" w:eastAsia="方正仿宋_GBK"/>
          <w:sz w:val="32"/>
          <w:szCs w:val="32"/>
        </w:rPr>
        <w:t>0</w:t>
      </w:r>
      <w:r>
        <w:rPr>
          <w:rFonts w:ascii="Times New Roman" w:hAnsi="Times New Roman" w:eastAsia="方正仿宋_GBK"/>
          <w:sz w:val="32"/>
          <w:szCs w:val="32"/>
        </w:rPr>
        <w:t>辆、主要负责人用车</w:t>
      </w:r>
      <w:r>
        <w:rPr>
          <w:rFonts w:hint="default" w:ascii="Times New Roman" w:hAnsi="Times New Roman" w:eastAsia="方正仿宋_GBK"/>
          <w:sz w:val="32"/>
          <w:szCs w:val="32"/>
        </w:rPr>
        <w:t>0</w:t>
      </w:r>
      <w:r>
        <w:rPr>
          <w:rFonts w:ascii="Times New Roman" w:hAnsi="Times New Roman" w:eastAsia="方正仿宋_GBK"/>
          <w:sz w:val="32"/>
          <w:szCs w:val="32"/>
        </w:rPr>
        <w:t>辆、机要通信用车</w:t>
      </w:r>
      <w:r>
        <w:rPr>
          <w:rFonts w:hint="default" w:ascii="Times New Roman" w:hAnsi="Times New Roman" w:eastAsia="方正仿宋_GBK"/>
          <w:sz w:val="32"/>
          <w:szCs w:val="32"/>
        </w:rPr>
        <w:t>0</w:t>
      </w:r>
      <w:r>
        <w:rPr>
          <w:rFonts w:ascii="Times New Roman" w:hAnsi="Times New Roman" w:eastAsia="方正仿宋_GBK"/>
          <w:sz w:val="32"/>
          <w:szCs w:val="32"/>
        </w:rPr>
        <w:t>辆、应急保障用车</w:t>
      </w:r>
      <w:r>
        <w:rPr>
          <w:rFonts w:hint="default" w:ascii="Times New Roman" w:hAnsi="Times New Roman" w:eastAsia="方正仿宋_GBK"/>
          <w:sz w:val="32"/>
          <w:szCs w:val="32"/>
        </w:rPr>
        <w:t>4</w:t>
      </w:r>
      <w:r>
        <w:rPr>
          <w:rFonts w:ascii="Times New Roman" w:hAnsi="Times New Roman" w:eastAsia="方正仿宋_GBK"/>
          <w:sz w:val="32"/>
          <w:szCs w:val="32"/>
        </w:rPr>
        <w:t>辆、执法执勤用车</w:t>
      </w:r>
      <w:r>
        <w:rPr>
          <w:rFonts w:hint="default" w:ascii="Times New Roman" w:hAnsi="Times New Roman" w:eastAsia="方正仿宋_GBK"/>
          <w:sz w:val="32"/>
          <w:szCs w:val="32"/>
        </w:rPr>
        <w:t>0</w:t>
      </w:r>
      <w:r>
        <w:rPr>
          <w:rFonts w:ascii="Times New Roman" w:hAnsi="Times New Roman" w:eastAsia="方正仿宋_GBK"/>
          <w:sz w:val="32"/>
          <w:szCs w:val="32"/>
        </w:rPr>
        <w:t>辆，特种专业技术用车</w:t>
      </w:r>
      <w:r>
        <w:rPr>
          <w:rFonts w:hint="default" w:ascii="Times New Roman" w:hAnsi="Times New Roman" w:eastAsia="方正仿宋_GBK"/>
          <w:sz w:val="32"/>
          <w:szCs w:val="32"/>
        </w:rPr>
        <w:t>0</w:t>
      </w:r>
      <w:r>
        <w:rPr>
          <w:rFonts w:ascii="Times New Roman" w:hAnsi="Times New Roman" w:eastAsia="方正仿宋_GBK"/>
          <w:sz w:val="32"/>
          <w:szCs w:val="32"/>
        </w:rPr>
        <w:t>辆，离退休干部用车</w:t>
      </w:r>
      <w:r>
        <w:rPr>
          <w:rFonts w:hint="default" w:ascii="Times New Roman" w:hAnsi="Times New Roman" w:eastAsia="方正仿宋_GBK"/>
          <w:sz w:val="32"/>
          <w:szCs w:val="32"/>
        </w:rPr>
        <w:t>0</w:t>
      </w:r>
      <w:r>
        <w:rPr>
          <w:rFonts w:ascii="Times New Roman" w:hAnsi="Times New Roman" w:eastAsia="方正仿宋_GBK"/>
          <w:sz w:val="32"/>
          <w:szCs w:val="32"/>
        </w:rPr>
        <w:t>辆。单价</w:t>
      </w:r>
      <w:r>
        <w:rPr>
          <w:rFonts w:hint="default" w:ascii="Times New Roman" w:hAnsi="Times New Roman" w:eastAsia="方正仿宋_GBK"/>
          <w:sz w:val="32"/>
          <w:szCs w:val="32"/>
        </w:rPr>
        <w:t>100</w:t>
      </w:r>
      <w:r>
        <w:rPr>
          <w:rFonts w:ascii="Times New Roman" w:hAnsi="Times New Roman" w:eastAsia="方正仿宋_GBK"/>
          <w:sz w:val="32"/>
          <w:szCs w:val="32"/>
        </w:rPr>
        <w:t>万元（含）以上专用设备</w:t>
      </w:r>
      <w:r>
        <w:rPr>
          <w:rFonts w:hint="default" w:ascii="Times New Roman" w:hAnsi="Times New Roman" w:eastAsia="方正仿宋_GBK"/>
          <w:sz w:val="32"/>
          <w:szCs w:val="32"/>
        </w:rPr>
        <w:t>0</w:t>
      </w:r>
      <w:r>
        <w:rPr>
          <w:rFonts w:ascii="Times New Roman" w:hAnsi="Times New Roman" w:eastAsia="方正仿宋_GBK"/>
          <w:sz w:val="32"/>
          <w:szCs w:val="32"/>
        </w:rPr>
        <w:t>台（套）。</w:t>
      </w:r>
    </w:p>
    <w:p w14:paraId="0A0DD8D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（四）政府采购支出情况说明</w:t>
      </w:r>
    </w:p>
    <w:p w14:paraId="789D7BB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2024</w:t>
      </w:r>
      <w:r>
        <w:rPr>
          <w:rFonts w:ascii="Times New Roman" w:hAnsi="Times New Roman" w:eastAsia="方正仿宋_GBK"/>
          <w:sz w:val="32"/>
          <w:szCs w:val="32"/>
        </w:rPr>
        <w:t>年度本</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政府采购支出总额</w:t>
      </w:r>
      <w:r>
        <w:rPr>
          <w:rFonts w:hint="default" w:ascii="Times New Roman" w:hAnsi="Times New Roman" w:eastAsia="方正仿宋_GBK"/>
          <w:sz w:val="32"/>
          <w:szCs w:val="32"/>
        </w:rPr>
        <w:t>1.20</w:t>
      </w:r>
      <w:r>
        <w:rPr>
          <w:rFonts w:ascii="Times New Roman" w:hAnsi="Times New Roman" w:eastAsia="方正仿宋_GBK"/>
          <w:sz w:val="32"/>
          <w:szCs w:val="32"/>
        </w:rPr>
        <w:t>万元，其中：政府采购货物支出</w:t>
      </w:r>
      <w:r>
        <w:rPr>
          <w:rFonts w:hint="default" w:ascii="Times New Roman" w:hAnsi="Times New Roman" w:eastAsia="方正仿宋_GBK"/>
          <w:sz w:val="32"/>
          <w:szCs w:val="32"/>
        </w:rPr>
        <w:t>1.20</w:t>
      </w:r>
      <w:r>
        <w:rPr>
          <w:rFonts w:ascii="Times New Roman" w:hAnsi="Times New Roman" w:eastAsia="方正仿宋_GBK"/>
          <w:sz w:val="32"/>
          <w:szCs w:val="32"/>
        </w:rPr>
        <w:t>万元、政府采购工程支出</w:t>
      </w:r>
      <w:r>
        <w:rPr>
          <w:rFonts w:hint="default" w:ascii="Times New Roman" w:hAnsi="Times New Roman" w:eastAsia="方正仿宋_GBK"/>
          <w:sz w:val="32"/>
          <w:szCs w:val="32"/>
        </w:rPr>
        <w:t>0.00</w:t>
      </w:r>
      <w:r>
        <w:rPr>
          <w:rFonts w:ascii="Times New Roman" w:hAnsi="Times New Roman" w:eastAsia="方正仿宋_GBK"/>
          <w:sz w:val="32"/>
          <w:szCs w:val="32"/>
        </w:rPr>
        <w:t>万元、政府采购服务支出</w:t>
      </w:r>
      <w:r>
        <w:rPr>
          <w:rFonts w:hint="default" w:ascii="Times New Roman" w:hAnsi="Times New Roman" w:eastAsia="方正仿宋_GBK"/>
          <w:sz w:val="32"/>
          <w:szCs w:val="32"/>
        </w:rPr>
        <w:t>0.00</w:t>
      </w:r>
      <w:r>
        <w:rPr>
          <w:rFonts w:ascii="Times New Roman" w:hAnsi="Times New Roman" w:eastAsia="方正仿宋_GBK"/>
          <w:sz w:val="32"/>
          <w:szCs w:val="32"/>
        </w:rPr>
        <w:t>万元。授予中小企业合同金额</w:t>
      </w:r>
      <w:r>
        <w:rPr>
          <w:rFonts w:hint="default" w:ascii="Times New Roman" w:hAnsi="Times New Roman" w:eastAsia="方正仿宋_GBK"/>
          <w:sz w:val="32"/>
          <w:szCs w:val="32"/>
        </w:rPr>
        <w:t>1.20</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100.0%</w:t>
      </w:r>
      <w:r>
        <w:rPr>
          <w:rFonts w:ascii="Times New Roman" w:hAnsi="Times New Roman" w:eastAsia="方正仿宋_GBK"/>
          <w:sz w:val="32"/>
          <w:szCs w:val="32"/>
        </w:rPr>
        <w:t>，其中：授予小微企业合同金额</w:t>
      </w:r>
      <w:r>
        <w:rPr>
          <w:rFonts w:hint="default" w:ascii="Times New Roman" w:hAnsi="Times New Roman" w:eastAsia="方正仿宋_GBK"/>
          <w:sz w:val="32"/>
          <w:szCs w:val="32"/>
        </w:rPr>
        <w:t>1.20</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100.0 %</w:t>
      </w:r>
      <w:r>
        <w:rPr>
          <w:rFonts w:ascii="Times New Roman" w:hAnsi="Times New Roman" w:eastAsia="方正仿宋_GBK"/>
          <w:sz w:val="32"/>
          <w:szCs w:val="32"/>
        </w:rPr>
        <w:t>。主要用于采购</w:t>
      </w:r>
      <w:r>
        <w:rPr>
          <w:rFonts w:hint="eastAsia" w:ascii="Times New Roman" w:hAnsi="Times New Roman" w:eastAsia="方正仿宋_GBK"/>
          <w:sz w:val="32"/>
          <w:szCs w:val="32"/>
          <w:lang w:eastAsia="zh-CN"/>
        </w:rPr>
        <w:t>计算机及打印机等办公设备。</w:t>
      </w:r>
    </w:p>
    <w:p w14:paraId="592C207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五、</w:t>
      </w:r>
      <w:r>
        <w:rPr>
          <w:rFonts w:hint="default" w:ascii="Times New Roman" w:hAnsi="Times New Roman" w:eastAsia="方正黑体_GBK" w:cs="Times New Roman"/>
          <w:b/>
          <w:bCs/>
          <w:sz w:val="32"/>
          <w:szCs w:val="32"/>
          <w:lang w:val="en-US" w:eastAsia="zh-CN"/>
        </w:rPr>
        <w:t>2024</w:t>
      </w:r>
      <w:r>
        <w:rPr>
          <w:rFonts w:hint="eastAsia" w:ascii="方正黑体_GBK" w:hAnsi="方正黑体_GBK" w:eastAsia="方正黑体_GBK" w:cs="方正黑体_GBK"/>
          <w:b/>
          <w:bCs/>
          <w:sz w:val="32"/>
          <w:szCs w:val="32"/>
          <w:lang w:val="en-US" w:eastAsia="zh-CN"/>
        </w:rPr>
        <w:t>年度预算绩效管理情况说明</w:t>
      </w:r>
    </w:p>
    <w:p w14:paraId="1630966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（一）单位自评情况</w:t>
      </w:r>
    </w:p>
    <w:p w14:paraId="01B0C5B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eastAsia="zh-CN"/>
        </w:rPr>
      </w:pPr>
      <w:r>
        <w:rPr>
          <w:rFonts w:ascii="Times New Roman" w:hAnsi="Times New Roman" w:eastAsia="方正仿宋_GBK"/>
          <w:sz w:val="32"/>
          <w:szCs w:val="32"/>
        </w:rPr>
        <w:t>根据预算绩效管理要求，</w:t>
      </w:r>
      <w:r>
        <w:rPr>
          <w:rFonts w:hint="eastAsia" w:ascii="Times New Roman" w:hAnsi="Times New Roman" w:eastAsia="方正仿宋_GBK"/>
          <w:sz w:val="32"/>
          <w:szCs w:val="32"/>
        </w:rPr>
        <w:t>我</w:t>
      </w:r>
      <w:r>
        <w:rPr>
          <w:rFonts w:hint="eastAsia" w:ascii="Times New Roman" w:hAnsi="Times New Roman" w:eastAsia="方正仿宋_GBK"/>
          <w:sz w:val="32"/>
          <w:szCs w:val="32"/>
          <w:lang w:eastAsia="zh-CN"/>
        </w:rPr>
        <w:t>单位</w:t>
      </w:r>
      <w:r>
        <w:rPr>
          <w:rFonts w:ascii="Times New Roman" w:hAnsi="Times New Roman" w:eastAsia="方正仿宋_GBK"/>
          <w:sz w:val="32"/>
          <w:szCs w:val="32"/>
        </w:rPr>
        <w:t>对</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个项目开展了绩效自评</w:t>
      </w:r>
      <w:r>
        <w:rPr>
          <w:rFonts w:hint="eastAsia" w:ascii="Times New Roman" w:hAnsi="Times New Roman" w:eastAsia="方正仿宋_GBK"/>
          <w:sz w:val="32"/>
          <w:szCs w:val="32"/>
        </w:rPr>
        <w:t>，涉及财政拨款项目支出资金</w:t>
      </w:r>
      <w:r>
        <w:rPr>
          <w:rFonts w:hint="eastAsia" w:ascii="Times New Roman" w:hAnsi="Times New Roman" w:eastAsia="方正仿宋_GBK"/>
          <w:sz w:val="32"/>
          <w:szCs w:val="32"/>
          <w:lang w:val="en-US" w:eastAsia="zh-CN"/>
        </w:rPr>
        <w:t>21</w:t>
      </w:r>
      <w:r>
        <w:rPr>
          <w:rFonts w:hint="eastAsia" w:ascii="Times New Roman" w:hAnsi="Times New Roman" w:eastAsia="方正仿宋_GBK"/>
          <w:sz w:val="32"/>
          <w:szCs w:val="32"/>
        </w:rPr>
        <w:t>万元；没有委托第三方形式开展绩效自评，从评价情况来看，本单位基本完成了绩效管理任务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项目绩效自评表见附件。</w:t>
      </w:r>
    </w:p>
    <w:p w14:paraId="65E4EE4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（二）单位绩效评价情况</w:t>
      </w:r>
    </w:p>
    <w:p w14:paraId="5179887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我单位未组织开展绩效评价。</w:t>
      </w:r>
    </w:p>
    <w:p w14:paraId="3D49592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（三）财政绩效评价情况</w:t>
      </w:r>
    </w:p>
    <w:p w14:paraId="409C462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县财政局未</w:t>
      </w:r>
      <w:r>
        <w:rPr>
          <w:rFonts w:hint="eastAsia" w:ascii="Times New Roman" w:hAnsi="Times New Roman" w:eastAsia="方正仿宋_GBK"/>
          <w:sz w:val="32"/>
          <w:szCs w:val="32"/>
        </w:rPr>
        <w:t>委托第三方对</w:t>
      </w:r>
      <w:r>
        <w:rPr>
          <w:rFonts w:hint="eastAsia" w:ascii="Times New Roman" w:hAnsi="Times New Roman" w:eastAsia="方正仿宋_GBK"/>
          <w:sz w:val="32"/>
          <w:szCs w:val="32"/>
          <w:lang w:eastAsia="zh-CN"/>
        </w:rPr>
        <w:t>我单位</w:t>
      </w:r>
      <w:r>
        <w:rPr>
          <w:rFonts w:hint="eastAsia" w:ascii="Times New Roman" w:hAnsi="Times New Roman" w:eastAsia="方正仿宋_GBK"/>
          <w:sz w:val="32"/>
          <w:szCs w:val="32"/>
        </w:rPr>
        <w:t>政策开展绩效评价。</w:t>
      </w:r>
    </w:p>
    <w:p w14:paraId="01DC2C1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lang w:val="en-US" w:eastAsia="zh-CN"/>
        </w:rPr>
      </w:pPr>
      <w:r>
        <w:rPr>
          <w:rFonts w:hint="eastAsia" w:ascii="方正黑体_GBK" w:hAnsi="方正黑体_GBK" w:eastAsia="方正黑体_GBK" w:cs="方正黑体_GBK"/>
          <w:b/>
          <w:bCs/>
          <w:sz w:val="32"/>
          <w:szCs w:val="32"/>
          <w:lang w:val="en-US" w:eastAsia="zh-CN"/>
        </w:rPr>
        <w:t>六、专业名词解释</w:t>
      </w:r>
    </w:p>
    <w:p w14:paraId="6AA7D6D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5CF51C4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（二）事业收入：</w:t>
      </w:r>
      <w:r>
        <w:rPr>
          <w:rFonts w:hint="eastAsia" w:ascii="Times New Roman" w:hAnsi="Times New Roman" w:eastAsia="方正仿宋_GBK"/>
          <w:sz w:val="32"/>
          <w:szCs w:val="32"/>
        </w:rPr>
        <w:t>指事业单位开展专业业务活动及其辅助活动取得的现金流入；事业单位收到的财政专户实际核拨的教育收费等资金在此反映。</w:t>
      </w:r>
    </w:p>
    <w:p w14:paraId="6E60E1B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（三）经营收入：</w:t>
      </w:r>
      <w:r>
        <w:rPr>
          <w:rFonts w:hint="eastAsia" w:ascii="Times New Roman" w:hAnsi="Times New Roman" w:eastAsia="方正仿宋_GBK"/>
          <w:sz w:val="32"/>
          <w:szCs w:val="32"/>
        </w:rPr>
        <w:t>指事业单位在专业业务活动及其辅助活动之外开展非独立核算经营活动取得的现金流入。</w:t>
      </w:r>
    </w:p>
    <w:p w14:paraId="6977077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（四）其他收入：</w:t>
      </w:r>
      <w:r>
        <w:rPr>
          <w:rFonts w:hint="eastAsia"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936015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（五）使用非财政拨款结余（含专用结余）：</w:t>
      </w:r>
      <w:r>
        <w:rPr>
          <w:rFonts w:hint="eastAsia"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190FA6A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（六）年初结转和结余：</w:t>
      </w:r>
      <w:r>
        <w:rPr>
          <w:rFonts w:hint="eastAsia" w:ascii="Times New Roman" w:hAnsi="Times New Roman" w:eastAsia="方正仿宋_GBK"/>
          <w:sz w:val="32"/>
          <w:szCs w:val="32"/>
        </w:rPr>
        <w:t>指单位上年结转本年使用的基本支出结转、项目支出结转和结余、经营结余。</w:t>
      </w:r>
    </w:p>
    <w:p w14:paraId="6117567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（七）结余分配：</w:t>
      </w:r>
      <w:r>
        <w:rPr>
          <w:rFonts w:hint="eastAsia" w:ascii="Times New Roman" w:hAnsi="Times New Roman" w:eastAsia="方正仿宋_GBK"/>
          <w:sz w:val="32"/>
          <w:szCs w:val="32"/>
        </w:rPr>
        <w:t>指单位按照国家有关规定，缴纳所得税、提取专用基金、转入非财政拨款结余等当年结余的分配情况。</w:t>
      </w:r>
    </w:p>
    <w:p w14:paraId="3B24211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（八）年末结转和结余：</w:t>
      </w:r>
      <w:r>
        <w:rPr>
          <w:rFonts w:hint="eastAsia" w:ascii="Times New Roman" w:hAnsi="Times New Roman" w:eastAsia="方正仿宋_GBK"/>
          <w:sz w:val="32"/>
          <w:szCs w:val="32"/>
        </w:rPr>
        <w:t>指单位结转下年的基本支出结转、项目支出结转和结余、经营结余。</w:t>
      </w:r>
    </w:p>
    <w:p w14:paraId="51F025F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（九）基本支出：</w:t>
      </w:r>
      <w:r>
        <w:rPr>
          <w:rFonts w:hint="eastAsia"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F9A6DF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（十）项目支出：</w:t>
      </w:r>
      <w:r>
        <w:rPr>
          <w:rFonts w:hint="eastAsia" w:ascii="Times New Roman" w:hAnsi="Times New Roman" w:eastAsia="方正仿宋_GBK"/>
          <w:sz w:val="32"/>
          <w:szCs w:val="32"/>
        </w:rPr>
        <w:t>指在基本支出之外为完成特定行政任务和事业发展目标所发生的支出。</w:t>
      </w:r>
    </w:p>
    <w:p w14:paraId="23C8F1F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（十一）经营支出：</w:t>
      </w:r>
      <w:r>
        <w:rPr>
          <w:rFonts w:hint="eastAsia" w:ascii="Times New Roman" w:hAnsi="Times New Roman" w:eastAsia="方正仿宋_GBK"/>
          <w:sz w:val="32"/>
          <w:szCs w:val="32"/>
        </w:rPr>
        <w:t>指事业单位在专业业务活动及其辅助活动之外开展非独立核算经营活动发生的支出。</w:t>
      </w:r>
    </w:p>
    <w:p w14:paraId="0BC158E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（十二）“三公”经费：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27EBE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（十三）机关运行经费：</w:t>
      </w:r>
      <w:r>
        <w:rPr>
          <w:rFonts w:hint="eastAsia"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49043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（十四）工资福利支出（支出经济分类科目类级）：</w:t>
      </w:r>
      <w:r>
        <w:rPr>
          <w:rFonts w:hint="eastAsia" w:ascii="Times New Roman" w:hAnsi="Times New Roman" w:eastAsia="方正仿宋_GBK"/>
          <w:sz w:val="32"/>
          <w:szCs w:val="32"/>
        </w:rPr>
        <w:t>反映单位开支的在职职工和编制外长期聘用人员的各类劳动报酬，以及为上述人员缴纳的各项社会保险费等。</w:t>
      </w:r>
    </w:p>
    <w:p w14:paraId="0575D62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（十五）商品和服务支出（支出经济分类科目类级）：</w:t>
      </w:r>
      <w:r>
        <w:rPr>
          <w:rFonts w:hint="eastAsia" w:ascii="Times New Roman" w:hAnsi="Times New Roman" w:eastAsia="方正仿宋_GBK"/>
          <w:sz w:val="32"/>
          <w:szCs w:val="32"/>
        </w:rPr>
        <w:t>反映单位购买商品和服务的支出（不包括用于购置固定资产的支出、战略性和应急储备支出）。</w:t>
      </w:r>
    </w:p>
    <w:p w14:paraId="41DA3C8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（十六）对个人和家庭的补助（支出经济分类科目类级）：</w:t>
      </w:r>
      <w:r>
        <w:rPr>
          <w:rFonts w:hint="eastAsia" w:ascii="Times New Roman" w:hAnsi="Times New Roman" w:eastAsia="方正仿宋_GBK"/>
          <w:sz w:val="32"/>
          <w:szCs w:val="32"/>
        </w:rPr>
        <w:t>反映用于对个人和家庭的补助支出。</w:t>
      </w:r>
    </w:p>
    <w:p w14:paraId="5A75903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bCs/>
          <w:sz w:val="32"/>
          <w:szCs w:val="32"/>
          <w:lang w:val="en-US" w:eastAsia="zh-CN"/>
        </w:rPr>
        <w:t>（十七）其他资本性支出（支出经济分类科目类级）：</w:t>
      </w:r>
      <w:r>
        <w:rPr>
          <w:rFonts w:hint="eastAsia"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11C4100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七、决算公开联系方式及信息反馈渠道</w:t>
      </w:r>
    </w:p>
    <w:p w14:paraId="50E535E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本单位决算公开信息反馈和联系方式：</w:t>
      </w:r>
    </w:p>
    <w:p w14:paraId="634CDCD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val="en-US" w:eastAsia="zh-CN"/>
        </w:rPr>
        <w:sectPr>
          <w:headerReference r:id="rId3" w:type="default"/>
          <w:footerReference r:id="rId4" w:type="default"/>
          <w:pgSz w:w="11850" w:h="16783"/>
          <w:pgMar w:top="2098" w:right="1474" w:bottom="1984" w:left="1587" w:header="0" w:footer="283" w:gutter="0"/>
          <w:pgNumType w:fmt="numberInDash"/>
          <w:cols w:space="720" w:num="1"/>
          <w:docGrid w:type="lines" w:linePitch="326" w:charSpace="0"/>
        </w:sectPr>
      </w:pPr>
      <w:r>
        <w:rPr>
          <w:rFonts w:hint="eastAsia" w:ascii="Times New Roman" w:hAnsi="Times New Roman" w:eastAsia="方正仿宋_GBK"/>
          <w:sz w:val="32"/>
          <w:szCs w:val="32"/>
          <w:lang w:eastAsia="zh-CN"/>
        </w:rPr>
        <w:t>向亚玲</w:t>
      </w:r>
      <w:r>
        <w:rPr>
          <w:rFonts w:hint="eastAsia" w:ascii="Times New Roman" w:hAnsi="Times New Roman" w:eastAsia="方正仿宋_GBK"/>
          <w:sz w:val="32"/>
          <w:szCs w:val="32"/>
        </w:rPr>
        <w:t xml:space="preserve">   </w:t>
      </w:r>
      <w:r>
        <w:rPr>
          <w:rFonts w:hint="default" w:ascii="Times New Roman" w:hAnsi="Times New Roman" w:eastAsia="方正仿宋_GBK"/>
          <w:sz w:val="32"/>
          <w:szCs w:val="32"/>
        </w:rPr>
        <w:t>023-</w:t>
      </w:r>
      <w:r>
        <w:rPr>
          <w:rFonts w:hint="default" w:ascii="Times New Roman" w:hAnsi="Times New Roman" w:eastAsia="方正仿宋_GBK"/>
          <w:sz w:val="32"/>
          <w:szCs w:val="32"/>
          <w:lang w:val="en-US" w:eastAsia="zh-CN"/>
        </w:rPr>
        <w:t>70708617</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11D3DA34">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5124C35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AAF87E6">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4F45C06F">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44486008">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5D7B5041">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6CDED76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C237F7F">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77FB9EE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丰都县精神病医院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70ED8DD2">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6282629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2018FB">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F627">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cs="宋体"/>
                <w:b/>
                <w:color w:val="000000"/>
                <w:sz w:val="16"/>
                <w:szCs w:val="16"/>
              </w:rPr>
            </w:pPr>
            <w:r>
              <w:rPr>
                <w:rFonts w:cs="宋体"/>
                <w:b/>
                <w:color w:val="000000"/>
                <w:sz w:val="16"/>
                <w:szCs w:val="16"/>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EC377F">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cs="宋体"/>
                <w:b/>
                <w:color w:val="000000"/>
                <w:sz w:val="16"/>
                <w:szCs w:val="16"/>
              </w:rPr>
            </w:pPr>
            <w:r>
              <w:rPr>
                <w:rFonts w:cs="宋体"/>
                <w:b/>
                <w:color w:val="000000"/>
                <w:sz w:val="16"/>
                <w:szCs w:val="16"/>
              </w:rPr>
              <w:t>支出</w:t>
            </w:r>
          </w:p>
        </w:tc>
      </w:tr>
      <w:tr w14:paraId="5F2F950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E320">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cs="宋体"/>
                <w:b/>
                <w:color w:val="000000"/>
                <w:sz w:val="16"/>
                <w:szCs w:val="16"/>
              </w:rPr>
            </w:pPr>
            <w:r>
              <w:rPr>
                <w:rFonts w:cs="宋体"/>
                <w:b/>
                <w:color w:val="000000"/>
                <w:sz w:val="16"/>
                <w:szCs w:val="16"/>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7CFCE">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cs="宋体"/>
                <w:b/>
                <w:color w:val="000000"/>
                <w:sz w:val="16"/>
                <w:szCs w:val="16"/>
              </w:rPr>
            </w:pPr>
            <w:r>
              <w:rPr>
                <w:rFonts w:cs="宋体"/>
                <w:b/>
                <w:color w:val="000000"/>
                <w:sz w:val="16"/>
                <w:szCs w:val="16"/>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48C76">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cs="宋体"/>
                <w:b/>
                <w:color w:val="000000"/>
                <w:sz w:val="16"/>
                <w:szCs w:val="16"/>
              </w:rPr>
            </w:pPr>
            <w:r>
              <w:rPr>
                <w:rFonts w:cs="宋体"/>
                <w:b/>
                <w:color w:val="000000"/>
                <w:sz w:val="16"/>
                <w:szCs w:val="16"/>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68C69">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cs="宋体"/>
                <w:b/>
                <w:color w:val="000000"/>
                <w:sz w:val="16"/>
                <w:szCs w:val="16"/>
              </w:rPr>
            </w:pPr>
            <w:r>
              <w:rPr>
                <w:rFonts w:cs="宋体"/>
                <w:b/>
                <w:color w:val="000000"/>
                <w:sz w:val="16"/>
                <w:szCs w:val="16"/>
              </w:rPr>
              <w:t>决算数</w:t>
            </w:r>
          </w:p>
        </w:tc>
      </w:tr>
      <w:tr w14:paraId="32F6084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EC1E">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6ED50">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711.95</w:t>
            </w:r>
            <w:r>
              <w:rPr>
                <w:rFonts w:ascii="Times New Roman" w:hAnsi="Times New Roman"/>
                <w:color w:val="000000"/>
                <w:sz w:val="16"/>
                <w:szCs w:val="21"/>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7BC57">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EBB3C">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3A60C62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A397">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E55B2">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8201F">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11B57">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6CF8415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E413">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09C3B">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5C3CC">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BA831">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141BA9D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8692">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786F8">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6432D">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75528">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40A7E6D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B63B">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60911">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3,677.61</w:t>
            </w:r>
            <w:r>
              <w:rPr>
                <w:rFonts w:ascii="Times New Roman" w:hAnsi="Times New Roman"/>
                <w:color w:val="000000"/>
                <w:sz w:val="16"/>
                <w:szCs w:val="21"/>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3878B">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4E6DA">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548847C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37D6">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78829">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C54F6">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22A47">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51561E1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1BA3">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3B1E8">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1D40E">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99A02">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6BD3A2F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7492">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4CF8D263">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5.96</w:t>
            </w:r>
            <w:r>
              <w:rPr>
                <w:rFonts w:ascii="Times New Roman" w:hAnsi="Times New Roman"/>
                <w:color w:val="000000"/>
                <w:sz w:val="16"/>
                <w:szCs w:val="21"/>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7E99B">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DD6AF">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154.28</w:t>
            </w:r>
            <w:r>
              <w:rPr>
                <w:rFonts w:ascii="Times New Roman" w:hAnsi="Times New Roman"/>
                <w:color w:val="000000"/>
                <w:sz w:val="16"/>
                <w:szCs w:val="21"/>
                <w:u w:color="auto"/>
              </w:rPr>
              <w:t xml:space="preserve"> </w:t>
            </w:r>
          </w:p>
        </w:tc>
      </w:tr>
      <w:tr w14:paraId="14AFBF0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24E7">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8E0012">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B0241">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38191">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4,198.80</w:t>
            </w:r>
            <w:r>
              <w:rPr>
                <w:rFonts w:ascii="Times New Roman" w:hAnsi="Times New Roman"/>
                <w:color w:val="000000"/>
                <w:sz w:val="16"/>
                <w:szCs w:val="21"/>
                <w:u w:color="auto"/>
              </w:rPr>
              <w:t xml:space="preserve"> </w:t>
            </w:r>
          </w:p>
        </w:tc>
      </w:tr>
      <w:tr w14:paraId="728C063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DB32">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EFEC33">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B0511">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AB504">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2929D42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ECFE">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7A6246">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55CE3">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42154">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13CB951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66D5">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370B2A">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851BA">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6524D">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626EE23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1206">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CA6D">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0808F">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75940">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7C352C1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9A65">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7C273">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0BB40">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5ED21">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6D6B706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3FA1">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A0D46">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C6420">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1E5DB">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304A827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586D">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74F81">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49D59">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0B0DA">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75DD912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769F">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51B55">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EC0EE">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B74BC">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5EB0B4DD">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D933">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C9E88">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4D8DD">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D8410">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349202F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C028">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6065B">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1738C">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552CE">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42.44</w:t>
            </w:r>
            <w:r>
              <w:rPr>
                <w:rFonts w:ascii="Times New Roman" w:hAnsi="Times New Roman"/>
                <w:color w:val="000000"/>
                <w:sz w:val="16"/>
                <w:szCs w:val="21"/>
                <w:u w:color="auto"/>
              </w:rPr>
              <w:t xml:space="preserve"> </w:t>
            </w:r>
          </w:p>
        </w:tc>
      </w:tr>
      <w:tr w14:paraId="77D6786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D32B">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59C56">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399B9">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56090">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7C64106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6EBE">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3FEAC">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507FF">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507E5">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721F26E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DA26">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4446A">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09BBD">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2D4BA">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5B59FD7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2623">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9CBEC">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60662">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2620F">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44484E6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0D89">
            <w:pPr>
              <w:keepNext w:val="0"/>
              <w:keepLines w:val="0"/>
              <w:pageBreakBefore w:val="0"/>
              <w:widowControl/>
              <w:kinsoku/>
              <w:wordWrap/>
              <w:overflowPunct/>
              <w:topLinePunct w:val="0"/>
              <w:autoSpaceDE/>
              <w:autoSpaceDN/>
              <w:bidi w:val="0"/>
              <w:adjustRightInd/>
              <w:snapToGrid/>
              <w:spacing w:line="160" w:lineRule="exact"/>
              <w:jc w:val="center"/>
              <w:rPr>
                <w:rFonts w:hint="default" w:cs="宋体"/>
                <w:b/>
                <w:bCs/>
                <w:color w:val="000000"/>
                <w:sz w:val="16"/>
                <w:szCs w:val="16"/>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9F6E2">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EC2BD">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77046">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4BF44C0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7B4C">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F6977">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65DDB">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A976C">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37C2DFE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75B9">
            <w:pPr>
              <w:keepNext w:val="0"/>
              <w:keepLines w:val="0"/>
              <w:pageBreakBefore w:val="0"/>
              <w:widowControl/>
              <w:kinsoku/>
              <w:wordWrap/>
              <w:overflowPunct/>
              <w:topLinePunct w:val="0"/>
              <w:autoSpaceDE/>
              <w:autoSpaceDN/>
              <w:bidi w:val="0"/>
              <w:adjustRightInd/>
              <w:snapToGrid/>
              <w:spacing w:line="160" w:lineRule="exact"/>
              <w:rPr>
                <w:rFonts w:hint="default" w:cs="宋体"/>
                <w:b/>
                <w:bCs/>
                <w:color w:val="000000"/>
                <w:sz w:val="16"/>
                <w:szCs w:val="16"/>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F9917">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67783">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B8A8F">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4553951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BD6F">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cs="宋体"/>
                <w:b/>
                <w:bCs/>
                <w:color w:val="000000"/>
                <w:sz w:val="16"/>
                <w:szCs w:val="16"/>
              </w:rPr>
            </w:pPr>
            <w:r>
              <w:rPr>
                <w:rFonts w:cs="宋体"/>
                <w:b/>
                <w:bCs/>
                <w:color w:val="000000"/>
                <w:sz w:val="16"/>
                <w:szCs w:val="16"/>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5B9AD">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4,395.52</w:t>
            </w:r>
            <w:r>
              <w:rPr>
                <w:rFonts w:ascii="Times New Roman" w:hAnsi="Times New Roman"/>
                <w:color w:val="000000"/>
                <w:sz w:val="16"/>
                <w:szCs w:val="21"/>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6E28">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cs="宋体"/>
                <w:b/>
                <w:bCs/>
                <w:color w:val="000000"/>
                <w:sz w:val="16"/>
                <w:szCs w:val="16"/>
              </w:rPr>
            </w:pPr>
            <w:r>
              <w:rPr>
                <w:rFonts w:cs="宋体"/>
                <w:b/>
                <w:bCs/>
                <w:color w:val="000000"/>
                <w:sz w:val="16"/>
                <w:szCs w:val="16"/>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11CAC">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4,395.52</w:t>
            </w:r>
            <w:r>
              <w:rPr>
                <w:rFonts w:ascii="Times New Roman" w:hAnsi="Times New Roman"/>
                <w:color w:val="000000"/>
                <w:sz w:val="16"/>
                <w:szCs w:val="21"/>
                <w:u w:color="auto"/>
              </w:rPr>
              <w:t xml:space="preserve"> </w:t>
            </w:r>
          </w:p>
        </w:tc>
      </w:tr>
      <w:tr w14:paraId="0BA9A01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8A2A">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67CB8">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6BFA2">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A567B">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363CD69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0A69">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9BC98">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B4F93">
            <w:pPr>
              <w:keepNext w:val="0"/>
              <w:keepLines w:val="0"/>
              <w:pageBreakBefore w:val="0"/>
              <w:widowControl/>
              <w:kinsoku/>
              <w:wordWrap/>
              <w:overflowPunct/>
              <w:topLinePunct w:val="0"/>
              <w:autoSpaceDE/>
              <w:autoSpaceDN/>
              <w:bidi w:val="0"/>
              <w:adjustRightInd/>
              <w:snapToGrid/>
              <w:spacing w:line="160" w:lineRule="exact"/>
              <w:textAlignment w:val="center"/>
              <w:rPr>
                <w:rFonts w:hint="default" w:cs="宋体"/>
                <w:b/>
                <w:bCs/>
                <w:color w:val="000000"/>
                <w:sz w:val="16"/>
                <w:szCs w:val="16"/>
              </w:rPr>
            </w:pPr>
            <w:r>
              <w:rPr>
                <w:rFonts w:cs="宋体"/>
                <w:b/>
                <w:bCs/>
                <w:color w:val="000000"/>
                <w:sz w:val="16"/>
                <w:szCs w:val="16"/>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2B64E4C">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ascii="Times New Roman" w:hAnsi="Times New Roman"/>
                <w:color w:val="000000"/>
                <w:sz w:val="16"/>
                <w:szCs w:val="21"/>
                <w:u w:color="auto"/>
              </w:rPr>
              <w:t xml:space="preserve"> </w:t>
            </w:r>
          </w:p>
        </w:tc>
      </w:tr>
      <w:tr w14:paraId="62C9A0FC">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2B2BF">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cs="宋体"/>
                <w:b/>
                <w:color w:val="000000"/>
                <w:sz w:val="16"/>
                <w:szCs w:val="16"/>
              </w:rPr>
            </w:pPr>
            <w:r>
              <w:rPr>
                <w:rFonts w:cs="宋体"/>
                <w:b/>
                <w:color w:val="000000"/>
                <w:sz w:val="16"/>
                <w:szCs w:val="16"/>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4B87">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4,395.52</w:t>
            </w:r>
            <w:r>
              <w:rPr>
                <w:rFonts w:ascii="Times New Roman" w:hAnsi="Times New Roman"/>
                <w:color w:val="000000"/>
                <w:sz w:val="16"/>
                <w:szCs w:val="21"/>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FDAED0B">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default" w:cs="宋体"/>
                <w:b/>
                <w:color w:val="000000"/>
                <w:sz w:val="16"/>
                <w:szCs w:val="16"/>
              </w:rPr>
            </w:pPr>
            <w:r>
              <w:rPr>
                <w:rFonts w:cs="宋体"/>
                <w:b/>
                <w:color w:val="000000"/>
                <w:sz w:val="16"/>
                <w:szCs w:val="16"/>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7326C">
            <w:pPr>
              <w:keepNext w:val="0"/>
              <w:keepLines w:val="0"/>
              <w:pageBreakBefore w:val="0"/>
              <w:widowControl/>
              <w:kinsoku/>
              <w:wordWrap/>
              <w:overflowPunct/>
              <w:topLinePunct w:val="0"/>
              <w:autoSpaceDE/>
              <w:autoSpaceDN/>
              <w:bidi w:val="0"/>
              <w:adjustRightInd/>
              <w:snapToGrid/>
              <w:spacing w:line="16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4,395.52</w:t>
            </w:r>
            <w:r>
              <w:rPr>
                <w:rFonts w:ascii="Times New Roman" w:hAnsi="Times New Roman"/>
                <w:color w:val="000000"/>
                <w:sz w:val="16"/>
                <w:szCs w:val="21"/>
                <w:u w:color="auto"/>
              </w:rPr>
              <w:t xml:space="preserve"> </w:t>
            </w:r>
          </w:p>
        </w:tc>
      </w:tr>
    </w:tbl>
    <w:p w14:paraId="506C4CF8">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233480A">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3D55A772">
            <w:pPr>
              <w:jc w:val="center"/>
              <w:textAlignment w:val="bottom"/>
              <w:rPr>
                <w:rFonts w:hint="default" w:cs="宋体"/>
                <w:b/>
                <w:color w:val="000000"/>
                <w:sz w:val="32"/>
                <w:szCs w:val="32"/>
              </w:rPr>
            </w:pPr>
            <w:r>
              <w:rPr>
                <w:rFonts w:cs="宋体"/>
                <w:b/>
                <w:color w:val="000000"/>
                <w:sz w:val="32"/>
                <w:szCs w:val="32"/>
              </w:rPr>
              <w:t>收入决算表</w:t>
            </w:r>
          </w:p>
        </w:tc>
      </w:tr>
      <w:tr w14:paraId="55CB7494">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0951D14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丰都县精神病医院</w:t>
            </w:r>
          </w:p>
        </w:tc>
        <w:tc>
          <w:tcPr>
            <w:tcW w:w="1451" w:type="dxa"/>
            <w:tcBorders>
              <w:top w:val="nil"/>
              <w:left w:val="nil"/>
              <w:bottom w:val="nil"/>
              <w:right w:val="nil"/>
            </w:tcBorders>
            <w:shd w:val="clear" w:color="auto" w:fill="auto"/>
            <w:noWrap/>
            <w:tcMar>
              <w:top w:w="15" w:type="dxa"/>
              <w:left w:w="15" w:type="dxa"/>
              <w:right w:w="15" w:type="dxa"/>
            </w:tcMar>
            <w:vAlign w:val="bottom"/>
          </w:tcPr>
          <w:p w14:paraId="296BB464">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8E1626F">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06958DEF">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3E009AA1">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4B72E80">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0B90C93A">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0A30C01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40F7FAE">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16F4C9BC">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1F44826E">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F48905D">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7C41ABB3">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937C2E0">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4D731C25">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2DBF1DF9">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0B6856F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DE0C8D">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EE468D1">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73BB6">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1950A">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A3047">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73788C">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CB074">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EF9E1">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9454D">
            <w:pPr>
              <w:jc w:val="center"/>
              <w:textAlignment w:val="center"/>
              <w:rPr>
                <w:rFonts w:hint="default" w:cs="宋体"/>
                <w:b/>
                <w:color w:val="000000"/>
                <w:sz w:val="20"/>
                <w:szCs w:val="20"/>
              </w:rPr>
            </w:pPr>
            <w:r>
              <w:rPr>
                <w:rFonts w:cs="宋体"/>
                <w:b/>
                <w:color w:val="000000"/>
                <w:sz w:val="20"/>
                <w:szCs w:val="20"/>
              </w:rPr>
              <w:t>其他收入</w:t>
            </w:r>
          </w:p>
        </w:tc>
      </w:tr>
      <w:tr w14:paraId="27747A6A">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3A5D">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661DBC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9FA65">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4D03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BAD59">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F6F4A">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6E080">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CC3CA">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3D696">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009F1">
            <w:pPr>
              <w:jc w:val="center"/>
              <w:rPr>
                <w:rFonts w:hint="default" w:cs="宋体"/>
                <w:b/>
                <w:color w:val="000000"/>
                <w:sz w:val="20"/>
                <w:szCs w:val="20"/>
              </w:rPr>
            </w:pPr>
          </w:p>
        </w:tc>
      </w:tr>
      <w:tr w14:paraId="6F741700">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BE8B">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D59F6C3">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D4920">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4C47F">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981AB">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151A1">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D1BDB">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D32A">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755FA">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A0AA3">
            <w:pPr>
              <w:jc w:val="center"/>
              <w:rPr>
                <w:rFonts w:hint="default" w:cs="宋体"/>
                <w:b/>
                <w:color w:val="000000"/>
                <w:sz w:val="20"/>
                <w:szCs w:val="20"/>
              </w:rPr>
            </w:pPr>
          </w:p>
        </w:tc>
      </w:tr>
      <w:tr w14:paraId="3984FD1F">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6B03">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2F16D4D">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B1CE9">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2246">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5FB84">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4A697">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4171A">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EEFC">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A2101">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83D16">
            <w:pPr>
              <w:jc w:val="center"/>
              <w:rPr>
                <w:rFonts w:hint="default" w:cs="宋体"/>
                <w:b/>
                <w:color w:val="000000"/>
                <w:sz w:val="20"/>
                <w:szCs w:val="20"/>
              </w:rPr>
            </w:pPr>
          </w:p>
        </w:tc>
      </w:tr>
      <w:tr w14:paraId="4A0660FE">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BB0D">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13A188">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911A8">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05465">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37E89">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540A6">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8B1A7">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A4D7">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7B6CB">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F2BDF">
            <w:pPr>
              <w:jc w:val="center"/>
              <w:rPr>
                <w:rFonts w:hint="default" w:cs="宋体"/>
                <w:b/>
                <w:color w:val="000000"/>
                <w:sz w:val="20"/>
                <w:szCs w:val="20"/>
              </w:rPr>
            </w:pPr>
          </w:p>
        </w:tc>
      </w:tr>
      <w:tr w14:paraId="7090A8F3">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58AD">
            <w:pPr>
              <w:keepNext w:val="0"/>
              <w:keepLines w:val="0"/>
              <w:pageBreakBefore w:val="0"/>
              <w:widowControl/>
              <w:kinsoku/>
              <w:overflowPunct/>
              <w:topLinePunct w:val="0"/>
              <w:autoSpaceDE/>
              <w:autoSpaceDN/>
              <w:bidi w:val="0"/>
              <w:adjustRightInd/>
              <w:snapToGrid/>
              <w:spacing w:line="240" w:lineRule="exact"/>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B665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4,395.52</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D494E">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711.95</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F5ECE">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0382C">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3,677.61</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A541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BEEF7">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FA66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1868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5.96</w:t>
            </w:r>
            <w:r>
              <w:rPr>
                <w:rFonts w:ascii="Times New Roman" w:hAnsi="Times New Roman"/>
                <w:b/>
                <w:color w:val="000000"/>
                <w:sz w:val="20"/>
                <w:u w:color="auto"/>
              </w:rPr>
              <w:t xml:space="preserve"> </w:t>
            </w:r>
          </w:p>
        </w:tc>
      </w:tr>
      <w:tr w14:paraId="28EEE74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93EB">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24FA2">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A17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154.28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821A">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154.28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EEC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74D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608A">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5BD4">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8F7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BB2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2FB55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9235">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09CB7">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48A7">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154.28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B549">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154.28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828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873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117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326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8FE7">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ADC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52458E">
        <w:tblPrEx>
          <w:tblCellMar>
            <w:top w:w="0" w:type="dxa"/>
            <w:left w:w="0" w:type="dxa"/>
            <w:bottom w:w="0" w:type="dxa"/>
            <w:right w:w="0" w:type="dxa"/>
          </w:tblCellMar>
        </w:tblPrEx>
        <w:trPr>
          <w:trHeight w:val="34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BEC30">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739C3">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88A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C3BC">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BFE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E24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772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70F5">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E547">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8D35">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A48EF3">
        <w:tblPrEx>
          <w:tblCellMar>
            <w:top w:w="0" w:type="dxa"/>
            <w:left w:w="0" w:type="dxa"/>
            <w:bottom w:w="0" w:type="dxa"/>
            <w:right w:w="0" w:type="dxa"/>
          </w:tblCellMar>
        </w:tblPrEx>
        <w:trPr>
          <w:trHeight w:val="281"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ED77">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F453B">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700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3247">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7FBC">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C82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A46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C1A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4C1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F12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9FBA5E">
        <w:tblPrEx>
          <w:tblCellMar>
            <w:top w:w="0" w:type="dxa"/>
            <w:left w:w="0" w:type="dxa"/>
            <w:bottom w:w="0" w:type="dxa"/>
            <w:right w:w="0" w:type="dxa"/>
          </w:tblCellMar>
        </w:tblPrEx>
        <w:trPr>
          <w:trHeight w:val="28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7399">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D397F">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45A4">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14C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1E64">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482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C31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BB15">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9974">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A06E">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FEE5A7">
        <w:tblPrEx>
          <w:tblCellMar>
            <w:top w:w="0" w:type="dxa"/>
            <w:left w:w="0" w:type="dxa"/>
            <w:bottom w:w="0" w:type="dxa"/>
            <w:right w:w="0" w:type="dxa"/>
          </w:tblCellMar>
        </w:tblPrEx>
        <w:trPr>
          <w:trHeight w:val="28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76F92">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7F794">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4B2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4,198.80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9692">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515.23</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DC12">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24D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3,677.61</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777C">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D17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263C">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E3F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5.96</w:t>
            </w:r>
            <w:r>
              <w:rPr>
                <w:rFonts w:ascii="Times New Roman" w:hAnsi="Times New Roman"/>
                <w:b/>
                <w:color w:val="000000"/>
                <w:sz w:val="20"/>
                <w:u w:color="auto"/>
              </w:rPr>
              <w:t xml:space="preserve"> </w:t>
            </w:r>
          </w:p>
        </w:tc>
      </w:tr>
      <w:tr w14:paraId="0148B425">
        <w:tblPrEx>
          <w:tblCellMar>
            <w:top w:w="0" w:type="dxa"/>
            <w:left w:w="0" w:type="dxa"/>
            <w:bottom w:w="0" w:type="dxa"/>
            <w:right w:w="0" w:type="dxa"/>
          </w:tblCellMar>
        </w:tblPrEx>
        <w:trPr>
          <w:trHeight w:val="28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D8D4">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21002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F5479">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公立医院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FC57">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4,151.07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8BB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467.50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0E0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EE6A">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3,677.61</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710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A4A9">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A08B2">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ABF2">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5.96</w:t>
            </w:r>
            <w:r>
              <w:rPr>
                <w:rFonts w:ascii="Times New Roman" w:hAnsi="Times New Roman"/>
                <w:b/>
                <w:color w:val="000000"/>
                <w:sz w:val="20"/>
                <w:u w:color="auto"/>
              </w:rPr>
              <w:t xml:space="preserve"> </w:t>
            </w:r>
          </w:p>
        </w:tc>
      </w:tr>
      <w:tr w14:paraId="59AA6B76">
        <w:tblPrEx>
          <w:tblCellMar>
            <w:top w:w="0" w:type="dxa"/>
            <w:left w:w="0" w:type="dxa"/>
            <w:bottom w:w="0" w:type="dxa"/>
            <w:right w:w="0" w:type="dxa"/>
          </w:tblCellMar>
        </w:tblPrEx>
        <w:trPr>
          <w:trHeight w:val="28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158C">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2100205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D334B">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精神病医院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A3A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4,151.07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B7C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467.50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B7AE">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2E6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3,677.61</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AB7E">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A2B5">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1D8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E849">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5.96</w:t>
            </w:r>
            <w:r>
              <w:rPr>
                <w:rFonts w:ascii="Times New Roman" w:hAnsi="Times New Roman"/>
                <w:color w:val="000000"/>
                <w:sz w:val="20"/>
                <w:u w:color="auto"/>
              </w:rPr>
              <w:t xml:space="preserve"> </w:t>
            </w:r>
          </w:p>
        </w:tc>
      </w:tr>
      <w:tr w14:paraId="13A1BDA1">
        <w:tblPrEx>
          <w:tblCellMar>
            <w:top w:w="0" w:type="dxa"/>
            <w:left w:w="0" w:type="dxa"/>
            <w:bottom w:w="0" w:type="dxa"/>
            <w:right w:w="0" w:type="dxa"/>
          </w:tblCellMar>
        </w:tblPrEx>
        <w:trPr>
          <w:trHeight w:val="28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20B6">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D5575">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243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2A8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14A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948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FC85">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F24A">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41E7">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85E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D1A817">
        <w:tblPrEx>
          <w:tblCellMar>
            <w:top w:w="0" w:type="dxa"/>
            <w:left w:w="0" w:type="dxa"/>
            <w:bottom w:w="0" w:type="dxa"/>
            <w:right w:w="0" w:type="dxa"/>
          </w:tblCellMar>
        </w:tblPrEx>
        <w:trPr>
          <w:trHeight w:val="28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8A70">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DC1DC">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BE2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18FA">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B75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2FE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7BF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8555">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9E62">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B737">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6A2822">
        <w:tblPrEx>
          <w:tblCellMar>
            <w:top w:w="0" w:type="dxa"/>
            <w:left w:w="0" w:type="dxa"/>
            <w:bottom w:w="0" w:type="dxa"/>
            <w:right w:w="0" w:type="dxa"/>
          </w:tblCellMar>
        </w:tblPrEx>
        <w:trPr>
          <w:trHeight w:val="28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BB21">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2100409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37BAD">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重大公共卫生服务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D31C">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5169">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A80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A3B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CDB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ABCE">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C2EC">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A15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36C84C">
        <w:tblPrEx>
          <w:tblCellMar>
            <w:top w:w="0" w:type="dxa"/>
            <w:left w:w="0" w:type="dxa"/>
            <w:bottom w:w="0" w:type="dxa"/>
            <w:right w:w="0" w:type="dxa"/>
          </w:tblCellMar>
        </w:tblPrEx>
        <w:trPr>
          <w:trHeight w:val="28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D766">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B536D">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D0B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39.23</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4901">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39.23</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235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B81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971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4A91">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A34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B251">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3B74E8">
        <w:tblPrEx>
          <w:tblCellMar>
            <w:top w:w="0" w:type="dxa"/>
            <w:left w:w="0" w:type="dxa"/>
            <w:bottom w:w="0" w:type="dxa"/>
            <w:right w:w="0" w:type="dxa"/>
          </w:tblCellMar>
        </w:tblPrEx>
        <w:trPr>
          <w:trHeight w:val="28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4D62">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EBDCE">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14A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0D3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4532">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7F2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95F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7FD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7FB4">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AB61">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60B78D">
        <w:tblPrEx>
          <w:tblCellMar>
            <w:top w:w="0" w:type="dxa"/>
            <w:left w:w="0" w:type="dxa"/>
            <w:bottom w:w="0" w:type="dxa"/>
            <w:right w:w="0" w:type="dxa"/>
          </w:tblCellMar>
        </w:tblPrEx>
        <w:trPr>
          <w:trHeight w:val="28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0C5D">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D446D">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23C1">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2A9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A54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B3FB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B3CE">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83D2">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19F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CE22">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BE0DAC">
        <w:tblPrEx>
          <w:tblCellMar>
            <w:top w:w="0" w:type="dxa"/>
            <w:left w:w="0" w:type="dxa"/>
            <w:bottom w:w="0" w:type="dxa"/>
            <w:right w:w="0" w:type="dxa"/>
          </w:tblCellMar>
        </w:tblPrEx>
        <w:trPr>
          <w:trHeight w:val="28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8C49">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ADB0E">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9BB5">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6E91">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DC9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19C7">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356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2F7A">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71B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BC14">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5CA153">
        <w:tblPrEx>
          <w:tblCellMar>
            <w:top w:w="0" w:type="dxa"/>
            <w:left w:w="0" w:type="dxa"/>
            <w:bottom w:w="0" w:type="dxa"/>
            <w:right w:w="0" w:type="dxa"/>
          </w:tblCellMar>
        </w:tblPrEx>
        <w:trPr>
          <w:trHeight w:val="28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4C3E">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49D68">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BFE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D07A">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9D04">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EF51">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B1B4">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7DC2">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6737">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8C9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A5DF41">
        <w:tblPrEx>
          <w:tblCellMar>
            <w:top w:w="0" w:type="dxa"/>
            <w:left w:w="0" w:type="dxa"/>
            <w:bottom w:w="0" w:type="dxa"/>
            <w:right w:w="0" w:type="dxa"/>
          </w:tblCellMar>
        </w:tblPrEx>
        <w:trPr>
          <w:trHeight w:val="285"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183A">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D30F8">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3CD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2CAE">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CD875">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E535">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7DF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EE5C">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911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A66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04C189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040FB3E">
        <w:tblPrEx>
          <w:tblCellMar>
            <w:top w:w="0" w:type="dxa"/>
            <w:left w:w="0" w:type="dxa"/>
            <w:bottom w:w="0" w:type="dxa"/>
            <w:right w:w="0" w:type="dxa"/>
          </w:tblCellMar>
        </w:tblPrEx>
        <w:trPr>
          <w:trHeight w:val="490"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79821E1">
            <w:pPr>
              <w:jc w:val="center"/>
              <w:rPr>
                <w:rFonts w:hint="default" w:cs="宋体"/>
                <w:b/>
                <w:color w:val="000000"/>
                <w:sz w:val="32"/>
                <w:szCs w:val="32"/>
              </w:rPr>
            </w:pPr>
            <w:r>
              <w:rPr>
                <w:rFonts w:cs="宋体"/>
                <w:sz w:val="20"/>
                <w:szCs w:val="20"/>
              </w:rPr>
              <w:br w:type="page"/>
            </w:r>
            <w:r>
              <w:rPr>
                <w:rFonts w:cs="宋体"/>
                <w:b/>
                <w:color w:val="000000"/>
                <w:sz w:val="32"/>
                <w:szCs w:val="32"/>
              </w:rPr>
              <w:t>支出决算表</w:t>
            </w:r>
          </w:p>
        </w:tc>
      </w:tr>
      <w:tr w14:paraId="0E9B0424">
        <w:tblPrEx>
          <w:tblCellMar>
            <w:top w:w="0" w:type="dxa"/>
            <w:left w:w="0" w:type="dxa"/>
            <w:bottom w:w="0" w:type="dxa"/>
            <w:right w:w="0" w:type="dxa"/>
          </w:tblCellMar>
        </w:tblPrEx>
        <w:trPr>
          <w:trHeight w:val="180"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4A42481E">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丰都县精神病医院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5C3FD17A">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07D86AFC">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075DBB39">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16128BDA">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21A005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5D350DA">
        <w:tblPrEx>
          <w:tblCellMar>
            <w:top w:w="0" w:type="dxa"/>
            <w:left w:w="0" w:type="dxa"/>
            <w:bottom w:w="0" w:type="dxa"/>
            <w:right w:w="0" w:type="dxa"/>
          </w:tblCellMar>
        </w:tblPrEx>
        <w:trPr>
          <w:trHeight w:val="166"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4785F72A">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F50D158">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091492DF">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9EB6189">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5DAD1EA0">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0B98888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0B0C46">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AE2DE1">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6266">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FDC8C">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93B85">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AF339">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3FCFD">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28477">
            <w:pPr>
              <w:jc w:val="center"/>
              <w:textAlignment w:val="center"/>
              <w:rPr>
                <w:rFonts w:hint="default" w:cs="宋体"/>
                <w:b/>
                <w:color w:val="000000"/>
                <w:sz w:val="20"/>
                <w:szCs w:val="20"/>
              </w:rPr>
            </w:pPr>
            <w:r>
              <w:rPr>
                <w:rFonts w:cs="宋体"/>
                <w:b/>
                <w:color w:val="000000"/>
                <w:sz w:val="20"/>
                <w:szCs w:val="20"/>
              </w:rPr>
              <w:t>对附属单位补助支出</w:t>
            </w:r>
          </w:p>
        </w:tc>
      </w:tr>
      <w:tr w14:paraId="206AE836">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1B16">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B9C538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DB6A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67892">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861B">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2D7F4">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4563B">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D52F">
            <w:pPr>
              <w:jc w:val="center"/>
              <w:rPr>
                <w:rFonts w:hint="default" w:cs="宋体"/>
                <w:b/>
                <w:color w:val="000000"/>
                <w:sz w:val="20"/>
                <w:szCs w:val="20"/>
              </w:rPr>
            </w:pPr>
          </w:p>
        </w:tc>
      </w:tr>
      <w:tr w14:paraId="6CA137AD">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63A4">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E56718">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DB63F">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9D077">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3587E">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C06C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18F2F">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FB875">
            <w:pPr>
              <w:jc w:val="center"/>
              <w:rPr>
                <w:rFonts w:hint="default" w:cs="宋体"/>
                <w:b/>
                <w:color w:val="000000"/>
                <w:sz w:val="20"/>
                <w:szCs w:val="20"/>
              </w:rPr>
            </w:pPr>
          </w:p>
        </w:tc>
      </w:tr>
      <w:tr w14:paraId="7D0FC0ED">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0B70">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EAF064">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4C2BB">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45D4D">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FDE4D">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2AD4">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FED93">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334E2">
            <w:pPr>
              <w:jc w:val="center"/>
              <w:rPr>
                <w:rFonts w:hint="default" w:cs="宋体"/>
                <w:b/>
                <w:color w:val="000000"/>
                <w:sz w:val="20"/>
                <w:szCs w:val="20"/>
              </w:rPr>
            </w:pPr>
          </w:p>
        </w:tc>
      </w:tr>
      <w:tr w14:paraId="38DDFAB2">
        <w:tblPrEx>
          <w:tblCellMar>
            <w:top w:w="0" w:type="dxa"/>
            <w:left w:w="0" w:type="dxa"/>
            <w:bottom w:w="0" w:type="dxa"/>
            <w:right w:w="0" w:type="dxa"/>
          </w:tblCellMar>
        </w:tblPrEx>
        <w:trPr>
          <w:trHeight w:val="312"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6BBD">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38EEE9">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12BF2">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B46A6">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B7350">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4A8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F209F">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CB52">
            <w:pPr>
              <w:jc w:val="center"/>
              <w:rPr>
                <w:rFonts w:hint="default" w:cs="宋体"/>
                <w:b/>
                <w:color w:val="000000"/>
                <w:sz w:val="20"/>
                <w:szCs w:val="20"/>
              </w:rPr>
            </w:pPr>
          </w:p>
        </w:tc>
      </w:tr>
      <w:tr w14:paraId="5BEE1C69">
        <w:tblPrEx>
          <w:tblCellMar>
            <w:top w:w="0" w:type="dxa"/>
            <w:left w:w="0" w:type="dxa"/>
            <w:bottom w:w="0" w:type="dxa"/>
            <w:right w:w="0" w:type="dxa"/>
          </w:tblCellMar>
        </w:tblPrEx>
        <w:trPr>
          <w:trHeight w:val="296"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3A89">
            <w:pPr>
              <w:keepNext w:val="0"/>
              <w:keepLines w:val="0"/>
              <w:pageBreakBefore w:val="0"/>
              <w:widowControl/>
              <w:kinsoku/>
              <w:overflowPunct/>
              <w:topLinePunct w:val="0"/>
              <w:autoSpaceDE/>
              <w:autoSpaceDN/>
              <w:bidi w:val="0"/>
              <w:adjustRightInd/>
              <w:snapToGrid/>
              <w:spacing w:line="160" w:lineRule="exact"/>
              <w:jc w:val="center"/>
              <w:textAlignment w:val="center"/>
              <w:rPr>
                <w:rFonts w:hint="default" w:cs="宋体"/>
                <w:b/>
                <w:color w:val="000000"/>
                <w:sz w:val="18"/>
                <w:szCs w:val="18"/>
              </w:rPr>
            </w:pPr>
            <w:r>
              <w:rPr>
                <w:rFonts w:cs="宋体"/>
                <w:b/>
                <w:color w:val="000000"/>
                <w:sz w:val="18"/>
                <w:szCs w:val="18"/>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63FB7">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4,395.52</w:t>
            </w:r>
            <w:r>
              <w:rPr>
                <w:rFonts w:ascii="Times New Roman" w:hAnsi="Times New Roman"/>
                <w:b/>
                <w:color w:val="000000"/>
                <w:sz w:val="18"/>
                <w:szCs w:val="22"/>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6E854">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4,387.02</w:t>
            </w:r>
            <w:r>
              <w:rPr>
                <w:rFonts w:ascii="Times New Roman" w:hAnsi="Times New Roman"/>
                <w:b/>
                <w:color w:val="000000"/>
                <w:sz w:val="18"/>
                <w:szCs w:val="22"/>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6D11A">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8.50</w:t>
            </w:r>
            <w:r>
              <w:rPr>
                <w:rFonts w:ascii="Times New Roman" w:hAnsi="Times New Roman"/>
                <w:b/>
                <w:color w:val="000000"/>
                <w:sz w:val="18"/>
                <w:szCs w:val="22"/>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0D9E7">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r>
              <w:rPr>
                <w:rFonts w:ascii="Times New Roman" w:hAnsi="Times New Roman"/>
                <w:b/>
                <w:color w:val="000000"/>
                <w:sz w:val="18"/>
                <w:szCs w:val="22"/>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014DA">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r>
              <w:rPr>
                <w:rFonts w:ascii="Times New Roman" w:hAnsi="Times New Roman"/>
                <w:b/>
                <w:color w:val="000000"/>
                <w:sz w:val="18"/>
                <w:szCs w:val="22"/>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9AC56">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r>
              <w:rPr>
                <w:rFonts w:ascii="Times New Roman" w:hAnsi="Times New Roman"/>
                <w:b/>
                <w:color w:val="000000"/>
                <w:sz w:val="18"/>
                <w:szCs w:val="22"/>
                <w:u w:color="auto"/>
              </w:rPr>
              <w:t xml:space="preserve"> </w:t>
            </w:r>
          </w:p>
        </w:tc>
      </w:tr>
      <w:tr w14:paraId="0855CCF4">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9AE5">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43847">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3ADA">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154.28</w:t>
            </w:r>
            <w:r>
              <w:rPr>
                <w:rFonts w:ascii="Times New Roman" w:hAnsi="Times New Roman"/>
                <w:b/>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66E4">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154.28</w:t>
            </w:r>
            <w:r>
              <w:rPr>
                <w:rFonts w:ascii="Times New Roman" w:hAnsi="Times New Roman"/>
                <w:b/>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4DDC">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A25D">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093B">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07A0">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r>
      <w:tr w14:paraId="16BA1884">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C56B">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14155">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A85F">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154.28</w:t>
            </w:r>
            <w:r>
              <w:rPr>
                <w:rFonts w:ascii="Times New Roman" w:hAnsi="Times New Roman"/>
                <w:b/>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D637">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154.28</w:t>
            </w:r>
            <w:r>
              <w:rPr>
                <w:rFonts w:ascii="Times New Roman" w:hAnsi="Times New Roman"/>
                <w:b/>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69D40">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AFE1">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1D30">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38FE">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r>
      <w:tr w14:paraId="46048AD2">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0D68">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7752C">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9B95">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83.99</w:t>
            </w:r>
            <w:r>
              <w:rPr>
                <w:rFonts w:ascii="Times New Roman" w:hAnsi="Times New Roman"/>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EC35">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83.99</w:t>
            </w:r>
            <w:r>
              <w:rPr>
                <w:rFonts w:ascii="Times New Roman" w:hAnsi="Times New Roman"/>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F73D">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B243">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23DF">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F8BB">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r>
      <w:tr w14:paraId="5909ED8B">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4CED">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D24FA">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5149">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42.00</w:t>
            </w:r>
            <w:r>
              <w:rPr>
                <w:rFonts w:ascii="Times New Roman" w:hAnsi="Times New Roman"/>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1D33">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42.00</w:t>
            </w:r>
            <w:r>
              <w:rPr>
                <w:rFonts w:ascii="Times New Roman" w:hAnsi="Times New Roman"/>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E1F3">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5EDD">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741AC">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9F9B">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r>
      <w:tr w14:paraId="38D5948B">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D5A2">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DCB00">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C7CA">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28.29</w:t>
            </w:r>
            <w:r>
              <w:rPr>
                <w:rFonts w:ascii="Times New Roman" w:hAnsi="Times New Roman"/>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F1B5">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28.29</w:t>
            </w:r>
            <w:r>
              <w:rPr>
                <w:rFonts w:ascii="Times New Roman" w:hAnsi="Times New Roman"/>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4F1B">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583F">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39FD">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C5B8">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r>
      <w:tr w14:paraId="0BF8C85F">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4A84">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29886">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9648">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4,198.80</w:t>
            </w:r>
            <w:r>
              <w:rPr>
                <w:rFonts w:ascii="Times New Roman" w:hAnsi="Times New Roman"/>
                <w:b/>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9D43">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4,190.30</w:t>
            </w:r>
            <w:r>
              <w:rPr>
                <w:rFonts w:ascii="Times New Roman" w:hAnsi="Times New Roman"/>
                <w:b/>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43B7">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8.50</w:t>
            </w:r>
            <w:r>
              <w:rPr>
                <w:rFonts w:ascii="Times New Roman" w:hAnsi="Times New Roman"/>
                <w:b/>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E6A8">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7052">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CA10">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r>
      <w:tr w14:paraId="1B6A39C8">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4368">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21002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306E2">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公立医院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744F">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4,151.07</w:t>
            </w:r>
            <w:r>
              <w:rPr>
                <w:rFonts w:ascii="Times New Roman" w:hAnsi="Times New Roman"/>
                <w:b/>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947E">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4,151.07</w:t>
            </w:r>
            <w:r>
              <w:rPr>
                <w:rFonts w:ascii="Times New Roman" w:hAnsi="Times New Roman"/>
                <w:b/>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391F">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8082">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6C18">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36F5">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r>
      <w:tr w14:paraId="6143155A">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F778">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2100205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ED0C3">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精神病医院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F36B">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4,151.07</w:t>
            </w:r>
            <w:r>
              <w:rPr>
                <w:rFonts w:ascii="Times New Roman" w:hAnsi="Times New Roman"/>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53D8">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4,151.07</w:t>
            </w:r>
            <w:r>
              <w:rPr>
                <w:rFonts w:ascii="Times New Roman" w:hAnsi="Times New Roman"/>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7BE3">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B2D7">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03BD">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7A4A">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r>
      <w:tr w14:paraId="7532326C">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DF65">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21004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6A14C">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81BF">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8.50</w:t>
            </w:r>
            <w:r>
              <w:rPr>
                <w:rFonts w:ascii="Times New Roman" w:hAnsi="Times New Roman"/>
                <w:b/>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2A66">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DDD2">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8.50</w:t>
            </w:r>
            <w:r>
              <w:rPr>
                <w:rFonts w:ascii="Times New Roman" w:hAnsi="Times New Roman"/>
                <w:b/>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28B0">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9BE4">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14FC">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r>
      <w:tr w14:paraId="42A4A12B">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C0EF">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2100408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4481A">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9503">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7487">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6532">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r>
              <w:rPr>
                <w:rFonts w:ascii="Times New Roman" w:hAnsi="Times New Roman"/>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36B0">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E602">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F32C">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r>
      <w:tr w14:paraId="364D0A48">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CD68">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2100409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AD7CE">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重大公共卫生服务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1F9D">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3E9F">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210A">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3166">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091C">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31A2">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r>
      <w:tr w14:paraId="7EA1C986">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9270">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33135">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B9B2">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39.23</w:t>
            </w:r>
            <w:r>
              <w:rPr>
                <w:rFonts w:ascii="Times New Roman" w:hAnsi="Times New Roman"/>
                <w:b/>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0A89">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39.23</w:t>
            </w:r>
            <w:r>
              <w:rPr>
                <w:rFonts w:ascii="Times New Roman" w:hAnsi="Times New Roman"/>
                <w:b/>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5BEC">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F591">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B1BD">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DF14">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r>
      <w:tr w14:paraId="014D969B">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22AB">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4110">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1551">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30.06</w:t>
            </w:r>
            <w:r>
              <w:rPr>
                <w:rFonts w:ascii="Times New Roman" w:hAnsi="Times New Roman"/>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05B2">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30.06</w:t>
            </w:r>
            <w:r>
              <w:rPr>
                <w:rFonts w:ascii="Times New Roman" w:hAnsi="Times New Roman"/>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3B23">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5FF5">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93EA">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D779">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r>
      <w:tr w14:paraId="6FADEAC5">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D5FD">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81C23">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26C6">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9.17</w:t>
            </w:r>
            <w:r>
              <w:rPr>
                <w:rFonts w:ascii="Times New Roman" w:hAnsi="Times New Roman"/>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815F">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9.17</w:t>
            </w:r>
            <w:r>
              <w:rPr>
                <w:rFonts w:ascii="Times New Roman" w:hAnsi="Times New Roman"/>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460F">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A359">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69DE">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E6EB">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r>
      <w:tr w14:paraId="3CBC4450">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A4EF">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75D2C">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EBDD">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42.44</w:t>
            </w:r>
            <w:r>
              <w:rPr>
                <w:rFonts w:ascii="Times New Roman" w:hAnsi="Times New Roman"/>
                <w:b/>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09B7">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42.44</w:t>
            </w:r>
            <w:r>
              <w:rPr>
                <w:rFonts w:ascii="Times New Roman" w:hAnsi="Times New Roman"/>
                <w:b/>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85AD">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84E5">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8174">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EFD46">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r>
      <w:tr w14:paraId="4AB54A5A">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3EAE">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65680">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b/>
                <w:color w:val="000000"/>
                <w:sz w:val="18"/>
                <w:szCs w:val="18"/>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F709">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42.44</w:t>
            </w:r>
            <w:r>
              <w:rPr>
                <w:rFonts w:ascii="Times New Roman" w:hAnsi="Times New Roman"/>
                <w:b/>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D41E">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42.44</w:t>
            </w:r>
            <w:r>
              <w:rPr>
                <w:rFonts w:ascii="Times New Roman" w:hAnsi="Times New Roman"/>
                <w:b/>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01DB">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AE18">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3A71">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53BA">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r>
              <w:rPr>
                <w:rFonts w:ascii="Times New Roman" w:hAnsi="Times New Roman"/>
                <w:b/>
                <w:color w:val="000000"/>
                <w:sz w:val="18"/>
                <w:szCs w:val="22"/>
                <w:u w:color="auto"/>
              </w:rPr>
              <w:t xml:space="preserve"> </w:t>
            </w:r>
          </w:p>
        </w:tc>
      </w:tr>
      <w:tr w14:paraId="3AA99271">
        <w:tblPrEx>
          <w:tblCellMar>
            <w:top w:w="0" w:type="dxa"/>
            <w:left w:w="0" w:type="dxa"/>
            <w:bottom w:w="0" w:type="dxa"/>
            <w:right w:w="0" w:type="dxa"/>
          </w:tblCellMar>
        </w:tblPrEx>
        <w:trPr>
          <w:trHeight w:val="296"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B646">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AA423">
            <w:pPr>
              <w:keepNext w:val="0"/>
              <w:keepLines w:val="0"/>
              <w:pageBreakBefore w:val="0"/>
              <w:widowControl/>
              <w:kinsoku/>
              <w:overflowPunct/>
              <w:topLinePunct w:val="0"/>
              <w:autoSpaceDE/>
              <w:autoSpaceDN/>
              <w:bidi w:val="0"/>
              <w:adjustRightInd/>
              <w:snapToGrid/>
              <w:spacing w:line="160" w:lineRule="exact"/>
              <w:textAlignment w:val="center"/>
              <w:rPr>
                <w:rFonts w:hint="default" w:cs="宋体"/>
                <w:color w:val="000000"/>
                <w:sz w:val="18"/>
                <w:szCs w:val="18"/>
              </w:rPr>
            </w:pPr>
            <w:r>
              <w:rPr>
                <w:rFonts w:cs="宋体"/>
                <w:color w:val="000000"/>
                <w:sz w:val="18"/>
                <w:szCs w:val="18"/>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CFBC">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42.44</w:t>
            </w:r>
            <w:r>
              <w:rPr>
                <w:rFonts w:ascii="Times New Roman" w:hAnsi="Times New Roman"/>
                <w:color w:val="000000"/>
                <w:sz w:val="18"/>
                <w:szCs w:val="22"/>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ACC2">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42.44</w:t>
            </w:r>
            <w:r>
              <w:rPr>
                <w:rFonts w:ascii="Times New Roman" w:hAnsi="Times New Roman"/>
                <w:color w:val="000000"/>
                <w:sz w:val="18"/>
                <w:szCs w:val="22"/>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9873">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9533">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F707">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F64D6">
            <w:pPr>
              <w:keepNext w:val="0"/>
              <w:keepLines w:val="0"/>
              <w:pageBreakBefore w:val="0"/>
              <w:widowControl/>
              <w:kinsoku/>
              <w:wordWrap w:val="0"/>
              <w:overflowPunct/>
              <w:topLinePunct w:val="0"/>
              <w:autoSpaceDE/>
              <w:autoSpaceDN/>
              <w:bidi w:val="0"/>
              <w:adjustRightInd/>
              <w:snapToGrid/>
              <w:spacing w:line="1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r>
              <w:rPr>
                <w:rFonts w:ascii="Times New Roman" w:hAnsi="Times New Roman"/>
                <w:color w:val="000000"/>
                <w:sz w:val="18"/>
                <w:szCs w:val="22"/>
                <w:u w:color="auto"/>
              </w:rPr>
              <w:t xml:space="preserve"> </w:t>
            </w:r>
          </w:p>
        </w:tc>
      </w:tr>
    </w:tbl>
    <w:p w14:paraId="025DAC92">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51D1AE01">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73B4ECD">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10F1359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F65ED3E">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6DD06F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丰都县精神病医院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1627EAC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35A3A0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32312F9">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146728C">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2B20D580">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12BC130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5A9EFB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7031BF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1E76735">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6AD1657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D14335">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074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3E9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1D1A5FE">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42E9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D47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1E06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05C6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C1300A9">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A742B">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6EBD5">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4D467">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026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EF18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FF18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CAE6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E8DF6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BD6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4E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711.95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FBAD">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15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0E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D8C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B1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10956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B496">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07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19721">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2A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5A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20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90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F24D3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A7B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68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D4F5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5F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DC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D7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84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EF0D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E88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22CA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AD30">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6F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9A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3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7F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66890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C70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D99C7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615C">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78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7D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C5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37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15D8E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243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8A383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E8FE">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01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38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97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03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1271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36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0A8CF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A04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52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E2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8F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9E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C1DDD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75E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83EFD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6AF7">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4D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154.28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64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154.28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1F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09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FE21B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C6F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C2CE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E5E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64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515.23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8F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515.23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BB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D7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776CD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CB8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886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358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8C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C4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9C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464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7D4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AF7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182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44E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A2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27C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3A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28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813E1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ADA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DF4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26B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E3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08B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F4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C8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8A10B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3EB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FB8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EC9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5C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17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70F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18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C9294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2AA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FFF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A3D8">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6D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A1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68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86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74670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3A9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B74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F46C">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16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62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5E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1D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02102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96B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891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BE52">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D3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90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0B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25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80A0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728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5E7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05B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C9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AE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CF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FA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927B9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C37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318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932E">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5F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1B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3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75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99715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C36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C3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057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A0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80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5F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E5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42B37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CA9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556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BED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D1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79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5C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FC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D984D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401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348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994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68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B2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F6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E5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1200F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AEE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B8F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201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A7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A3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C0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DD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E907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BC9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9F2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D72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A1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D0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9A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61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8C98C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B46B2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968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C1E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36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11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76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E2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AE6A7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363F5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CBB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5FE9">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BF0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7D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2F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48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6647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67014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B38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9661">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FD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2E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AF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B3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DEE61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70DE">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29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711.95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B0B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EA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711.95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D9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711.95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81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15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D7A4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A4E8">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67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C3A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29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2F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38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11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56AA7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AF4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B7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AF4EB">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6D559E">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388CAA">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F0128E">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48735D">
            <w:pPr>
              <w:spacing w:line="200" w:lineRule="exact"/>
              <w:rPr>
                <w:rFonts w:hint="default" w:ascii="Times New Roman" w:hAnsi="Times New Roman"/>
                <w:color w:val="000000"/>
                <w:sz w:val="18"/>
                <w:szCs w:val="18"/>
              </w:rPr>
            </w:pPr>
          </w:p>
        </w:tc>
      </w:tr>
      <w:tr w14:paraId="01AA93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B33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A1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3164">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CC9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ED18">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BC28">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72AA">
            <w:pPr>
              <w:spacing w:line="200" w:lineRule="exact"/>
              <w:jc w:val="right"/>
              <w:rPr>
                <w:rFonts w:hint="default" w:ascii="Times New Roman" w:hAnsi="Times New Roman"/>
                <w:color w:val="000000"/>
                <w:sz w:val="18"/>
                <w:szCs w:val="18"/>
              </w:rPr>
            </w:pPr>
          </w:p>
        </w:tc>
      </w:tr>
      <w:tr w14:paraId="2CC013C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F25D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5D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D0C2">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724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55B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F0D5">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6C71">
            <w:pPr>
              <w:spacing w:line="200" w:lineRule="exact"/>
              <w:jc w:val="right"/>
              <w:rPr>
                <w:rFonts w:hint="default" w:ascii="Times New Roman" w:hAnsi="Times New Roman"/>
                <w:color w:val="000000"/>
                <w:sz w:val="18"/>
                <w:szCs w:val="18"/>
              </w:rPr>
            </w:pPr>
          </w:p>
        </w:tc>
      </w:tr>
      <w:tr w14:paraId="447056B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4AD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54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711.95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753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2C4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711.95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8F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711.95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7C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74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E64FB5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803"/>
        <w:gridCol w:w="502"/>
        <w:gridCol w:w="2307"/>
        <w:gridCol w:w="1541"/>
        <w:gridCol w:w="225"/>
        <w:gridCol w:w="648"/>
        <w:gridCol w:w="2032"/>
        <w:gridCol w:w="626"/>
        <w:gridCol w:w="792"/>
        <w:gridCol w:w="873"/>
        <w:gridCol w:w="1632"/>
        <w:gridCol w:w="1831"/>
        <w:gridCol w:w="1492"/>
        <w:gridCol w:w="18"/>
      </w:tblGrid>
      <w:tr w14:paraId="44FD54DC">
        <w:tblPrEx>
          <w:tblCellMar>
            <w:top w:w="0" w:type="dxa"/>
            <w:left w:w="0" w:type="dxa"/>
            <w:bottom w:w="0" w:type="dxa"/>
            <w:right w:w="0" w:type="dxa"/>
          </w:tblCellMar>
        </w:tblPrEx>
        <w:trPr>
          <w:trHeight w:val="510" w:hRule="atLeast"/>
        </w:trPr>
        <w:tc>
          <w:tcPr>
            <w:tcW w:w="15322" w:type="dxa"/>
            <w:gridSpan w:val="14"/>
            <w:tcBorders>
              <w:top w:val="nil"/>
              <w:left w:val="nil"/>
              <w:bottom w:val="nil"/>
              <w:right w:val="nil"/>
            </w:tcBorders>
            <w:shd w:val="clear" w:color="auto" w:fill="auto"/>
            <w:noWrap/>
            <w:tcMar>
              <w:top w:w="15" w:type="dxa"/>
              <w:left w:w="15" w:type="dxa"/>
              <w:right w:w="15" w:type="dxa"/>
            </w:tcMar>
            <w:vAlign w:val="bottom"/>
          </w:tcPr>
          <w:p w14:paraId="1241DD2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7144ED5">
        <w:tblPrEx>
          <w:tblCellMar>
            <w:top w:w="0" w:type="dxa"/>
            <w:left w:w="0" w:type="dxa"/>
            <w:bottom w:w="0" w:type="dxa"/>
            <w:right w:w="0" w:type="dxa"/>
          </w:tblCellMar>
        </w:tblPrEx>
        <w:trPr>
          <w:trHeight w:val="255" w:hRule="atLeast"/>
        </w:trPr>
        <w:tc>
          <w:tcPr>
            <w:tcW w:w="8684" w:type="dxa"/>
            <w:gridSpan w:val="8"/>
            <w:vMerge w:val="restart"/>
            <w:tcBorders>
              <w:top w:val="nil"/>
              <w:left w:val="nil"/>
              <w:right w:val="nil"/>
            </w:tcBorders>
            <w:shd w:val="clear" w:color="auto" w:fill="auto"/>
            <w:noWrap/>
            <w:tcMar>
              <w:top w:w="15" w:type="dxa"/>
              <w:left w:w="15" w:type="dxa"/>
              <w:right w:w="15" w:type="dxa"/>
            </w:tcMar>
            <w:vAlign w:val="bottom"/>
          </w:tcPr>
          <w:p w14:paraId="642FEC4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丰都县精神病医院</w:t>
            </w:r>
          </w:p>
        </w:tc>
        <w:tc>
          <w:tcPr>
            <w:tcW w:w="3297" w:type="dxa"/>
            <w:gridSpan w:val="3"/>
            <w:tcBorders>
              <w:top w:val="nil"/>
              <w:left w:val="nil"/>
              <w:bottom w:val="nil"/>
              <w:right w:val="nil"/>
            </w:tcBorders>
            <w:shd w:val="clear" w:color="auto" w:fill="auto"/>
            <w:noWrap/>
            <w:tcMar>
              <w:top w:w="15" w:type="dxa"/>
              <w:left w:w="15" w:type="dxa"/>
              <w:right w:w="15" w:type="dxa"/>
            </w:tcMar>
            <w:vAlign w:val="bottom"/>
          </w:tcPr>
          <w:p w14:paraId="25D254F5">
            <w:pPr>
              <w:rPr>
                <w:rFonts w:hint="default" w:cs="宋体"/>
                <w:color w:val="000000"/>
                <w:sz w:val="20"/>
                <w:szCs w:val="20"/>
              </w:rPr>
            </w:pPr>
          </w:p>
        </w:tc>
        <w:tc>
          <w:tcPr>
            <w:tcW w:w="3341" w:type="dxa"/>
            <w:gridSpan w:val="3"/>
            <w:tcBorders>
              <w:top w:val="nil"/>
              <w:left w:val="nil"/>
              <w:bottom w:val="nil"/>
              <w:right w:val="nil"/>
            </w:tcBorders>
            <w:shd w:val="clear" w:color="auto" w:fill="auto"/>
            <w:noWrap/>
            <w:tcMar>
              <w:top w:w="15" w:type="dxa"/>
              <w:left w:w="15" w:type="dxa"/>
              <w:right w:w="15" w:type="dxa"/>
            </w:tcMar>
            <w:vAlign w:val="bottom"/>
          </w:tcPr>
          <w:p w14:paraId="7977DF6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6BD1B72">
        <w:tblPrEx>
          <w:tblCellMar>
            <w:top w:w="0" w:type="dxa"/>
            <w:left w:w="0" w:type="dxa"/>
            <w:bottom w:w="0" w:type="dxa"/>
            <w:right w:w="0" w:type="dxa"/>
          </w:tblCellMar>
        </w:tblPrEx>
        <w:trPr>
          <w:trHeight w:val="285" w:hRule="atLeast"/>
        </w:trPr>
        <w:tc>
          <w:tcPr>
            <w:tcW w:w="8684" w:type="dxa"/>
            <w:gridSpan w:val="8"/>
            <w:vMerge w:val="continue"/>
            <w:tcBorders>
              <w:left w:val="nil"/>
              <w:bottom w:val="nil"/>
              <w:right w:val="nil"/>
            </w:tcBorders>
            <w:shd w:val="clear" w:color="auto" w:fill="auto"/>
            <w:noWrap/>
            <w:tcMar>
              <w:top w:w="15" w:type="dxa"/>
              <w:left w:w="15" w:type="dxa"/>
              <w:right w:w="15" w:type="dxa"/>
            </w:tcMar>
            <w:vAlign w:val="bottom"/>
          </w:tcPr>
          <w:p w14:paraId="151868E0">
            <w:pPr>
              <w:rPr>
                <w:rFonts w:hint="default" w:cs="宋体"/>
                <w:color w:val="000000"/>
                <w:sz w:val="20"/>
                <w:szCs w:val="20"/>
              </w:rPr>
            </w:pPr>
          </w:p>
        </w:tc>
        <w:tc>
          <w:tcPr>
            <w:tcW w:w="3297" w:type="dxa"/>
            <w:gridSpan w:val="3"/>
            <w:tcBorders>
              <w:top w:val="nil"/>
              <w:left w:val="nil"/>
              <w:bottom w:val="nil"/>
              <w:right w:val="nil"/>
            </w:tcBorders>
            <w:shd w:val="clear" w:color="auto" w:fill="auto"/>
            <w:noWrap/>
            <w:tcMar>
              <w:top w:w="15" w:type="dxa"/>
              <w:left w:w="15" w:type="dxa"/>
              <w:right w:w="15" w:type="dxa"/>
            </w:tcMar>
            <w:vAlign w:val="bottom"/>
          </w:tcPr>
          <w:p w14:paraId="7B13DE69">
            <w:pPr>
              <w:rPr>
                <w:rFonts w:hint="default" w:cs="宋体"/>
                <w:color w:val="000000"/>
                <w:sz w:val="20"/>
                <w:szCs w:val="20"/>
              </w:rPr>
            </w:pPr>
          </w:p>
        </w:tc>
        <w:tc>
          <w:tcPr>
            <w:tcW w:w="3341" w:type="dxa"/>
            <w:gridSpan w:val="3"/>
            <w:tcBorders>
              <w:top w:val="nil"/>
              <w:left w:val="nil"/>
              <w:bottom w:val="nil"/>
              <w:right w:val="nil"/>
            </w:tcBorders>
            <w:shd w:val="clear" w:color="auto" w:fill="auto"/>
            <w:noWrap/>
            <w:tcMar>
              <w:top w:w="15" w:type="dxa"/>
              <w:left w:w="15" w:type="dxa"/>
              <w:right w:w="15" w:type="dxa"/>
            </w:tcMar>
            <w:vAlign w:val="bottom"/>
          </w:tcPr>
          <w:p w14:paraId="7448167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15E78F">
        <w:tblPrEx>
          <w:tblCellMar>
            <w:top w:w="0" w:type="dxa"/>
            <w:left w:w="0" w:type="dxa"/>
            <w:bottom w:w="0" w:type="dxa"/>
            <w:right w:w="0" w:type="dxa"/>
          </w:tblCellMar>
        </w:tblPrEx>
        <w:trPr>
          <w:trHeight w:val="308" w:hRule="atLeast"/>
        </w:trPr>
        <w:tc>
          <w:tcPr>
            <w:tcW w:w="53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B0A8F">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6198AF">
            <w:pPr>
              <w:jc w:val="center"/>
              <w:textAlignment w:val="center"/>
              <w:rPr>
                <w:rFonts w:hint="default" w:cs="宋体"/>
                <w:b/>
                <w:color w:val="000000"/>
                <w:sz w:val="20"/>
                <w:szCs w:val="20"/>
              </w:rPr>
            </w:pPr>
            <w:r>
              <w:rPr>
                <w:rFonts w:cs="宋体"/>
                <w:b/>
                <w:color w:val="000000"/>
                <w:sz w:val="20"/>
                <w:szCs w:val="20"/>
              </w:rPr>
              <w:t>本年支出</w:t>
            </w:r>
          </w:p>
        </w:tc>
      </w:tr>
      <w:tr w14:paraId="42BE2948">
        <w:tblPrEx>
          <w:tblCellMar>
            <w:top w:w="0" w:type="dxa"/>
            <w:left w:w="0" w:type="dxa"/>
            <w:bottom w:w="0" w:type="dxa"/>
            <w:right w:w="0" w:type="dxa"/>
          </w:tblCellMar>
        </w:tblPrEx>
        <w:trPr>
          <w:trHeight w:val="326" w:hRule="atLeast"/>
        </w:trPr>
        <w:tc>
          <w:tcPr>
            <w:tcW w:w="130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F493">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E4BA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8FA7D">
            <w:pPr>
              <w:jc w:val="center"/>
              <w:textAlignment w:val="center"/>
              <w:rPr>
                <w:rFonts w:hint="default" w:cs="宋体"/>
                <w:b/>
                <w:color w:val="000000"/>
                <w:sz w:val="20"/>
                <w:szCs w:val="20"/>
              </w:rPr>
            </w:pPr>
            <w:r>
              <w:rPr>
                <w:rFonts w:cs="宋体"/>
                <w:b/>
                <w:color w:val="000000"/>
                <w:sz w:val="20"/>
                <w:szCs w:val="20"/>
              </w:rPr>
              <w:t>合计</w:t>
            </w:r>
          </w:p>
        </w:tc>
        <w:tc>
          <w:tcPr>
            <w:tcW w:w="3297"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B7A33">
            <w:pPr>
              <w:jc w:val="center"/>
              <w:textAlignment w:val="center"/>
              <w:rPr>
                <w:rFonts w:hint="default" w:cs="宋体"/>
                <w:b/>
                <w:color w:val="000000"/>
                <w:sz w:val="20"/>
                <w:szCs w:val="20"/>
              </w:rPr>
            </w:pPr>
            <w:r>
              <w:rPr>
                <w:rFonts w:cs="宋体"/>
                <w:b/>
                <w:color w:val="000000"/>
                <w:sz w:val="20"/>
                <w:szCs w:val="20"/>
              </w:rPr>
              <w:t>基本支出</w:t>
            </w:r>
          </w:p>
        </w:tc>
        <w:tc>
          <w:tcPr>
            <w:tcW w:w="3341"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CF8B3">
            <w:pPr>
              <w:jc w:val="center"/>
              <w:textAlignment w:val="center"/>
              <w:rPr>
                <w:rFonts w:hint="default" w:cs="宋体"/>
                <w:b/>
                <w:color w:val="000000"/>
                <w:sz w:val="20"/>
                <w:szCs w:val="20"/>
              </w:rPr>
            </w:pPr>
            <w:r>
              <w:rPr>
                <w:rFonts w:cs="宋体"/>
                <w:b/>
                <w:color w:val="000000"/>
                <w:sz w:val="20"/>
                <w:szCs w:val="20"/>
              </w:rPr>
              <w:t>项目支出</w:t>
            </w:r>
          </w:p>
        </w:tc>
      </w:tr>
      <w:tr w14:paraId="73499D0C">
        <w:tblPrEx>
          <w:tblCellMar>
            <w:top w:w="0" w:type="dxa"/>
            <w:left w:w="0" w:type="dxa"/>
            <w:bottom w:w="0" w:type="dxa"/>
            <w:right w:w="0" w:type="dxa"/>
          </w:tblCellMar>
        </w:tblPrEx>
        <w:trPr>
          <w:trHeight w:val="326" w:hRule="atLeast"/>
        </w:trPr>
        <w:tc>
          <w:tcPr>
            <w:tcW w:w="130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F5159">
            <w:pPr>
              <w:jc w:val="center"/>
              <w:rPr>
                <w:rFonts w:hint="default" w:cs="宋体"/>
                <w:b/>
                <w:color w:val="000000"/>
                <w:sz w:val="20"/>
                <w:szCs w:val="20"/>
              </w:rPr>
            </w:pPr>
          </w:p>
        </w:tc>
        <w:tc>
          <w:tcPr>
            <w:tcW w:w="4073"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4F65B">
            <w:pPr>
              <w:jc w:val="center"/>
              <w:rPr>
                <w:rFonts w:hint="default" w:cs="宋体"/>
                <w:b/>
                <w:color w:val="000000"/>
                <w:sz w:val="20"/>
                <w:szCs w:val="20"/>
              </w:rPr>
            </w:pPr>
          </w:p>
        </w:tc>
        <w:tc>
          <w:tcPr>
            <w:tcW w:w="3306"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F08CA">
            <w:pPr>
              <w:jc w:val="center"/>
              <w:rPr>
                <w:rFonts w:hint="default" w:cs="宋体"/>
                <w:b/>
                <w:color w:val="000000"/>
                <w:sz w:val="20"/>
                <w:szCs w:val="20"/>
              </w:rPr>
            </w:pPr>
          </w:p>
        </w:tc>
        <w:tc>
          <w:tcPr>
            <w:tcW w:w="3297"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C0CA1">
            <w:pPr>
              <w:jc w:val="center"/>
              <w:rPr>
                <w:rFonts w:hint="default" w:cs="宋体"/>
                <w:b/>
                <w:color w:val="000000"/>
                <w:sz w:val="20"/>
                <w:szCs w:val="20"/>
              </w:rPr>
            </w:pPr>
          </w:p>
        </w:tc>
        <w:tc>
          <w:tcPr>
            <w:tcW w:w="3341"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EBD21">
            <w:pPr>
              <w:jc w:val="center"/>
              <w:rPr>
                <w:rFonts w:hint="default" w:cs="宋体"/>
                <w:b/>
                <w:color w:val="000000"/>
                <w:sz w:val="20"/>
                <w:szCs w:val="20"/>
              </w:rPr>
            </w:pPr>
          </w:p>
        </w:tc>
      </w:tr>
      <w:tr w14:paraId="385AED93">
        <w:tblPrEx>
          <w:tblCellMar>
            <w:top w:w="0" w:type="dxa"/>
            <w:left w:w="0" w:type="dxa"/>
            <w:bottom w:w="0" w:type="dxa"/>
            <w:right w:w="0" w:type="dxa"/>
          </w:tblCellMar>
        </w:tblPrEx>
        <w:trPr>
          <w:trHeight w:val="615" w:hRule="atLeast"/>
        </w:trPr>
        <w:tc>
          <w:tcPr>
            <w:tcW w:w="130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88B6C">
            <w:pPr>
              <w:jc w:val="center"/>
              <w:rPr>
                <w:rFonts w:hint="default" w:cs="宋体"/>
                <w:b/>
                <w:color w:val="000000"/>
                <w:sz w:val="20"/>
                <w:szCs w:val="20"/>
              </w:rPr>
            </w:pPr>
          </w:p>
        </w:tc>
        <w:tc>
          <w:tcPr>
            <w:tcW w:w="4073"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A3F21">
            <w:pPr>
              <w:jc w:val="center"/>
              <w:rPr>
                <w:rFonts w:hint="default" w:cs="宋体"/>
                <w:b/>
                <w:color w:val="000000"/>
                <w:sz w:val="20"/>
                <w:szCs w:val="20"/>
              </w:rPr>
            </w:pPr>
          </w:p>
        </w:tc>
        <w:tc>
          <w:tcPr>
            <w:tcW w:w="3306"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FF2B5">
            <w:pPr>
              <w:jc w:val="center"/>
              <w:rPr>
                <w:rFonts w:hint="default" w:cs="宋体"/>
                <w:b/>
                <w:color w:val="000000"/>
                <w:sz w:val="20"/>
                <w:szCs w:val="20"/>
              </w:rPr>
            </w:pPr>
          </w:p>
        </w:tc>
        <w:tc>
          <w:tcPr>
            <w:tcW w:w="3297"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4FF2F">
            <w:pPr>
              <w:jc w:val="center"/>
              <w:rPr>
                <w:rFonts w:hint="default" w:cs="宋体"/>
                <w:b/>
                <w:color w:val="000000"/>
                <w:sz w:val="20"/>
                <w:szCs w:val="20"/>
              </w:rPr>
            </w:pPr>
          </w:p>
        </w:tc>
        <w:tc>
          <w:tcPr>
            <w:tcW w:w="3341"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FD6E3">
            <w:pPr>
              <w:jc w:val="center"/>
              <w:rPr>
                <w:rFonts w:hint="default" w:cs="宋体"/>
                <w:b/>
                <w:color w:val="000000"/>
                <w:sz w:val="20"/>
                <w:szCs w:val="20"/>
              </w:rPr>
            </w:pPr>
          </w:p>
        </w:tc>
      </w:tr>
      <w:tr w14:paraId="61C00AD8">
        <w:tblPrEx>
          <w:tblCellMar>
            <w:top w:w="0" w:type="dxa"/>
            <w:left w:w="0" w:type="dxa"/>
            <w:bottom w:w="0" w:type="dxa"/>
            <w:right w:w="0" w:type="dxa"/>
          </w:tblCellMar>
        </w:tblPrEx>
        <w:trPr>
          <w:trHeight w:val="308" w:hRule="atLeast"/>
        </w:trPr>
        <w:tc>
          <w:tcPr>
            <w:tcW w:w="5378"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7843">
            <w:pPr>
              <w:jc w:val="center"/>
              <w:textAlignment w:val="center"/>
              <w:rPr>
                <w:rFonts w:hint="default" w:cs="宋体"/>
                <w:b/>
                <w:color w:val="000000"/>
                <w:sz w:val="20"/>
                <w:szCs w:val="20"/>
              </w:rPr>
            </w:pPr>
            <w:r>
              <w:rPr>
                <w:rFonts w:cs="宋体"/>
                <w:b/>
                <w:color w:val="000000"/>
                <w:sz w:val="20"/>
                <w:szCs w:val="20"/>
              </w:rPr>
              <w:t>合计</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6C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711.95</w:t>
            </w:r>
            <w:r>
              <w:rPr>
                <w:rFonts w:ascii="Times New Roman" w:hAnsi="Times New Roman"/>
                <w:b/>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442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703.45</w:t>
            </w:r>
            <w:r>
              <w:rPr>
                <w:rFonts w:ascii="Times New Roman" w:hAnsi="Times New Roman"/>
                <w:b/>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047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8.50</w:t>
            </w:r>
            <w:r>
              <w:rPr>
                <w:rFonts w:ascii="Times New Roman" w:hAnsi="Times New Roman"/>
                <w:b/>
                <w:color w:val="000000"/>
                <w:sz w:val="20"/>
                <w:u w:color="auto"/>
              </w:rPr>
              <w:t xml:space="preserve"> </w:t>
            </w:r>
          </w:p>
        </w:tc>
      </w:tr>
      <w:tr w14:paraId="3961B070">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9EFF">
            <w:pPr>
              <w:textAlignment w:val="center"/>
              <w:rPr>
                <w:rFonts w:hint="default" w:cs="宋体"/>
                <w:color w:val="000000"/>
                <w:sz w:val="20"/>
                <w:szCs w:val="20"/>
              </w:rPr>
            </w:pPr>
            <w:r>
              <w:rPr>
                <w:rFonts w:cs="宋体"/>
                <w:b/>
                <w:color w:val="000000"/>
                <w:sz w:val="20"/>
                <w:szCs w:val="20"/>
              </w:rPr>
              <w:t>208</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FB8DA">
            <w:pPr>
              <w:textAlignment w:val="center"/>
              <w:rPr>
                <w:rFonts w:hint="default" w:cs="宋体"/>
                <w:color w:val="000000"/>
                <w:sz w:val="20"/>
                <w:szCs w:val="20"/>
              </w:rPr>
            </w:pPr>
            <w:r>
              <w:rPr>
                <w:rFonts w:cs="宋体"/>
                <w:b/>
                <w:color w:val="000000"/>
                <w:sz w:val="20"/>
                <w:szCs w:val="20"/>
              </w:rPr>
              <w:t>社会保障和就业支出</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2F4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154.28</w:t>
            </w:r>
            <w:r>
              <w:rPr>
                <w:rFonts w:ascii="Times New Roman" w:hAnsi="Times New Roman"/>
                <w:b/>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138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154.28</w:t>
            </w:r>
            <w:r>
              <w:rPr>
                <w:rFonts w:ascii="Times New Roman" w:hAnsi="Times New Roman"/>
                <w:b/>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91A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B27FFA">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915C">
            <w:pPr>
              <w:textAlignment w:val="center"/>
              <w:rPr>
                <w:rFonts w:hint="default" w:cs="宋体"/>
                <w:color w:val="000000"/>
                <w:sz w:val="20"/>
                <w:szCs w:val="20"/>
              </w:rPr>
            </w:pPr>
            <w:r>
              <w:rPr>
                <w:rFonts w:cs="宋体"/>
                <w:b/>
                <w:color w:val="000000"/>
                <w:sz w:val="20"/>
                <w:szCs w:val="20"/>
              </w:rPr>
              <w:t>20805</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3B44F">
            <w:pPr>
              <w:textAlignment w:val="center"/>
              <w:rPr>
                <w:rFonts w:hint="default" w:cs="宋体"/>
                <w:color w:val="000000"/>
                <w:sz w:val="20"/>
                <w:szCs w:val="20"/>
              </w:rPr>
            </w:pPr>
            <w:r>
              <w:rPr>
                <w:rFonts w:cs="宋体"/>
                <w:b/>
                <w:color w:val="000000"/>
                <w:sz w:val="20"/>
                <w:szCs w:val="20"/>
              </w:rPr>
              <w:t>行政事业单位养老支出</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BB3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154.28</w:t>
            </w:r>
            <w:r>
              <w:rPr>
                <w:rFonts w:ascii="Times New Roman" w:hAnsi="Times New Roman"/>
                <w:b/>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88E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154.28</w:t>
            </w:r>
            <w:r>
              <w:rPr>
                <w:rFonts w:ascii="Times New Roman" w:hAnsi="Times New Roman"/>
                <w:b/>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895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E3240A">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09ED">
            <w:pPr>
              <w:textAlignment w:val="center"/>
              <w:rPr>
                <w:rFonts w:hint="default" w:cs="宋体"/>
                <w:color w:val="000000"/>
                <w:sz w:val="20"/>
                <w:szCs w:val="20"/>
              </w:rPr>
            </w:pPr>
            <w:r>
              <w:rPr>
                <w:rFonts w:cs="宋体"/>
                <w:color w:val="000000"/>
                <w:sz w:val="20"/>
                <w:szCs w:val="20"/>
              </w:rPr>
              <w:t>2080505</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A6637">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293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83.99</w:t>
            </w:r>
            <w:r>
              <w:rPr>
                <w:rFonts w:ascii="Times New Roman" w:hAnsi="Times New Roman"/>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B9F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83.99</w:t>
            </w:r>
            <w:r>
              <w:rPr>
                <w:rFonts w:ascii="Times New Roman" w:hAnsi="Times New Roman"/>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EA1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067EE7">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CB60">
            <w:pPr>
              <w:textAlignment w:val="center"/>
              <w:rPr>
                <w:rFonts w:hint="default" w:cs="宋体"/>
                <w:color w:val="000000"/>
                <w:sz w:val="20"/>
                <w:szCs w:val="20"/>
              </w:rPr>
            </w:pPr>
            <w:r>
              <w:rPr>
                <w:rFonts w:cs="宋体"/>
                <w:color w:val="000000"/>
                <w:sz w:val="20"/>
                <w:szCs w:val="20"/>
              </w:rPr>
              <w:t>2080506</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E7EB3">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881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42.00</w:t>
            </w:r>
            <w:r>
              <w:rPr>
                <w:rFonts w:ascii="Times New Roman" w:hAnsi="Times New Roman"/>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23C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42.00</w:t>
            </w:r>
            <w:r>
              <w:rPr>
                <w:rFonts w:ascii="Times New Roman" w:hAnsi="Times New Roman"/>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4B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9E9E93">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402C">
            <w:pPr>
              <w:textAlignment w:val="center"/>
              <w:rPr>
                <w:rFonts w:hint="default" w:cs="宋体"/>
                <w:color w:val="000000"/>
                <w:sz w:val="20"/>
                <w:szCs w:val="20"/>
              </w:rPr>
            </w:pPr>
            <w:r>
              <w:rPr>
                <w:rFonts w:cs="宋体"/>
                <w:color w:val="000000"/>
                <w:sz w:val="20"/>
                <w:szCs w:val="20"/>
              </w:rPr>
              <w:t>2080599</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2835D">
            <w:pPr>
              <w:textAlignment w:val="center"/>
              <w:rPr>
                <w:rFonts w:hint="default" w:cs="宋体"/>
                <w:color w:val="000000"/>
                <w:sz w:val="20"/>
                <w:szCs w:val="20"/>
              </w:rPr>
            </w:pPr>
            <w:r>
              <w:rPr>
                <w:rFonts w:cs="宋体"/>
                <w:color w:val="000000"/>
                <w:sz w:val="20"/>
                <w:szCs w:val="20"/>
              </w:rPr>
              <w:t>其他行政事业单位养老支出</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4AF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28.29</w:t>
            </w:r>
            <w:r>
              <w:rPr>
                <w:rFonts w:ascii="Times New Roman" w:hAnsi="Times New Roman"/>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BBD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28.29</w:t>
            </w:r>
            <w:r>
              <w:rPr>
                <w:rFonts w:ascii="Times New Roman" w:hAnsi="Times New Roman"/>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BF2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9F7023">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A13D">
            <w:pPr>
              <w:textAlignment w:val="center"/>
              <w:rPr>
                <w:rFonts w:hint="default" w:cs="宋体"/>
                <w:color w:val="000000"/>
                <w:sz w:val="20"/>
                <w:szCs w:val="20"/>
              </w:rPr>
            </w:pPr>
            <w:r>
              <w:rPr>
                <w:rFonts w:cs="宋体"/>
                <w:b/>
                <w:color w:val="000000"/>
                <w:sz w:val="20"/>
                <w:szCs w:val="20"/>
              </w:rPr>
              <w:t>210</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2B2D4">
            <w:pPr>
              <w:textAlignment w:val="center"/>
              <w:rPr>
                <w:rFonts w:hint="default" w:cs="宋体"/>
                <w:color w:val="000000"/>
                <w:sz w:val="20"/>
                <w:szCs w:val="20"/>
              </w:rPr>
            </w:pPr>
            <w:r>
              <w:rPr>
                <w:rFonts w:cs="宋体"/>
                <w:b/>
                <w:color w:val="000000"/>
                <w:sz w:val="20"/>
                <w:szCs w:val="20"/>
              </w:rPr>
              <w:t>卫生健康支出</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365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515.23</w:t>
            </w:r>
            <w:r>
              <w:rPr>
                <w:rFonts w:ascii="Times New Roman" w:hAnsi="Times New Roman"/>
                <w:b/>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B09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506.73</w:t>
            </w:r>
            <w:r>
              <w:rPr>
                <w:rFonts w:ascii="Times New Roman" w:hAnsi="Times New Roman"/>
                <w:b/>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172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w:t>
            </w:r>
            <w:r>
              <w:rPr>
                <w:rFonts w:ascii="Times New Roman" w:hAnsi="Times New Roman"/>
                <w:b/>
                <w:color w:val="000000"/>
                <w:sz w:val="20"/>
                <w:u w:color="auto"/>
              </w:rPr>
              <w:t xml:space="preserve"> </w:t>
            </w:r>
          </w:p>
        </w:tc>
      </w:tr>
      <w:tr w14:paraId="409D7210">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A4B8">
            <w:pPr>
              <w:textAlignment w:val="center"/>
              <w:rPr>
                <w:rFonts w:hint="default" w:cs="宋体"/>
                <w:color w:val="000000"/>
                <w:sz w:val="20"/>
                <w:szCs w:val="20"/>
              </w:rPr>
            </w:pPr>
            <w:r>
              <w:rPr>
                <w:rFonts w:cs="宋体"/>
                <w:b/>
                <w:color w:val="000000"/>
                <w:sz w:val="20"/>
                <w:szCs w:val="20"/>
              </w:rPr>
              <w:t>21002</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54A45">
            <w:pPr>
              <w:textAlignment w:val="center"/>
              <w:rPr>
                <w:rFonts w:hint="default" w:cs="宋体"/>
                <w:color w:val="000000"/>
                <w:sz w:val="20"/>
                <w:szCs w:val="20"/>
              </w:rPr>
            </w:pPr>
            <w:r>
              <w:rPr>
                <w:rFonts w:cs="宋体"/>
                <w:b/>
                <w:color w:val="000000"/>
                <w:sz w:val="20"/>
                <w:szCs w:val="20"/>
              </w:rPr>
              <w:t>公立医院</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7E3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467.50</w:t>
            </w:r>
            <w:r>
              <w:rPr>
                <w:rFonts w:ascii="Times New Roman" w:hAnsi="Times New Roman"/>
                <w:b/>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F9F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467.50</w:t>
            </w:r>
            <w:r>
              <w:rPr>
                <w:rFonts w:ascii="Times New Roman" w:hAnsi="Times New Roman"/>
                <w:b/>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052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F479EB">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8182">
            <w:pPr>
              <w:textAlignment w:val="center"/>
              <w:rPr>
                <w:rFonts w:hint="default" w:cs="宋体"/>
                <w:color w:val="000000"/>
                <w:sz w:val="20"/>
                <w:szCs w:val="20"/>
              </w:rPr>
            </w:pPr>
            <w:r>
              <w:rPr>
                <w:rFonts w:cs="宋体"/>
                <w:color w:val="000000"/>
                <w:sz w:val="20"/>
                <w:szCs w:val="20"/>
              </w:rPr>
              <w:t>2100205</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F1DAC">
            <w:pPr>
              <w:textAlignment w:val="center"/>
              <w:rPr>
                <w:rFonts w:hint="default" w:cs="宋体"/>
                <w:color w:val="000000"/>
                <w:sz w:val="20"/>
                <w:szCs w:val="20"/>
              </w:rPr>
            </w:pPr>
            <w:r>
              <w:rPr>
                <w:rFonts w:cs="宋体"/>
                <w:color w:val="000000"/>
                <w:sz w:val="20"/>
                <w:szCs w:val="20"/>
              </w:rPr>
              <w:t>精神病医院</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EEE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467.50</w:t>
            </w:r>
            <w:r>
              <w:rPr>
                <w:rFonts w:ascii="Times New Roman" w:hAnsi="Times New Roman"/>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4F6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467.50</w:t>
            </w:r>
            <w:r>
              <w:rPr>
                <w:rFonts w:ascii="Times New Roman" w:hAnsi="Times New Roman"/>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845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55DB0C">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43F1">
            <w:pPr>
              <w:textAlignment w:val="center"/>
              <w:rPr>
                <w:rFonts w:hint="default" w:cs="宋体"/>
                <w:color w:val="000000"/>
                <w:sz w:val="20"/>
                <w:szCs w:val="20"/>
              </w:rPr>
            </w:pPr>
            <w:r>
              <w:rPr>
                <w:rFonts w:cs="宋体"/>
                <w:b/>
                <w:color w:val="000000"/>
                <w:sz w:val="20"/>
                <w:szCs w:val="20"/>
              </w:rPr>
              <w:t>21004</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E27EF">
            <w:pPr>
              <w:textAlignment w:val="center"/>
              <w:rPr>
                <w:rFonts w:hint="default" w:cs="宋体"/>
                <w:color w:val="000000"/>
                <w:sz w:val="20"/>
                <w:szCs w:val="20"/>
              </w:rPr>
            </w:pPr>
            <w:r>
              <w:rPr>
                <w:rFonts w:cs="宋体"/>
                <w:b/>
                <w:color w:val="000000"/>
                <w:sz w:val="20"/>
                <w:szCs w:val="20"/>
              </w:rPr>
              <w:t>公共卫生</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826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w:t>
            </w:r>
            <w:r>
              <w:rPr>
                <w:rFonts w:ascii="Times New Roman" w:hAnsi="Times New Roman"/>
                <w:b/>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555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F1C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w:t>
            </w:r>
            <w:r>
              <w:rPr>
                <w:rFonts w:ascii="Times New Roman" w:hAnsi="Times New Roman"/>
                <w:b/>
                <w:color w:val="000000"/>
                <w:sz w:val="20"/>
                <w:u w:color="auto"/>
              </w:rPr>
              <w:t xml:space="preserve"> </w:t>
            </w:r>
          </w:p>
        </w:tc>
      </w:tr>
      <w:tr w14:paraId="10D1DFE0">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CF7D">
            <w:pPr>
              <w:textAlignment w:val="center"/>
              <w:rPr>
                <w:rFonts w:hint="default" w:cs="宋体"/>
                <w:color w:val="000000"/>
                <w:sz w:val="20"/>
                <w:szCs w:val="20"/>
              </w:rPr>
            </w:pPr>
            <w:r>
              <w:rPr>
                <w:rFonts w:cs="宋体"/>
                <w:color w:val="000000"/>
                <w:sz w:val="20"/>
                <w:szCs w:val="20"/>
              </w:rPr>
              <w:t>2100408</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786B9">
            <w:pPr>
              <w:textAlignment w:val="center"/>
              <w:rPr>
                <w:rFonts w:hint="default" w:cs="宋体"/>
                <w:color w:val="000000"/>
                <w:sz w:val="20"/>
                <w:szCs w:val="20"/>
              </w:rPr>
            </w:pPr>
            <w:r>
              <w:rPr>
                <w:rFonts w:cs="宋体"/>
                <w:color w:val="000000"/>
                <w:sz w:val="20"/>
                <w:szCs w:val="20"/>
              </w:rPr>
              <w:t>基本公共卫生服务</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0E2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01D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936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14:paraId="13805BBF">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AE41">
            <w:pPr>
              <w:textAlignment w:val="center"/>
              <w:rPr>
                <w:rFonts w:hint="default" w:cs="宋体"/>
                <w:color w:val="000000"/>
                <w:sz w:val="20"/>
                <w:szCs w:val="20"/>
              </w:rPr>
            </w:pPr>
            <w:r>
              <w:rPr>
                <w:rFonts w:cs="宋体"/>
                <w:color w:val="000000"/>
                <w:sz w:val="20"/>
                <w:szCs w:val="20"/>
              </w:rPr>
              <w:t>2100409</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34358">
            <w:pPr>
              <w:textAlignment w:val="center"/>
              <w:rPr>
                <w:rFonts w:hint="default" w:cs="宋体"/>
                <w:color w:val="000000"/>
                <w:sz w:val="20"/>
                <w:szCs w:val="20"/>
              </w:rPr>
            </w:pPr>
            <w:r>
              <w:rPr>
                <w:rFonts w:cs="宋体"/>
                <w:color w:val="000000"/>
                <w:sz w:val="20"/>
                <w:szCs w:val="20"/>
              </w:rPr>
              <w:t>重大公共卫生服务</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ED5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0.50</w:t>
            </w:r>
            <w:r>
              <w:rPr>
                <w:rFonts w:ascii="Times New Roman" w:hAnsi="Times New Roman"/>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5AE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413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0.50</w:t>
            </w:r>
            <w:r>
              <w:rPr>
                <w:rFonts w:ascii="Times New Roman" w:hAnsi="Times New Roman"/>
                <w:color w:val="000000"/>
                <w:sz w:val="20"/>
                <w:u w:color="auto"/>
              </w:rPr>
              <w:t xml:space="preserve"> </w:t>
            </w:r>
          </w:p>
        </w:tc>
      </w:tr>
      <w:tr w14:paraId="04DF3249">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C8CE">
            <w:pPr>
              <w:textAlignment w:val="center"/>
              <w:rPr>
                <w:rFonts w:hint="default" w:cs="宋体"/>
                <w:color w:val="000000"/>
                <w:sz w:val="20"/>
                <w:szCs w:val="20"/>
              </w:rPr>
            </w:pPr>
            <w:r>
              <w:rPr>
                <w:rFonts w:cs="宋体"/>
                <w:b/>
                <w:color w:val="000000"/>
                <w:sz w:val="20"/>
                <w:szCs w:val="20"/>
              </w:rPr>
              <w:t>21011</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BEF1">
            <w:pPr>
              <w:textAlignment w:val="center"/>
              <w:rPr>
                <w:rFonts w:hint="default" w:cs="宋体"/>
                <w:color w:val="000000"/>
                <w:sz w:val="20"/>
                <w:szCs w:val="20"/>
              </w:rPr>
            </w:pPr>
            <w:r>
              <w:rPr>
                <w:rFonts w:cs="宋体"/>
                <w:b/>
                <w:color w:val="000000"/>
                <w:sz w:val="20"/>
                <w:szCs w:val="20"/>
              </w:rPr>
              <w:t>行政事业单位医疗</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195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39.23</w:t>
            </w:r>
            <w:r>
              <w:rPr>
                <w:rFonts w:ascii="Times New Roman" w:hAnsi="Times New Roman"/>
                <w:b/>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225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39.23</w:t>
            </w:r>
            <w:r>
              <w:rPr>
                <w:rFonts w:ascii="Times New Roman" w:hAnsi="Times New Roman"/>
                <w:b/>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F97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EBF038">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1012">
            <w:pPr>
              <w:textAlignment w:val="center"/>
              <w:rPr>
                <w:rFonts w:hint="default" w:cs="宋体"/>
                <w:color w:val="000000"/>
                <w:sz w:val="20"/>
                <w:szCs w:val="20"/>
              </w:rPr>
            </w:pPr>
            <w:r>
              <w:rPr>
                <w:rFonts w:cs="宋体"/>
                <w:color w:val="000000"/>
                <w:sz w:val="20"/>
                <w:szCs w:val="20"/>
              </w:rPr>
              <w:t>2101102</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52B98">
            <w:pPr>
              <w:textAlignment w:val="center"/>
              <w:rPr>
                <w:rFonts w:hint="default" w:cs="宋体"/>
                <w:color w:val="000000"/>
                <w:sz w:val="20"/>
                <w:szCs w:val="20"/>
              </w:rPr>
            </w:pPr>
            <w:r>
              <w:rPr>
                <w:rFonts w:cs="宋体"/>
                <w:color w:val="000000"/>
                <w:sz w:val="20"/>
                <w:szCs w:val="20"/>
              </w:rPr>
              <w:t>事业单位医疗</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DB1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30.06</w:t>
            </w:r>
            <w:r>
              <w:rPr>
                <w:rFonts w:ascii="Times New Roman" w:hAnsi="Times New Roman"/>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37E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30.06</w:t>
            </w:r>
            <w:r>
              <w:rPr>
                <w:rFonts w:ascii="Times New Roman" w:hAnsi="Times New Roman"/>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409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4B1CD4">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3492">
            <w:pPr>
              <w:textAlignment w:val="center"/>
              <w:rPr>
                <w:rFonts w:hint="default" w:cs="宋体"/>
                <w:color w:val="000000"/>
                <w:sz w:val="20"/>
                <w:szCs w:val="20"/>
              </w:rPr>
            </w:pPr>
            <w:r>
              <w:rPr>
                <w:rFonts w:cs="宋体"/>
                <w:color w:val="000000"/>
                <w:sz w:val="20"/>
                <w:szCs w:val="20"/>
              </w:rPr>
              <w:t>2101199</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9BE4E">
            <w:pPr>
              <w:textAlignment w:val="center"/>
              <w:rPr>
                <w:rFonts w:hint="default" w:cs="宋体"/>
                <w:color w:val="000000"/>
                <w:sz w:val="20"/>
                <w:szCs w:val="20"/>
              </w:rPr>
            </w:pPr>
            <w:r>
              <w:rPr>
                <w:rFonts w:cs="宋体"/>
                <w:color w:val="000000"/>
                <w:sz w:val="20"/>
                <w:szCs w:val="20"/>
              </w:rPr>
              <w:t>其他行政事业单位医疗支出</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D1B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20A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761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E373A3">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6F22">
            <w:pPr>
              <w:textAlignment w:val="center"/>
              <w:rPr>
                <w:rFonts w:hint="default" w:cs="宋体"/>
                <w:color w:val="000000"/>
                <w:sz w:val="20"/>
                <w:szCs w:val="20"/>
              </w:rPr>
            </w:pPr>
            <w:r>
              <w:rPr>
                <w:rFonts w:cs="宋体"/>
                <w:b/>
                <w:color w:val="000000"/>
                <w:sz w:val="20"/>
                <w:szCs w:val="20"/>
              </w:rPr>
              <w:t>221</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ED6CD">
            <w:pPr>
              <w:textAlignment w:val="center"/>
              <w:rPr>
                <w:rFonts w:hint="default" w:cs="宋体"/>
                <w:color w:val="000000"/>
                <w:sz w:val="20"/>
                <w:szCs w:val="20"/>
              </w:rPr>
            </w:pPr>
            <w:r>
              <w:rPr>
                <w:rFonts w:cs="宋体"/>
                <w:b/>
                <w:color w:val="000000"/>
                <w:sz w:val="20"/>
                <w:szCs w:val="20"/>
              </w:rPr>
              <w:t>住房保障支出</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529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42.44</w:t>
            </w:r>
            <w:r>
              <w:rPr>
                <w:rFonts w:ascii="Times New Roman" w:hAnsi="Times New Roman"/>
                <w:b/>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C74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42.44</w:t>
            </w:r>
            <w:r>
              <w:rPr>
                <w:rFonts w:ascii="Times New Roman" w:hAnsi="Times New Roman"/>
                <w:b/>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7AF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61C5B2">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1222">
            <w:pPr>
              <w:textAlignment w:val="center"/>
              <w:rPr>
                <w:rFonts w:hint="default" w:cs="宋体"/>
                <w:color w:val="000000"/>
                <w:sz w:val="20"/>
                <w:szCs w:val="20"/>
              </w:rPr>
            </w:pPr>
            <w:r>
              <w:rPr>
                <w:rFonts w:cs="宋体"/>
                <w:b/>
                <w:color w:val="000000"/>
                <w:sz w:val="20"/>
                <w:szCs w:val="20"/>
              </w:rPr>
              <w:t>22102</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134B9">
            <w:pPr>
              <w:textAlignment w:val="center"/>
              <w:rPr>
                <w:rFonts w:hint="default" w:cs="宋体"/>
                <w:color w:val="000000"/>
                <w:sz w:val="20"/>
                <w:szCs w:val="20"/>
              </w:rPr>
            </w:pPr>
            <w:r>
              <w:rPr>
                <w:rFonts w:cs="宋体"/>
                <w:b/>
                <w:color w:val="000000"/>
                <w:sz w:val="20"/>
                <w:szCs w:val="20"/>
              </w:rPr>
              <w:t>住房改革支出</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5B1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42.44</w:t>
            </w:r>
            <w:r>
              <w:rPr>
                <w:rFonts w:ascii="Times New Roman" w:hAnsi="Times New Roman"/>
                <w:b/>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435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42.44</w:t>
            </w:r>
            <w:r>
              <w:rPr>
                <w:rFonts w:ascii="Times New Roman" w:hAnsi="Times New Roman"/>
                <w:b/>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30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1BA5FB">
        <w:tblPrEx>
          <w:tblCellMar>
            <w:top w:w="0" w:type="dxa"/>
            <w:left w:w="0" w:type="dxa"/>
            <w:bottom w:w="0" w:type="dxa"/>
            <w:right w:w="0" w:type="dxa"/>
          </w:tblCellMar>
        </w:tblPrEx>
        <w:trPr>
          <w:trHeight w:val="308" w:hRule="atLeast"/>
        </w:trPr>
        <w:tc>
          <w:tcPr>
            <w:tcW w:w="130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1670A">
            <w:pPr>
              <w:textAlignment w:val="center"/>
              <w:rPr>
                <w:rFonts w:hint="default" w:cs="宋体"/>
                <w:color w:val="000000"/>
                <w:sz w:val="20"/>
                <w:szCs w:val="20"/>
              </w:rPr>
            </w:pPr>
            <w:r>
              <w:rPr>
                <w:rFonts w:cs="宋体"/>
                <w:color w:val="000000"/>
                <w:sz w:val="20"/>
                <w:szCs w:val="20"/>
              </w:rPr>
              <w:t>2210201</w:t>
            </w:r>
          </w:p>
        </w:tc>
        <w:tc>
          <w:tcPr>
            <w:tcW w:w="40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EB7F6">
            <w:pPr>
              <w:textAlignment w:val="center"/>
              <w:rPr>
                <w:rFonts w:hint="default" w:cs="宋体"/>
                <w:color w:val="000000"/>
                <w:sz w:val="20"/>
                <w:szCs w:val="20"/>
              </w:rPr>
            </w:pPr>
            <w:r>
              <w:rPr>
                <w:rFonts w:cs="宋体"/>
                <w:color w:val="000000"/>
                <w:sz w:val="20"/>
                <w:szCs w:val="20"/>
              </w:rPr>
              <w:t>住房公积金</w:t>
            </w:r>
          </w:p>
        </w:tc>
        <w:tc>
          <w:tcPr>
            <w:tcW w:w="330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0A4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42.44</w:t>
            </w:r>
            <w:r>
              <w:rPr>
                <w:rFonts w:ascii="Times New Roman" w:hAnsi="Times New Roman"/>
                <w:color w:val="000000"/>
                <w:sz w:val="20"/>
                <w:u w:color="auto"/>
              </w:rPr>
              <w:t xml:space="preserve"> </w:t>
            </w:r>
          </w:p>
        </w:tc>
        <w:tc>
          <w:tcPr>
            <w:tcW w:w="329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C74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42.44</w:t>
            </w:r>
            <w:r>
              <w:rPr>
                <w:rFonts w:ascii="Times New Roman" w:hAnsi="Times New Roman"/>
                <w:color w:val="000000"/>
                <w:sz w:val="20"/>
                <w:u w:color="auto"/>
              </w:rPr>
              <w:t xml:space="preserve"> </w:t>
            </w:r>
          </w:p>
        </w:tc>
        <w:tc>
          <w:tcPr>
            <w:tcW w:w="334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D6C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FD01D2">
        <w:tblPrEx>
          <w:tblCellMar>
            <w:top w:w="0" w:type="dxa"/>
            <w:left w:w="0" w:type="dxa"/>
            <w:bottom w:w="0" w:type="dxa"/>
            <w:right w:w="0" w:type="dxa"/>
          </w:tblCellMar>
        </w:tblPrEx>
        <w:trPr>
          <w:gridAfter w:val="1"/>
          <w:wAfter w:w="18" w:type="dxa"/>
          <w:trHeight w:val="90" w:hRule="atLeast"/>
        </w:trPr>
        <w:tc>
          <w:tcPr>
            <w:tcW w:w="15304" w:type="dxa"/>
            <w:gridSpan w:val="13"/>
            <w:tcBorders>
              <w:top w:val="nil"/>
              <w:left w:val="nil"/>
              <w:bottom w:val="nil"/>
              <w:right w:val="nil"/>
            </w:tcBorders>
            <w:shd w:val="clear" w:color="auto" w:fill="auto"/>
            <w:noWrap/>
            <w:tcMar>
              <w:top w:w="15" w:type="dxa"/>
              <w:left w:w="15" w:type="dxa"/>
              <w:right w:w="15" w:type="dxa"/>
            </w:tcMar>
            <w:vAlign w:val="bottom"/>
          </w:tcPr>
          <w:p w14:paraId="15EE87A0">
            <w:pPr>
              <w:jc w:val="center"/>
              <w:rPr>
                <w:rFonts w:hint="default" w:cs="宋体"/>
                <w:b/>
                <w:color w:val="000000"/>
                <w:sz w:val="32"/>
                <w:szCs w:val="32"/>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b/>
                <w:color w:val="000000"/>
                <w:sz w:val="32"/>
                <w:szCs w:val="32"/>
              </w:rPr>
              <w:t>一般公共预算财政拨款基本支出决算表</w:t>
            </w:r>
          </w:p>
        </w:tc>
      </w:tr>
      <w:tr w14:paraId="7ADE8574">
        <w:tblPrEx>
          <w:tblCellMar>
            <w:top w:w="0" w:type="dxa"/>
            <w:left w:w="0" w:type="dxa"/>
            <w:bottom w:w="0" w:type="dxa"/>
            <w:right w:w="0" w:type="dxa"/>
          </w:tblCellMar>
        </w:tblPrEx>
        <w:trPr>
          <w:gridAfter w:val="1"/>
          <w:wAfter w:w="18" w:type="dxa"/>
          <w:trHeight w:val="334" w:hRule="atLeast"/>
        </w:trPr>
        <w:tc>
          <w:tcPr>
            <w:tcW w:w="8058" w:type="dxa"/>
            <w:gridSpan w:val="7"/>
            <w:vMerge w:val="restart"/>
            <w:tcBorders>
              <w:top w:val="nil"/>
              <w:left w:val="nil"/>
              <w:right w:val="nil"/>
            </w:tcBorders>
            <w:shd w:val="clear" w:color="auto" w:fill="auto"/>
            <w:noWrap/>
            <w:tcMar>
              <w:top w:w="15" w:type="dxa"/>
              <w:left w:w="15" w:type="dxa"/>
              <w:right w:w="15" w:type="dxa"/>
            </w:tcMar>
            <w:vAlign w:val="bottom"/>
          </w:tcPr>
          <w:p w14:paraId="3CBA217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丰都县精神病医院</w:t>
            </w:r>
            <w:bookmarkStart w:id="0" w:name="_GoBack"/>
            <w:bookmarkEnd w:id="0"/>
          </w:p>
        </w:tc>
        <w:tc>
          <w:tcPr>
            <w:tcW w:w="1418" w:type="dxa"/>
            <w:gridSpan w:val="2"/>
            <w:tcBorders>
              <w:top w:val="nil"/>
              <w:left w:val="nil"/>
              <w:bottom w:val="nil"/>
              <w:right w:val="nil"/>
            </w:tcBorders>
            <w:shd w:val="clear" w:color="auto" w:fill="auto"/>
            <w:noWrap/>
            <w:tcMar>
              <w:top w:w="15" w:type="dxa"/>
              <w:left w:w="15" w:type="dxa"/>
              <w:right w:w="15" w:type="dxa"/>
            </w:tcMar>
            <w:vAlign w:val="bottom"/>
          </w:tcPr>
          <w:p w14:paraId="6DAC068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170AFBB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gridSpan w:val="2"/>
            <w:tcBorders>
              <w:top w:val="nil"/>
              <w:left w:val="nil"/>
              <w:bottom w:val="nil"/>
              <w:right w:val="nil"/>
            </w:tcBorders>
            <w:shd w:val="clear" w:color="auto" w:fill="auto"/>
            <w:noWrap/>
            <w:tcMar>
              <w:top w:w="15" w:type="dxa"/>
              <w:left w:w="15" w:type="dxa"/>
              <w:right w:w="15" w:type="dxa"/>
            </w:tcMar>
            <w:vAlign w:val="bottom"/>
          </w:tcPr>
          <w:p w14:paraId="5864B1F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2FC958A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11D88412">
        <w:tblPrEx>
          <w:tblCellMar>
            <w:top w:w="0" w:type="dxa"/>
            <w:left w:w="0" w:type="dxa"/>
            <w:bottom w:w="0" w:type="dxa"/>
            <w:right w:w="0" w:type="dxa"/>
          </w:tblCellMar>
        </w:tblPrEx>
        <w:trPr>
          <w:gridAfter w:val="1"/>
          <w:wAfter w:w="18" w:type="dxa"/>
          <w:trHeight w:val="520" w:hRule="atLeast"/>
        </w:trPr>
        <w:tc>
          <w:tcPr>
            <w:tcW w:w="8058" w:type="dxa"/>
            <w:gridSpan w:val="7"/>
            <w:vMerge w:val="continue"/>
            <w:tcBorders>
              <w:left w:val="nil"/>
              <w:bottom w:val="nil"/>
              <w:right w:val="nil"/>
            </w:tcBorders>
            <w:shd w:val="clear" w:color="auto" w:fill="auto"/>
            <w:noWrap/>
            <w:tcMar>
              <w:top w:w="15" w:type="dxa"/>
              <w:left w:w="15" w:type="dxa"/>
              <w:right w:w="15" w:type="dxa"/>
            </w:tcMar>
            <w:vAlign w:val="bottom"/>
          </w:tcPr>
          <w:p w14:paraId="65EB779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gridSpan w:val="2"/>
            <w:tcBorders>
              <w:top w:val="nil"/>
              <w:left w:val="nil"/>
              <w:bottom w:val="nil"/>
              <w:right w:val="nil"/>
            </w:tcBorders>
            <w:shd w:val="clear" w:color="auto" w:fill="auto"/>
            <w:noWrap/>
            <w:tcMar>
              <w:top w:w="15" w:type="dxa"/>
              <w:left w:w="15" w:type="dxa"/>
              <w:right w:w="15" w:type="dxa"/>
            </w:tcMar>
            <w:vAlign w:val="bottom"/>
          </w:tcPr>
          <w:p w14:paraId="50DC637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14DEF59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gridSpan w:val="2"/>
            <w:tcBorders>
              <w:top w:val="nil"/>
              <w:left w:val="nil"/>
              <w:bottom w:val="nil"/>
              <w:right w:val="nil"/>
            </w:tcBorders>
            <w:shd w:val="clear" w:color="auto" w:fill="auto"/>
            <w:noWrap/>
            <w:tcMar>
              <w:top w:w="15" w:type="dxa"/>
              <w:left w:w="15" w:type="dxa"/>
              <w:right w:w="15" w:type="dxa"/>
            </w:tcMar>
            <w:vAlign w:val="bottom"/>
          </w:tcPr>
          <w:p w14:paraId="3206EE6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2253905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8E9AF5">
        <w:tblPrEx>
          <w:tblCellMar>
            <w:top w:w="0" w:type="dxa"/>
            <w:left w:w="0" w:type="dxa"/>
            <w:bottom w:w="0" w:type="dxa"/>
            <w:right w:w="0" w:type="dxa"/>
          </w:tblCellMar>
        </w:tblPrEx>
        <w:trPr>
          <w:gridAfter w:val="1"/>
          <w:wAfter w:w="18" w:type="dxa"/>
          <w:trHeight w:val="90" w:hRule="atLeast"/>
        </w:trPr>
        <w:tc>
          <w:tcPr>
            <w:tcW w:w="515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183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342E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7BD8485">
        <w:tblPrEx>
          <w:tblCellMar>
            <w:top w:w="0" w:type="dxa"/>
            <w:left w:w="0" w:type="dxa"/>
            <w:bottom w:w="0" w:type="dxa"/>
            <w:right w:w="0" w:type="dxa"/>
          </w:tblCellMar>
        </w:tblPrEx>
        <w:trPr>
          <w:gridAfter w:val="1"/>
          <w:wAfter w:w="18" w:type="dxa"/>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C3B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F214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19C6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F89F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6A4C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1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DE4F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EC4D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008A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66376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B6DDEFF">
        <w:tblPrEx>
          <w:tblCellMar>
            <w:top w:w="0" w:type="dxa"/>
            <w:left w:w="0" w:type="dxa"/>
            <w:bottom w:w="0" w:type="dxa"/>
            <w:right w:w="0" w:type="dxa"/>
          </w:tblCellMar>
        </w:tblPrEx>
        <w:trPr>
          <w:gridAfter w:val="1"/>
          <w:wAfter w:w="18" w:type="dxa"/>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DFF1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8ECA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CF71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ED1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43F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9A13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DF38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2831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9D7A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1954E016">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2B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5B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59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262.94</w:t>
            </w: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CA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7D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70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C9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C8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36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A003AC">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70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0A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38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50.94</w:t>
            </w: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0F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00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89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54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09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55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31AF2F">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B4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73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7A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w:t>
            </w: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E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7A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45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DA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1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EC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306656">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9B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08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25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E9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4E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95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3F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D1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D9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C08EF2">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38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9C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95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E7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64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16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AE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EE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3A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B8A484">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14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E4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68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8B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94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C9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44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29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E0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7BC007">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B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D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3A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83.99</w:t>
            </w: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F5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D5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04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A5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1E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E8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13297F">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89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51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21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42.00</w:t>
            </w: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D3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54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A9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C69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A1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82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4640C4">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A2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D1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CF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30.06</w:t>
            </w: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28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5D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68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79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98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BB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717F6A">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EB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66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0E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43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62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FE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4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43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FD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606B36">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B0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58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34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D1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30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52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03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7F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DA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24C1D6">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0D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D6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F1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42.44</w:t>
            </w: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60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EF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D5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ED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FB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0F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FF0500">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E2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D2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74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6.37</w:t>
            </w: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E2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96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AE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72.55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17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D2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46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7EC3D2">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24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D6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21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2A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26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30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A8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59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0A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24072">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68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91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E2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31.09</w:t>
            </w: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9F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A4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81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DB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F0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7749D4">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DA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97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99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6B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BB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DD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26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94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C1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331913">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C3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AB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C2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76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96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4D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1A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0E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95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40DA9E">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37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20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9E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21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18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68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BA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16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8E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7F1B4A">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3C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A1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D6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A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A1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BC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82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D0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22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A44B12">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EE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DC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3B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28.29</w:t>
            </w: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69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E4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E3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00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2C6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D0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A46C25">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5C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9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CD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EB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69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4A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0B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37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C0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AAEB58">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74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BD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59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AA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BA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16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EF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8A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E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60D8C1">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CE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E3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50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35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4E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5C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DD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3516">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4F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815ACA">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E7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FA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8C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DC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55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7C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08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CF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80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3D7F37">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C8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87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55B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89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EA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50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96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EA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72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4E472A">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2D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78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F2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EF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37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0C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91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60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E5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F3C179">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0C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83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7B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E3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35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60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5E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1C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3D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2363D6">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EE0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242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0D63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19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8D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91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90.28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4D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71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9C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5A8AAB">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791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BB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AFE51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7D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6B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AE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785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7C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D8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74F8D2">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165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6D1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C931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12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4C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A4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11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3C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80A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30E918">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725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78F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6FA4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97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81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E0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686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906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7B3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DE3C0AA">
        <w:tblPrEx>
          <w:tblCellMar>
            <w:top w:w="0" w:type="dxa"/>
            <w:left w:w="0" w:type="dxa"/>
            <w:bottom w:w="0" w:type="dxa"/>
            <w:right w:w="0" w:type="dxa"/>
          </w:tblCellMar>
        </w:tblPrEx>
        <w:trPr>
          <w:gridAfter w:val="1"/>
          <w:wAfter w:w="18" w:type="dxa"/>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B52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45B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FC905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5C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37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DF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7E67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88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2A2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AF1D8B4">
        <w:tblPrEx>
          <w:tblCellMar>
            <w:top w:w="0" w:type="dxa"/>
            <w:left w:w="0" w:type="dxa"/>
            <w:bottom w:w="0" w:type="dxa"/>
            <w:right w:w="0" w:type="dxa"/>
          </w:tblCellMar>
        </w:tblPrEx>
        <w:trPr>
          <w:gridAfter w:val="1"/>
          <w:wAfter w:w="18" w:type="dxa"/>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E5C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E4E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3C9E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A6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95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C0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DB7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A13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8F9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3454CE8">
        <w:tblPrEx>
          <w:tblCellMar>
            <w:top w:w="0" w:type="dxa"/>
            <w:left w:w="0" w:type="dxa"/>
            <w:bottom w:w="0" w:type="dxa"/>
            <w:right w:w="0" w:type="dxa"/>
          </w:tblCellMar>
        </w:tblPrEx>
        <w:trPr>
          <w:gridAfter w:val="1"/>
          <w:wAfter w:w="18" w:type="dxa"/>
          <w:trHeight w:val="216" w:hRule="atLeast"/>
        </w:trPr>
        <w:tc>
          <w:tcPr>
            <w:tcW w:w="361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C80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99DDA">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294.03</w:t>
            </w:r>
            <w:r>
              <w:rPr>
                <w:rFonts w:ascii="Times New Roman" w:hAnsi="Times New Roman"/>
                <w:color w:val="000000"/>
                <w:sz w:val="18"/>
                <w:u w:color="auto"/>
              </w:rPr>
              <w:t xml:space="preserve"> </w:t>
            </w:r>
          </w:p>
        </w:tc>
        <w:tc>
          <w:tcPr>
            <w:tcW w:w="8659"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539A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82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409.43</w:t>
            </w:r>
            <w:r>
              <w:rPr>
                <w:rFonts w:ascii="Times New Roman" w:hAnsi="Times New Roman"/>
                <w:color w:val="000000"/>
                <w:sz w:val="18"/>
                <w:u w:color="auto"/>
              </w:rPr>
              <w:t xml:space="preserve"> </w:t>
            </w:r>
          </w:p>
        </w:tc>
      </w:tr>
    </w:tbl>
    <w:p w14:paraId="5F5A6177">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4DE1B4F">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A81CED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47DF2A2">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0AC7013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丰都县精神病医院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12A9001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D3A669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79A44D9">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89CC8EF">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C37357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0B16BA7D">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56F9385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2AD3AC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FF05BC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EA69854">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C84C1DA">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2F4EAF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8A298C">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7B3F1">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CF4BC1">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E7C8F">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81E399">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106E8">
            <w:pPr>
              <w:jc w:val="center"/>
              <w:textAlignment w:val="center"/>
              <w:rPr>
                <w:rFonts w:hint="default" w:cs="宋体"/>
                <w:b/>
                <w:color w:val="000000"/>
                <w:sz w:val="20"/>
                <w:szCs w:val="20"/>
              </w:rPr>
            </w:pPr>
            <w:r>
              <w:rPr>
                <w:rFonts w:cs="宋体"/>
                <w:b/>
                <w:color w:val="000000"/>
                <w:sz w:val="20"/>
                <w:szCs w:val="20"/>
              </w:rPr>
              <w:t>年末结转和结余</w:t>
            </w:r>
          </w:p>
        </w:tc>
      </w:tr>
      <w:tr w14:paraId="089B3D8E">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A7DF">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E2F8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42978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78288">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F5A64">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680BE">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5FA18">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088F5">
            <w:pPr>
              <w:jc w:val="center"/>
              <w:rPr>
                <w:rFonts w:hint="default" w:cs="宋体"/>
                <w:b/>
                <w:color w:val="000000"/>
                <w:sz w:val="20"/>
                <w:szCs w:val="20"/>
              </w:rPr>
            </w:pPr>
          </w:p>
        </w:tc>
      </w:tr>
      <w:tr w14:paraId="42E8E34B">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67E83">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74D03">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D09F8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C161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0EDE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4F116">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C2E01">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272EE">
            <w:pPr>
              <w:jc w:val="center"/>
              <w:rPr>
                <w:rFonts w:hint="default" w:cs="宋体"/>
                <w:b/>
                <w:color w:val="000000"/>
                <w:sz w:val="20"/>
                <w:szCs w:val="20"/>
              </w:rPr>
            </w:pPr>
          </w:p>
        </w:tc>
      </w:tr>
      <w:tr w14:paraId="6323D08B">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9053B">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3EF1">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9D5D3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D6A5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75C2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85DA5">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5635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55867">
            <w:pPr>
              <w:jc w:val="center"/>
              <w:rPr>
                <w:rFonts w:hint="default" w:cs="宋体"/>
                <w:b/>
                <w:color w:val="000000"/>
                <w:sz w:val="20"/>
                <w:szCs w:val="20"/>
              </w:rPr>
            </w:pPr>
          </w:p>
        </w:tc>
      </w:tr>
      <w:tr w14:paraId="2CC276DB">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B48DB">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2ED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6D3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2F6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277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50E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DE9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090D530">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32C1">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AF7E8">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69A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3A1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593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1D1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963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49F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66B4E7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964D42F">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5D43526">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3A1B0DE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B510D9A">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1AD17D6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丰都县精神病医院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95CA9C4">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7368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11B4D223">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08A964EF">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7F5B1B9">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0A38F64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7F0EBD">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157BCE">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2EDC12">
            <w:pPr>
              <w:jc w:val="center"/>
              <w:textAlignment w:val="bottom"/>
              <w:rPr>
                <w:rFonts w:hint="default" w:cs="宋体"/>
                <w:b/>
                <w:color w:val="000000"/>
                <w:sz w:val="20"/>
                <w:szCs w:val="20"/>
              </w:rPr>
            </w:pPr>
            <w:r>
              <w:rPr>
                <w:rFonts w:cs="宋体"/>
                <w:b/>
                <w:color w:val="000000"/>
                <w:sz w:val="20"/>
                <w:szCs w:val="20"/>
              </w:rPr>
              <w:t>本年支出</w:t>
            </w:r>
          </w:p>
        </w:tc>
      </w:tr>
      <w:tr w14:paraId="7FF7081B">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9962">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AF03A">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1EA9D">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1569E">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26F9E">
            <w:pPr>
              <w:jc w:val="center"/>
              <w:textAlignment w:val="center"/>
              <w:rPr>
                <w:rFonts w:hint="default" w:cs="宋体"/>
                <w:b/>
                <w:color w:val="000000"/>
                <w:sz w:val="20"/>
                <w:szCs w:val="20"/>
              </w:rPr>
            </w:pPr>
            <w:r>
              <w:rPr>
                <w:rFonts w:cs="宋体"/>
                <w:b/>
                <w:color w:val="000000"/>
                <w:sz w:val="20"/>
                <w:szCs w:val="20"/>
              </w:rPr>
              <w:t>项目支出</w:t>
            </w:r>
          </w:p>
        </w:tc>
      </w:tr>
      <w:tr w14:paraId="376BE691">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75864">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4D31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DB5B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B331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818DC">
            <w:pPr>
              <w:jc w:val="center"/>
              <w:rPr>
                <w:rFonts w:hint="default" w:cs="宋体"/>
                <w:b/>
                <w:color w:val="000000"/>
                <w:sz w:val="20"/>
                <w:szCs w:val="20"/>
              </w:rPr>
            </w:pPr>
          </w:p>
        </w:tc>
      </w:tr>
      <w:tr w14:paraId="636F7F8F">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05460">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4F0D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77344">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213A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CB54F">
            <w:pPr>
              <w:jc w:val="center"/>
              <w:rPr>
                <w:rFonts w:hint="default" w:cs="宋体"/>
                <w:b/>
                <w:color w:val="000000"/>
                <w:sz w:val="20"/>
                <w:szCs w:val="20"/>
              </w:rPr>
            </w:pPr>
          </w:p>
        </w:tc>
      </w:tr>
      <w:tr w14:paraId="5B4C6CCE">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B5DA">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1AE82">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EF0D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82A36">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7B486">
            <w:pPr>
              <w:jc w:val="center"/>
              <w:rPr>
                <w:rFonts w:hint="default" w:cs="宋体"/>
                <w:b/>
                <w:color w:val="000000"/>
                <w:sz w:val="20"/>
                <w:szCs w:val="20"/>
              </w:rPr>
            </w:pPr>
          </w:p>
        </w:tc>
      </w:tr>
      <w:tr w14:paraId="6E029920">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2A26C">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2D7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95CC3">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C4D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371965C">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4EA8">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B4ADA">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666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BB0B8">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321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C4F810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2F07319">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59BFCA54">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52A03C9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7587FFD">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5EF062A8">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1395B76A">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149BFDE4">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1AED44ED">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4E8F3E1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D898674">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4F7F4BE">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丰都县精神病医院</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6C25B2F3">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6F343243">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19E302D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5FCB178">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470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1A84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825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E5E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6E7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E8AB19C">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7E3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CC9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927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D732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552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5C5D3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75F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50A1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428A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276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6BE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4D972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D2E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AEB9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65A7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41A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D22E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04B89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1BB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03D8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208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D45E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E7869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C99D9C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BDBA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BE7F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697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B7DD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CE5E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14:paraId="4A8B68E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934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42F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1972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05E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348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3E370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BA7C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044B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E38D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B03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2A6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6AFA2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FED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83D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3D9A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0DF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4E0F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7F10F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B311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FF6B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EE65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903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8421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14:paraId="3D96DFB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D31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BEFF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20D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5DBD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417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6E3B6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029F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578E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7E8AD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968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9B69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F1277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058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A484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5317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FB5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6085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44AD6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D02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E3A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7758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8A9E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3BF6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82FEC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DC7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F36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6CE1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473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4FBF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61BE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58F0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1BA2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48B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FD6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7C1EA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3841AA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5D3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047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4B47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046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4AA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r>
      <w:tr w14:paraId="4FB028F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B71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C8F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683B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286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8030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r>
      <w:tr w14:paraId="451E3E9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753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D13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2259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4F4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78B6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DFF0A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ECD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95B5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30D5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2B6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FBE8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4E3BD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8766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73FE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18AB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469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E55C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r>
      <w:tr w14:paraId="32FC8F0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D6DC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07E9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C89A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D25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5806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r>
      <w:tr w14:paraId="334EAEE9">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DF3D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C9E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9C0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42C6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C9BA3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3FCBC7">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A16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5CB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FC2E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A1F74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9166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A947690">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041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9BE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A19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6.86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382F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B7025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9A8908E">
      <w:pPr>
        <w:rPr>
          <w:rFonts w:hint="eastAsia" w:eastAsia="宋体" w:cs="宋体"/>
          <w:sz w:val="18"/>
          <w:szCs w:val="18"/>
          <w:lang w:eastAsia="zh-CN"/>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hint="eastAsia" w:cs="宋体"/>
          <w:sz w:val="18"/>
          <w:szCs w:val="18"/>
          <w:lang w:eastAsia="zh-CN"/>
        </w:rPr>
        <w:t>。</w:t>
      </w:r>
    </w:p>
    <w:p w14:paraId="6B04D99B">
      <w:pPr>
        <w:rPr>
          <w:rFonts w:hint="default"/>
          <w:sz w:val="18"/>
          <w:szCs w:val="18"/>
        </w:rPr>
      </w:pPr>
    </w:p>
    <w:sectPr>
      <w:pgSz w:w="16783" w:h="11850" w:orient="landscape"/>
      <w:pgMar w:top="720" w:right="720" w:bottom="720" w:left="72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F2E15">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ED111D">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9ED111D">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B615D78">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B615D78">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740A">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E894A"/>
    <w:multiLevelType w:val="singleLevel"/>
    <w:tmpl w:val="F1CE89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46118"/>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777C7D"/>
    <w:rsid w:val="0F836721"/>
    <w:rsid w:val="0FA25D96"/>
    <w:rsid w:val="107B59E5"/>
    <w:rsid w:val="10EC0126"/>
    <w:rsid w:val="10F70B9A"/>
    <w:rsid w:val="111445C7"/>
    <w:rsid w:val="1142313E"/>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121F03"/>
    <w:rsid w:val="1B6F15B6"/>
    <w:rsid w:val="1BAA2EDC"/>
    <w:rsid w:val="1CA55E64"/>
    <w:rsid w:val="1CC61D4C"/>
    <w:rsid w:val="1D014A01"/>
    <w:rsid w:val="1D022362"/>
    <w:rsid w:val="1D1B04B0"/>
    <w:rsid w:val="1DA52501"/>
    <w:rsid w:val="1DA96F07"/>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3601FED"/>
    <w:rsid w:val="24B92327"/>
    <w:rsid w:val="24C14514"/>
    <w:rsid w:val="2533755C"/>
    <w:rsid w:val="25791755"/>
    <w:rsid w:val="26396DF4"/>
    <w:rsid w:val="27167136"/>
    <w:rsid w:val="271B442C"/>
    <w:rsid w:val="27B23302"/>
    <w:rsid w:val="29310A5F"/>
    <w:rsid w:val="29C37A35"/>
    <w:rsid w:val="2A076083"/>
    <w:rsid w:val="2A73162E"/>
    <w:rsid w:val="2B167953"/>
    <w:rsid w:val="2B1A626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4B60D3"/>
    <w:rsid w:val="33C12CCE"/>
    <w:rsid w:val="33E31118"/>
    <w:rsid w:val="33EF7674"/>
    <w:rsid w:val="342D7BC6"/>
    <w:rsid w:val="352930DB"/>
    <w:rsid w:val="35573069"/>
    <w:rsid w:val="355F6038"/>
    <w:rsid w:val="358C217E"/>
    <w:rsid w:val="367C68EB"/>
    <w:rsid w:val="36B26ACA"/>
    <w:rsid w:val="36C9128A"/>
    <w:rsid w:val="37841E99"/>
    <w:rsid w:val="37BF1123"/>
    <w:rsid w:val="383C3F15"/>
    <w:rsid w:val="38BE4696"/>
    <w:rsid w:val="391E7835"/>
    <w:rsid w:val="3939115E"/>
    <w:rsid w:val="39B06F76"/>
    <w:rsid w:val="39B82A39"/>
    <w:rsid w:val="39C42CA8"/>
    <w:rsid w:val="39DC4FD6"/>
    <w:rsid w:val="39F03D7A"/>
    <w:rsid w:val="39F33306"/>
    <w:rsid w:val="3A2C1C67"/>
    <w:rsid w:val="3A6A77C9"/>
    <w:rsid w:val="3ADD7F09"/>
    <w:rsid w:val="3B1705E5"/>
    <w:rsid w:val="3B18334B"/>
    <w:rsid w:val="3B36794F"/>
    <w:rsid w:val="3B6F6EE0"/>
    <w:rsid w:val="3BC223FF"/>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B16ED8"/>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6738AF"/>
    <w:rsid w:val="5DA80C2C"/>
    <w:rsid w:val="5F2D4A41"/>
    <w:rsid w:val="60C74F6C"/>
    <w:rsid w:val="61015958"/>
    <w:rsid w:val="61025A59"/>
    <w:rsid w:val="613D5BBC"/>
    <w:rsid w:val="61536C39"/>
    <w:rsid w:val="62944DD7"/>
    <w:rsid w:val="63122172"/>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2936D0"/>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254B8"/>
    <w:rsid w:val="72F771F4"/>
    <w:rsid w:val="73934AD2"/>
    <w:rsid w:val="750837F0"/>
    <w:rsid w:val="754758CF"/>
    <w:rsid w:val="75595ECD"/>
    <w:rsid w:val="758D7370"/>
    <w:rsid w:val="75BB62F9"/>
    <w:rsid w:val="764F62AB"/>
    <w:rsid w:val="765C45EC"/>
    <w:rsid w:val="768A7619"/>
    <w:rsid w:val="76BD23AB"/>
    <w:rsid w:val="772E1EBA"/>
    <w:rsid w:val="781926BC"/>
    <w:rsid w:val="78BB5E45"/>
    <w:rsid w:val="796D60A4"/>
    <w:rsid w:val="79A031D5"/>
    <w:rsid w:val="79B47FDF"/>
    <w:rsid w:val="79E569A9"/>
    <w:rsid w:val="7A1525F7"/>
    <w:rsid w:val="7B420052"/>
    <w:rsid w:val="7BD06A28"/>
    <w:rsid w:val="7C3A7C0B"/>
    <w:rsid w:val="7C5248E4"/>
    <w:rsid w:val="7C566698"/>
    <w:rsid w:val="7C5866A3"/>
    <w:rsid w:val="7D7406BB"/>
    <w:rsid w:val="7DE94331"/>
    <w:rsid w:val="7F446A19"/>
    <w:rsid w:val="7F67086E"/>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5405</Words>
  <Characters>6755</Characters>
  <Lines>186</Lines>
  <Paragraphs>52</Paragraphs>
  <TotalTime>1</TotalTime>
  <ScaleCrop>false</ScaleCrop>
  <LinksUpToDate>false</LinksUpToDate>
  <CharactersWithSpaces>6988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油菜花儿香</cp:lastModifiedBy>
  <dcterms:modified xsi:type="dcterms:W3CDTF">2025-09-16T11:07:25Z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eyJoZGlkIjoiOTQxNzEzMTExNzZmYTRkMWUxMjM0YTE4YmNjZmFjNTYiLCJ1c2VySWQiOiIzNTg1ODI4NjMifQ==</vt:lpwstr>
  </property>
</Properties>
</file>