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5729A">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丰都县虎威镇卫生院</w:t>
      </w:r>
    </w:p>
    <w:p w14:paraId="6280261C">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default" w:ascii="Times New Roman" w:hAnsi="Times New Roman" w:eastAsia="方正小标宋_GBK" w:cs="Times New Roman"/>
          <w:sz w:val="44"/>
          <w:szCs w:val="44"/>
        </w:rPr>
        <w:t>2024</w:t>
      </w:r>
      <w:r>
        <w:rPr>
          <w:rFonts w:hint="eastAsia" w:ascii="方正小标宋_GBK" w:hAnsi="方正小标宋_GBK" w:eastAsia="方正小标宋_GBK" w:cs="方正小标宋_GBK"/>
          <w:sz w:val="44"/>
          <w:szCs w:val="44"/>
        </w:rPr>
        <w:t>年度决算公开说明</w:t>
      </w:r>
    </w:p>
    <w:p w14:paraId="360BF50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rPr>
      </w:pPr>
    </w:p>
    <w:p w14:paraId="485EC4B0">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一、单位基本情况</w:t>
      </w:r>
    </w:p>
    <w:p w14:paraId="7D65CB93">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（一）职能职责</w:t>
      </w:r>
    </w:p>
    <w:p w14:paraId="282FC60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1.公共卫生服务：负责辖区城乡居民健康档案管理、健康教育、预防接种、儿童健康管理、孕产妇健康管理、老年人健康管理、高血压患者健康管理、2型糖尿病患者健康管理、重性精神疾病患者管理；中医药健康管理和疾病康复；疾病控制、传染病及突发公共卫生事件报告和处理等。负责辖区其他公共卫生服务项目。</w:t>
      </w:r>
    </w:p>
    <w:p w14:paraId="7CC5426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2.基本医疗服务：开展一般常见病、多发病、地方病的基本医疗服务；现场救护和转诊服务；慢性病管理。</w:t>
      </w:r>
    </w:p>
    <w:p w14:paraId="5509A0E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3.计划生育服务：开展优生服务和家庭保健的咨询、指导和技术服务。</w:t>
      </w:r>
    </w:p>
    <w:p w14:paraId="1F3D421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4.协助乡镇政府（街道办事处）制定和组织实施初级卫生保健、卫生事业发展规划和年度计划，开展爱国卫生工作。</w:t>
      </w:r>
    </w:p>
    <w:p w14:paraId="08DA26B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5.指导辖区内诊所、村卫生室业务工作，对村医和村妇幼保健人员进行相关技能培训，做好医疗卫生信息统计报告工作，完整、及时、准确报告相关信息，逐步推进乡村卫生服务一体化管理。</w:t>
      </w:r>
    </w:p>
    <w:p w14:paraId="7764448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6.开展城乡居民基本医疗保险政策法规宣传与咨询，协助做好相应的医疗服务和补偿结算等工作。</w:t>
      </w:r>
    </w:p>
    <w:p w14:paraId="050501E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7.负责辖区公共卫生管理；协助开展辖区内卫生监督工作，承担区域内公共卫生信息收集与报告。</w:t>
      </w:r>
    </w:p>
    <w:p w14:paraId="3D772375">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（二）机构设置</w:t>
      </w:r>
    </w:p>
    <w:p w14:paraId="216315E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开设科室：</w:t>
      </w:r>
    </w:p>
    <w:p w14:paraId="115B7DE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内设内科、外科、妇产科、中医科等临床科室，以及放射、检验、B超、心电图等功能科室、公共卫生科、行政后勤等科室。目前已配备有心电图机、彩超、全自动生化分析仪、电解质分析仪、经颅超声多普勒、DR、中频治疗仪、经穴治疗仪等设备。编制床位50张，实际住院开放床位数75张，牙椅1张。现有在岗职工42人，其中在编职工26人，借入人员1人，编外聘用15人。</w:t>
      </w:r>
    </w:p>
    <w:p w14:paraId="226F61D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从预算单位构成看，无纳入本单位2024年度决算编制的下级预算单位。</w:t>
      </w:r>
    </w:p>
    <w:p w14:paraId="27AB2623">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二、单位决算收支情况说明</w:t>
      </w:r>
    </w:p>
    <w:p w14:paraId="39C58AF1">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（一）收入支出决算总体情况说明</w:t>
      </w:r>
    </w:p>
    <w:p w14:paraId="4E11E42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总体情况。</w:t>
      </w:r>
      <w:r>
        <w:rPr>
          <w:rFonts w:hint="default" w:ascii="Times New Roman" w:hAnsi="Times New Roman" w:eastAsia="方正仿宋_GBK"/>
          <w:sz w:val="32"/>
          <w:szCs w:val="32"/>
        </w:rPr>
        <w:t>2024</w:t>
      </w:r>
      <w:r>
        <w:rPr>
          <w:rFonts w:ascii="Times New Roman" w:hAnsi="Times New Roman" w:eastAsia="方正仿宋_GBK"/>
          <w:sz w:val="32"/>
          <w:szCs w:val="32"/>
        </w:rPr>
        <w:t>年度收、支总计均为</w:t>
      </w:r>
      <w:r>
        <w:rPr>
          <w:rFonts w:hint="default" w:ascii="Times New Roman" w:hAnsi="Times New Roman" w:eastAsia="方正仿宋_GBK"/>
          <w:sz w:val="32"/>
          <w:szCs w:val="32"/>
        </w:rPr>
        <w:t>997.52</w:t>
      </w:r>
      <w:r>
        <w:rPr>
          <w:rFonts w:ascii="Times New Roman" w:hAnsi="Times New Roman" w:eastAsia="方正仿宋_GBK"/>
          <w:sz w:val="32"/>
          <w:szCs w:val="32"/>
        </w:rPr>
        <w:t>万元。</w:t>
      </w:r>
      <w:r>
        <w:rPr>
          <w:rFonts w:hint="default" w:ascii="Times New Roman" w:hAnsi="Times New Roman" w:eastAsia="方正仿宋_GBK"/>
          <w:sz w:val="32"/>
          <w:szCs w:val="32"/>
        </w:rPr>
        <w:t>收、支与2023年度相比，减少131.74万元，下降11.7%</w:t>
      </w:r>
      <w:r>
        <w:rPr>
          <w:rFonts w:ascii="Times New Roman" w:hAnsi="Times New Roman" w:eastAsia="方正仿宋_GBK"/>
          <w:sz w:val="32"/>
          <w:szCs w:val="32"/>
        </w:rPr>
        <w:t>，主要原因是：2024年度财政拨款预算收入595.54万元，较上年减少7.74%；事业预算收入382.51万元，较上年减少20.81%；其他预算收入3.26万元，较上年增长100.00%。年初结转和结余0.00万元，上年度年初结转和结余0.75万元较上年减少100.00%。2024年度基本支出</w:t>
      </w:r>
      <w:r>
        <w:rPr>
          <w:rFonts w:hint="default" w:ascii="Times New Roman" w:hAnsi="Times New Roman" w:eastAsia="方正仿宋_GBK"/>
          <w:sz w:val="32"/>
          <w:szCs w:val="32"/>
        </w:rPr>
        <w:t>988.04</w:t>
      </w:r>
      <w:r>
        <w:rPr>
          <w:rFonts w:ascii="Times New Roman" w:hAnsi="Times New Roman" w:eastAsia="方正仿宋_GBK"/>
          <w:sz w:val="32"/>
          <w:szCs w:val="32"/>
        </w:rPr>
        <w:t>万元，较上年减少2.09%；项目支出</w:t>
      </w:r>
      <w:r>
        <w:rPr>
          <w:rFonts w:hint="default" w:ascii="Times New Roman" w:hAnsi="Times New Roman" w:eastAsia="方正仿宋_GBK"/>
          <w:sz w:val="32"/>
          <w:szCs w:val="32"/>
        </w:rPr>
        <w:t>9.48</w:t>
      </w:r>
      <w:r>
        <w:rPr>
          <w:rFonts w:ascii="Times New Roman" w:hAnsi="Times New Roman" w:eastAsia="方正仿宋_GBK"/>
          <w:sz w:val="32"/>
          <w:szCs w:val="32"/>
        </w:rPr>
        <w:t>万元，较上年减少60.10%。结余分配0.00万元。</w:t>
      </w:r>
    </w:p>
    <w:p w14:paraId="04046487">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ascii="Times New Roman" w:hAnsi="Times New Roman" w:eastAsia="方正仿宋_GBK"/>
          <w:b/>
          <w:bCs/>
          <w:sz w:val="32"/>
          <w:szCs w:val="32"/>
        </w:rPr>
        <w:t>1.收入情况。</w:t>
      </w:r>
      <w:r>
        <w:rPr>
          <w:rFonts w:hint="default" w:ascii="Times New Roman" w:hAnsi="Times New Roman" w:eastAsia="方正仿宋_GBK"/>
          <w:sz w:val="32"/>
          <w:szCs w:val="32"/>
        </w:rPr>
        <w:t>2024</w:t>
      </w:r>
      <w:r>
        <w:rPr>
          <w:rFonts w:ascii="Times New Roman" w:hAnsi="Times New Roman" w:eastAsia="方正仿宋_GBK"/>
          <w:sz w:val="32"/>
          <w:szCs w:val="32"/>
        </w:rPr>
        <w:t>年度收入合计</w:t>
      </w:r>
      <w:r>
        <w:rPr>
          <w:rFonts w:hint="default" w:ascii="Times New Roman" w:hAnsi="Times New Roman" w:eastAsia="方正仿宋_GBK"/>
          <w:sz w:val="32"/>
          <w:szCs w:val="32"/>
        </w:rPr>
        <w:t>981.31</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与2023年度相比，减少147.20万元，下降13.0%</w:t>
      </w:r>
      <w:r>
        <w:rPr>
          <w:rFonts w:ascii="Times New Roman" w:hAnsi="Times New Roman" w:eastAsia="方正仿宋_GBK"/>
          <w:sz w:val="32"/>
          <w:szCs w:val="32"/>
        </w:rPr>
        <w:t>，主要原因是：2024年度财政拨款预算收入减少49.93万元，事业预算收入减少100.53万元，其他预算收入增加3.26万元。其中：财政拨款收入</w:t>
      </w:r>
      <w:r>
        <w:rPr>
          <w:rFonts w:hint="default" w:ascii="Times New Roman" w:hAnsi="Times New Roman" w:eastAsia="方正仿宋_GBK"/>
          <w:sz w:val="32"/>
          <w:szCs w:val="32"/>
        </w:rPr>
        <w:t>595.54</w:t>
      </w:r>
      <w:r>
        <w:rPr>
          <w:rFonts w:ascii="Times New Roman" w:hAnsi="Times New Roman" w:eastAsia="方正仿宋_GBK"/>
          <w:sz w:val="32"/>
          <w:szCs w:val="32"/>
        </w:rPr>
        <w:t>万元，占</w:t>
      </w:r>
      <w:r>
        <w:rPr>
          <w:rFonts w:hint="default" w:ascii="Times New Roman" w:hAnsi="Times New Roman" w:eastAsia="方正仿宋_GBK"/>
          <w:sz w:val="32"/>
          <w:szCs w:val="32"/>
        </w:rPr>
        <w:t>60.7%</w:t>
      </w:r>
      <w:r>
        <w:rPr>
          <w:rFonts w:ascii="Times New Roman" w:hAnsi="Times New Roman" w:eastAsia="方正仿宋_GBK"/>
          <w:sz w:val="32"/>
          <w:szCs w:val="32"/>
        </w:rPr>
        <w:t>；事业收入</w:t>
      </w:r>
      <w:r>
        <w:rPr>
          <w:rFonts w:hint="default" w:ascii="Times New Roman" w:hAnsi="Times New Roman" w:eastAsia="方正仿宋_GBK"/>
          <w:sz w:val="32"/>
          <w:szCs w:val="32"/>
        </w:rPr>
        <w:t>382.51</w:t>
      </w:r>
      <w:r>
        <w:rPr>
          <w:rFonts w:ascii="Times New Roman" w:hAnsi="Times New Roman" w:eastAsia="方正仿宋_GBK"/>
          <w:sz w:val="32"/>
          <w:szCs w:val="32"/>
        </w:rPr>
        <w:t>万元，占</w:t>
      </w:r>
      <w:r>
        <w:rPr>
          <w:rFonts w:hint="default" w:ascii="Times New Roman" w:hAnsi="Times New Roman" w:eastAsia="方正仿宋_GBK"/>
          <w:sz w:val="32"/>
          <w:szCs w:val="32"/>
        </w:rPr>
        <w:t>39.0%</w:t>
      </w:r>
      <w:r>
        <w:rPr>
          <w:rFonts w:ascii="Times New Roman" w:hAnsi="Times New Roman" w:eastAsia="方正仿宋_GBK"/>
          <w:sz w:val="32"/>
          <w:szCs w:val="32"/>
        </w:rPr>
        <w:t>；经营收入</w:t>
      </w:r>
      <w:r>
        <w:rPr>
          <w:rFonts w:hint="default" w:ascii="Times New Roman" w:hAnsi="Times New Roman" w:eastAsia="方正仿宋_GBK"/>
          <w:sz w:val="32"/>
          <w:szCs w:val="32"/>
        </w:rPr>
        <w:t>0.00</w:t>
      </w:r>
      <w:r>
        <w:rPr>
          <w:rFonts w:ascii="Times New Roman" w:hAnsi="Times New Roman" w:eastAsia="方正仿宋_GBK"/>
          <w:sz w:val="32"/>
          <w:szCs w:val="32"/>
        </w:rPr>
        <w:t>万元，占</w:t>
      </w:r>
      <w:r>
        <w:rPr>
          <w:rFonts w:hint="default" w:ascii="Times New Roman" w:hAnsi="Times New Roman" w:eastAsia="方正仿宋_GBK"/>
          <w:sz w:val="32"/>
          <w:szCs w:val="32"/>
        </w:rPr>
        <w:t>0.0%</w:t>
      </w:r>
      <w:r>
        <w:rPr>
          <w:rFonts w:ascii="Times New Roman" w:hAnsi="Times New Roman" w:eastAsia="方正仿宋_GBK"/>
          <w:sz w:val="32"/>
          <w:szCs w:val="32"/>
        </w:rPr>
        <w:t>；其他收入</w:t>
      </w:r>
      <w:r>
        <w:rPr>
          <w:rFonts w:hint="default" w:ascii="Times New Roman" w:hAnsi="Times New Roman" w:eastAsia="方正仿宋_GBK"/>
          <w:sz w:val="32"/>
          <w:szCs w:val="32"/>
        </w:rPr>
        <w:t>3.26</w:t>
      </w:r>
      <w:r>
        <w:rPr>
          <w:rFonts w:ascii="Times New Roman" w:hAnsi="Times New Roman" w:eastAsia="方正仿宋_GBK"/>
          <w:sz w:val="32"/>
          <w:szCs w:val="32"/>
        </w:rPr>
        <w:t>万元，占</w:t>
      </w:r>
      <w:r>
        <w:rPr>
          <w:rFonts w:hint="default" w:ascii="Times New Roman" w:hAnsi="Times New Roman" w:eastAsia="方正仿宋_GBK"/>
          <w:sz w:val="32"/>
          <w:szCs w:val="32"/>
        </w:rPr>
        <w:t>0.3%</w:t>
      </w:r>
      <w:r>
        <w:rPr>
          <w:rFonts w:ascii="Times New Roman" w:hAnsi="Times New Roman" w:eastAsia="方正仿宋_GBK"/>
          <w:sz w:val="32"/>
          <w:szCs w:val="32"/>
        </w:rPr>
        <w:t>。此外，使用非财政拨款结余（含专用结余）</w:t>
      </w:r>
      <w:r>
        <w:rPr>
          <w:rFonts w:hint="default" w:ascii="Times New Roman" w:hAnsi="Times New Roman" w:eastAsia="方正仿宋_GBK"/>
          <w:sz w:val="32"/>
          <w:szCs w:val="32"/>
        </w:rPr>
        <w:t>16.21</w:t>
      </w:r>
      <w:r>
        <w:rPr>
          <w:rFonts w:ascii="Times New Roman" w:hAnsi="Times New Roman" w:eastAsia="方正仿宋_GBK"/>
          <w:sz w:val="32"/>
          <w:szCs w:val="32"/>
        </w:rPr>
        <w:t>万元，年初结转和结余</w:t>
      </w:r>
      <w:r>
        <w:rPr>
          <w:rFonts w:hint="default" w:ascii="Times New Roman" w:hAnsi="Times New Roman" w:eastAsia="方正仿宋_GBK"/>
          <w:sz w:val="32"/>
          <w:szCs w:val="32"/>
        </w:rPr>
        <w:t>0.00</w:t>
      </w:r>
      <w:r>
        <w:rPr>
          <w:rFonts w:ascii="Times New Roman" w:hAnsi="Times New Roman" w:eastAsia="方正仿宋_GBK"/>
          <w:sz w:val="32"/>
          <w:szCs w:val="32"/>
        </w:rPr>
        <w:t>万元。</w:t>
      </w:r>
    </w:p>
    <w:p w14:paraId="4675D205">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ascii="Times New Roman" w:hAnsi="Times New Roman" w:eastAsia="方正仿宋_GBK"/>
          <w:b/>
          <w:bCs/>
          <w:sz w:val="32"/>
          <w:szCs w:val="32"/>
        </w:rPr>
        <w:t>2.支出情况。</w:t>
      </w:r>
      <w:r>
        <w:rPr>
          <w:rFonts w:hint="default" w:ascii="Times New Roman" w:hAnsi="Times New Roman" w:eastAsia="方正仿宋_GBK"/>
          <w:sz w:val="32"/>
          <w:szCs w:val="32"/>
        </w:rPr>
        <w:t>2024</w:t>
      </w:r>
      <w:r>
        <w:rPr>
          <w:rFonts w:ascii="Times New Roman" w:hAnsi="Times New Roman" w:eastAsia="方正仿宋_GBK"/>
          <w:sz w:val="32"/>
          <w:szCs w:val="32"/>
        </w:rPr>
        <w:t>年度支出合计</w:t>
      </w:r>
      <w:r>
        <w:rPr>
          <w:rFonts w:hint="default" w:ascii="Times New Roman" w:hAnsi="Times New Roman" w:eastAsia="方正仿宋_GBK"/>
          <w:sz w:val="32"/>
          <w:szCs w:val="32"/>
        </w:rPr>
        <w:t>997.52</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与2023年度相比，减少35.40万元，下降3.4%</w:t>
      </w:r>
      <w:r>
        <w:rPr>
          <w:rFonts w:ascii="Times New Roman" w:hAnsi="Times New Roman" w:eastAsia="方正仿宋_GBK"/>
          <w:sz w:val="32"/>
          <w:szCs w:val="32"/>
        </w:rPr>
        <w:t>，主要原因是：人员绩效工资根据业务收入按劳分配，因为2024年度业务收入下降，职工绩效工资随之下降。其中：基本支出</w:t>
      </w:r>
      <w:r>
        <w:rPr>
          <w:rFonts w:hint="default" w:ascii="Times New Roman" w:hAnsi="Times New Roman" w:eastAsia="方正仿宋_GBK"/>
          <w:sz w:val="32"/>
          <w:szCs w:val="32"/>
        </w:rPr>
        <w:t>988.04</w:t>
      </w:r>
      <w:r>
        <w:rPr>
          <w:rFonts w:ascii="Times New Roman" w:hAnsi="Times New Roman" w:eastAsia="方正仿宋_GBK"/>
          <w:sz w:val="32"/>
          <w:szCs w:val="32"/>
        </w:rPr>
        <w:t>万元，占</w:t>
      </w:r>
      <w:r>
        <w:rPr>
          <w:rFonts w:hint="default" w:ascii="Times New Roman" w:hAnsi="Times New Roman" w:eastAsia="方正仿宋_GBK"/>
          <w:sz w:val="32"/>
          <w:szCs w:val="32"/>
        </w:rPr>
        <w:t>99.1%</w:t>
      </w:r>
      <w:r>
        <w:rPr>
          <w:rFonts w:ascii="Times New Roman" w:hAnsi="Times New Roman" w:eastAsia="方正仿宋_GBK"/>
          <w:sz w:val="32"/>
          <w:szCs w:val="32"/>
        </w:rPr>
        <w:t>；项目支出</w:t>
      </w:r>
      <w:r>
        <w:rPr>
          <w:rFonts w:hint="default" w:ascii="Times New Roman" w:hAnsi="Times New Roman" w:eastAsia="方正仿宋_GBK"/>
          <w:sz w:val="32"/>
          <w:szCs w:val="32"/>
        </w:rPr>
        <w:t>9.48</w:t>
      </w:r>
      <w:r>
        <w:rPr>
          <w:rFonts w:ascii="Times New Roman" w:hAnsi="Times New Roman" w:eastAsia="方正仿宋_GBK"/>
          <w:sz w:val="32"/>
          <w:szCs w:val="32"/>
        </w:rPr>
        <w:t>万元，占</w:t>
      </w:r>
      <w:r>
        <w:rPr>
          <w:rFonts w:hint="default" w:ascii="Times New Roman" w:hAnsi="Times New Roman" w:eastAsia="方正仿宋_GBK"/>
          <w:sz w:val="32"/>
          <w:szCs w:val="32"/>
        </w:rPr>
        <w:t>1.0%</w:t>
      </w:r>
      <w:r>
        <w:rPr>
          <w:rFonts w:ascii="Times New Roman" w:hAnsi="Times New Roman" w:eastAsia="方正仿宋_GBK"/>
          <w:sz w:val="32"/>
          <w:szCs w:val="32"/>
        </w:rPr>
        <w:t>；经营支出</w:t>
      </w:r>
      <w:r>
        <w:rPr>
          <w:rFonts w:hint="default" w:ascii="Times New Roman" w:hAnsi="Times New Roman" w:eastAsia="方正仿宋_GBK"/>
          <w:sz w:val="32"/>
          <w:szCs w:val="32"/>
        </w:rPr>
        <w:t>0.00</w:t>
      </w:r>
      <w:r>
        <w:rPr>
          <w:rFonts w:ascii="Times New Roman" w:hAnsi="Times New Roman" w:eastAsia="方正仿宋_GBK"/>
          <w:sz w:val="32"/>
          <w:szCs w:val="32"/>
        </w:rPr>
        <w:t>万元，占</w:t>
      </w:r>
      <w:r>
        <w:rPr>
          <w:rFonts w:hint="default" w:ascii="Times New Roman" w:hAnsi="Times New Roman" w:eastAsia="方正仿宋_GBK"/>
          <w:sz w:val="32"/>
          <w:szCs w:val="32"/>
        </w:rPr>
        <w:t>0.0%</w:t>
      </w:r>
      <w:r>
        <w:rPr>
          <w:rFonts w:ascii="Times New Roman" w:hAnsi="Times New Roman" w:eastAsia="方正仿宋_GBK"/>
          <w:sz w:val="32"/>
          <w:szCs w:val="32"/>
        </w:rPr>
        <w:t>。此外，结余分配</w:t>
      </w:r>
      <w:r>
        <w:rPr>
          <w:rFonts w:hint="default" w:ascii="Times New Roman" w:hAnsi="Times New Roman" w:eastAsia="方正仿宋_GBK"/>
          <w:sz w:val="32"/>
          <w:szCs w:val="32"/>
        </w:rPr>
        <w:t>0.00</w:t>
      </w:r>
      <w:r>
        <w:rPr>
          <w:rFonts w:ascii="Times New Roman" w:hAnsi="Times New Roman" w:eastAsia="方正仿宋_GBK"/>
          <w:sz w:val="32"/>
          <w:szCs w:val="32"/>
        </w:rPr>
        <w:t>万元。</w:t>
      </w:r>
    </w:p>
    <w:p w14:paraId="64DA08B5">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ascii="Times New Roman" w:hAnsi="Times New Roman" w:eastAsia="方正仿宋_GBK"/>
          <w:b/>
          <w:bCs/>
          <w:sz w:val="32"/>
          <w:szCs w:val="32"/>
        </w:rPr>
        <w:t>3.结转结余情况。</w:t>
      </w:r>
      <w:r>
        <w:rPr>
          <w:rFonts w:hint="default" w:ascii="Times New Roman" w:hAnsi="Times New Roman" w:eastAsia="方正仿宋_GBK"/>
          <w:sz w:val="32"/>
          <w:szCs w:val="32"/>
        </w:rPr>
        <w:t>2024</w:t>
      </w:r>
      <w:r>
        <w:rPr>
          <w:rFonts w:ascii="Times New Roman" w:hAnsi="Times New Roman" w:eastAsia="方正仿宋_GBK"/>
          <w:sz w:val="32"/>
          <w:szCs w:val="32"/>
        </w:rPr>
        <w:t>年度年末结转和结余</w:t>
      </w:r>
      <w:r>
        <w:rPr>
          <w:rFonts w:hint="default" w:ascii="Times New Roman" w:hAnsi="Times New Roman" w:eastAsia="方正仿宋_GBK"/>
          <w:sz w:val="32"/>
          <w:szCs w:val="32"/>
        </w:rPr>
        <w:t>0.00</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与2023年度相比，无增减</w:t>
      </w:r>
      <w:r>
        <w:rPr>
          <w:rFonts w:ascii="Times New Roman" w:hAnsi="Times New Roman" w:eastAsia="方正仿宋_GBK"/>
          <w:sz w:val="32"/>
          <w:szCs w:val="32"/>
        </w:rPr>
        <w:t>，主要原因是：2023年度年末结转和结余已进行分配。</w:t>
      </w:r>
    </w:p>
    <w:p w14:paraId="5B255A52">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（二）财政拨款收入支出决算总体情况说明</w:t>
      </w:r>
    </w:p>
    <w:p w14:paraId="4D6428A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2024</w:t>
      </w:r>
      <w:r>
        <w:rPr>
          <w:rFonts w:ascii="Times New Roman" w:hAnsi="Times New Roman" w:eastAsia="方正仿宋_GBK"/>
          <w:sz w:val="32"/>
          <w:szCs w:val="32"/>
        </w:rPr>
        <w:t>年度财政拨款收、支总计均为</w:t>
      </w:r>
      <w:r>
        <w:rPr>
          <w:rFonts w:hint="default" w:ascii="Times New Roman" w:hAnsi="Times New Roman" w:eastAsia="方正仿宋_GBK"/>
          <w:sz w:val="32"/>
          <w:szCs w:val="32"/>
        </w:rPr>
        <w:t>595.54</w:t>
      </w:r>
      <w:r>
        <w:rPr>
          <w:rFonts w:ascii="Times New Roman" w:hAnsi="Times New Roman" w:eastAsia="方正仿宋_GBK"/>
          <w:sz w:val="32"/>
          <w:szCs w:val="32"/>
        </w:rPr>
        <w:t>万元。与</w:t>
      </w:r>
      <w:r>
        <w:rPr>
          <w:rFonts w:hint="default" w:ascii="Times New Roman" w:hAnsi="Times New Roman" w:eastAsia="方正仿宋_GBK"/>
          <w:sz w:val="32"/>
          <w:szCs w:val="32"/>
        </w:rPr>
        <w:t>2023</w:t>
      </w:r>
      <w:r>
        <w:rPr>
          <w:rFonts w:ascii="Times New Roman" w:hAnsi="Times New Roman" w:eastAsia="方正仿宋_GBK"/>
          <w:sz w:val="32"/>
          <w:szCs w:val="32"/>
        </w:rPr>
        <w:t>年度相比，</w:t>
      </w:r>
      <w:r>
        <w:rPr>
          <w:rFonts w:hint="default" w:ascii="Times New Roman" w:hAnsi="Times New Roman" w:eastAsia="方正仿宋_GBK"/>
          <w:sz w:val="32"/>
          <w:szCs w:val="32"/>
        </w:rPr>
        <w:t>财政拨款收、支总计各减少50.68万元，下降7.8%</w:t>
      </w:r>
      <w:r>
        <w:rPr>
          <w:rFonts w:ascii="Times New Roman" w:hAnsi="Times New Roman" w:eastAsia="方正仿宋_GBK"/>
          <w:sz w:val="32"/>
          <w:szCs w:val="32"/>
        </w:rPr>
        <w:t>。主要原因是：社会保障和就业收、支52.92万元，较上年减少15.96%；卫生健康收、支542.62万元，较上年减少6.97%。</w:t>
      </w:r>
    </w:p>
    <w:p w14:paraId="110A02A1">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（三）一般公共预算财政拨款收入支出决算情况说明</w:t>
      </w:r>
    </w:p>
    <w:p w14:paraId="763C2AC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1</w:t>
      </w:r>
      <w:r>
        <w:rPr>
          <w:rFonts w:ascii="Times New Roman" w:hAnsi="Times New Roman" w:eastAsia="方正仿宋_GBK"/>
          <w:sz w:val="32"/>
          <w:szCs w:val="32"/>
        </w:rPr>
        <w:t>.收入情况。</w:t>
      </w:r>
      <w:r>
        <w:rPr>
          <w:rFonts w:hint="default" w:ascii="Times New Roman" w:hAnsi="Times New Roman" w:eastAsia="方正仿宋_GBK"/>
          <w:sz w:val="32"/>
          <w:szCs w:val="32"/>
        </w:rPr>
        <w:t>2024</w:t>
      </w:r>
      <w:r>
        <w:rPr>
          <w:rFonts w:ascii="Times New Roman" w:hAnsi="Times New Roman" w:eastAsia="方正仿宋_GBK"/>
          <w:sz w:val="32"/>
          <w:szCs w:val="32"/>
        </w:rPr>
        <w:t>年度一般公共预算财政拨款收入</w:t>
      </w:r>
      <w:r>
        <w:rPr>
          <w:rFonts w:hint="default" w:ascii="Times New Roman" w:hAnsi="Times New Roman" w:eastAsia="方正仿宋_GBK"/>
          <w:sz w:val="32"/>
          <w:szCs w:val="32"/>
        </w:rPr>
        <w:t>595.54</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与2023年度相比，减少49.93万元，下降7.7%</w:t>
      </w:r>
      <w:r>
        <w:rPr>
          <w:rFonts w:ascii="Times New Roman" w:hAnsi="Times New Roman" w:eastAsia="方正仿宋_GBK"/>
          <w:sz w:val="32"/>
          <w:szCs w:val="32"/>
        </w:rPr>
        <w:t>。主要原因是：社会保障和就业收、支52.92万元，较上年减少15.96%；卫生健康收、支542.62万元，较上年减少6.97%。</w:t>
      </w:r>
      <w:r>
        <w:rPr>
          <w:rFonts w:hint="default" w:ascii="Times New Roman" w:hAnsi="Times New Roman" w:eastAsia="方正仿宋_GBK"/>
          <w:sz w:val="32"/>
          <w:szCs w:val="32"/>
        </w:rPr>
        <w:t>较年初预算数增加134.65万元，增长29.2%</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本单位为二级预算单位，部分经费未纳入本单位年初预算</w:t>
      </w:r>
      <w:r>
        <w:rPr>
          <w:rFonts w:ascii="Times New Roman" w:hAnsi="Times New Roman" w:eastAsia="方正仿宋_GBK"/>
          <w:sz w:val="32"/>
          <w:szCs w:val="32"/>
        </w:rPr>
        <w:t>。</w:t>
      </w:r>
    </w:p>
    <w:p w14:paraId="0978C31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此外，年初财政拨款结转和结余</w:t>
      </w:r>
      <w:r>
        <w:rPr>
          <w:rFonts w:hint="default" w:ascii="Times New Roman" w:hAnsi="Times New Roman" w:eastAsia="方正仿宋_GBK"/>
          <w:sz w:val="32"/>
          <w:szCs w:val="32"/>
        </w:rPr>
        <w:t>0.00</w:t>
      </w:r>
      <w:r>
        <w:rPr>
          <w:rFonts w:ascii="Times New Roman" w:hAnsi="Times New Roman" w:eastAsia="方正仿宋_GBK"/>
          <w:sz w:val="32"/>
          <w:szCs w:val="32"/>
        </w:rPr>
        <w:t>万元。</w:t>
      </w:r>
    </w:p>
    <w:p w14:paraId="3DA73886">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b/>
          <w:bCs/>
          <w:sz w:val="32"/>
          <w:szCs w:val="32"/>
        </w:rPr>
        <w:t>2</w:t>
      </w:r>
      <w:r>
        <w:rPr>
          <w:rFonts w:ascii="Times New Roman" w:hAnsi="Times New Roman" w:eastAsia="方正仿宋_GBK"/>
          <w:b/>
          <w:bCs/>
          <w:sz w:val="32"/>
          <w:szCs w:val="32"/>
        </w:rPr>
        <w:t>.支出情况。</w:t>
      </w:r>
      <w:r>
        <w:rPr>
          <w:rFonts w:hint="default" w:ascii="Times New Roman" w:hAnsi="Times New Roman" w:eastAsia="方正仿宋_GBK"/>
          <w:sz w:val="32"/>
          <w:szCs w:val="32"/>
        </w:rPr>
        <w:t>2024</w:t>
      </w:r>
      <w:r>
        <w:rPr>
          <w:rFonts w:ascii="Times New Roman" w:hAnsi="Times New Roman" w:eastAsia="方正仿宋_GBK"/>
          <w:sz w:val="32"/>
          <w:szCs w:val="32"/>
        </w:rPr>
        <w:t>年度一般公共预算财政拨款支出</w:t>
      </w:r>
      <w:r>
        <w:rPr>
          <w:rFonts w:hint="default" w:ascii="Times New Roman" w:hAnsi="Times New Roman" w:eastAsia="方正仿宋_GBK"/>
          <w:sz w:val="32"/>
          <w:szCs w:val="32"/>
        </w:rPr>
        <w:t>595.54</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与2023年度相比，减少50.68万元，下降7.8%</w:t>
      </w:r>
      <w:r>
        <w:rPr>
          <w:rFonts w:ascii="Times New Roman" w:hAnsi="Times New Roman" w:eastAsia="方正仿宋_GBK"/>
          <w:sz w:val="32"/>
          <w:szCs w:val="32"/>
        </w:rPr>
        <w:t>。主要原因是：社会保障和就业收、支52.92万元，较上年减少15.96%；卫生健康收、支542.62万元，较上年减少6.97%。</w:t>
      </w:r>
      <w:r>
        <w:rPr>
          <w:rFonts w:hint="default" w:ascii="Times New Roman" w:hAnsi="Times New Roman" w:eastAsia="方正仿宋_GBK"/>
          <w:sz w:val="32"/>
          <w:szCs w:val="32"/>
        </w:rPr>
        <w:t>较年初预算数增加134.65万元，增长29.2%</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本单位为二级预算单位，部分经费未纳入本单位年初预算</w:t>
      </w:r>
      <w:r>
        <w:rPr>
          <w:rFonts w:ascii="Times New Roman" w:hAnsi="Times New Roman" w:eastAsia="方正仿宋_GBK"/>
          <w:sz w:val="32"/>
          <w:szCs w:val="32"/>
        </w:rPr>
        <w:t>。</w:t>
      </w:r>
    </w:p>
    <w:p w14:paraId="5DD4DA8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一般公共预算财政拨款支出主要用途如下：</w:t>
      </w:r>
    </w:p>
    <w:p w14:paraId="77124E1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w:t>
      </w:r>
      <w:r>
        <w:rPr>
          <w:rFonts w:hint="default" w:ascii="Times New Roman" w:hAnsi="Times New Roman" w:eastAsia="方正仿宋_GBK"/>
          <w:sz w:val="32"/>
          <w:szCs w:val="32"/>
        </w:rPr>
        <w:t>1</w:t>
      </w:r>
      <w:r>
        <w:rPr>
          <w:rFonts w:ascii="Times New Roman" w:hAnsi="Times New Roman" w:eastAsia="方正仿宋_GBK"/>
          <w:sz w:val="32"/>
          <w:szCs w:val="32"/>
        </w:rPr>
        <w:t>）社会保障和就业支出</w:t>
      </w:r>
      <w:r>
        <w:rPr>
          <w:rFonts w:hint="default" w:ascii="Times New Roman" w:hAnsi="Times New Roman" w:eastAsia="方正仿宋_GBK"/>
          <w:sz w:val="32"/>
          <w:szCs w:val="32"/>
        </w:rPr>
        <w:t>52.92</w:t>
      </w:r>
      <w:r>
        <w:rPr>
          <w:rFonts w:ascii="Times New Roman" w:hAnsi="Times New Roman" w:eastAsia="方正仿宋_GBK"/>
          <w:sz w:val="32"/>
          <w:szCs w:val="32"/>
        </w:rPr>
        <w:t>万元，占</w:t>
      </w:r>
      <w:r>
        <w:rPr>
          <w:rFonts w:hint="default" w:ascii="Times New Roman" w:hAnsi="Times New Roman" w:eastAsia="方正仿宋_GBK"/>
          <w:sz w:val="32"/>
          <w:szCs w:val="32"/>
        </w:rPr>
        <w:t>8.9%</w:t>
      </w:r>
      <w:r>
        <w:rPr>
          <w:rFonts w:ascii="Times New Roman" w:hAnsi="Times New Roman" w:eastAsia="方正仿宋_GBK"/>
          <w:sz w:val="32"/>
          <w:szCs w:val="32"/>
        </w:rPr>
        <w:t>，</w:t>
      </w:r>
      <w:r>
        <w:rPr>
          <w:rFonts w:hint="default" w:ascii="Times New Roman" w:hAnsi="Times New Roman" w:eastAsia="方正仿宋_GBK"/>
          <w:sz w:val="32"/>
          <w:szCs w:val="32"/>
        </w:rPr>
        <w:t>较年初预算数增加11.52万元，增长27.8%</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社会保障缴费基数调整。</w:t>
      </w:r>
    </w:p>
    <w:p w14:paraId="6DD3A7D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w:t>
      </w:r>
      <w:r>
        <w:rPr>
          <w:rFonts w:hint="default" w:ascii="Times New Roman" w:hAnsi="Times New Roman" w:eastAsia="方正仿宋_GBK"/>
          <w:sz w:val="32"/>
          <w:szCs w:val="32"/>
        </w:rPr>
        <w:t>2</w:t>
      </w:r>
      <w:r>
        <w:rPr>
          <w:rFonts w:ascii="Times New Roman" w:hAnsi="Times New Roman" w:eastAsia="方正仿宋_GBK"/>
          <w:sz w:val="32"/>
          <w:szCs w:val="32"/>
        </w:rPr>
        <w:t>）卫生健康支出</w:t>
      </w:r>
      <w:r>
        <w:rPr>
          <w:rFonts w:hint="default" w:ascii="Times New Roman" w:hAnsi="Times New Roman" w:eastAsia="方正仿宋_GBK"/>
          <w:sz w:val="32"/>
          <w:szCs w:val="32"/>
        </w:rPr>
        <w:t>542.62</w:t>
      </w:r>
      <w:r>
        <w:rPr>
          <w:rFonts w:ascii="Times New Roman" w:hAnsi="Times New Roman" w:eastAsia="方正仿宋_GBK"/>
          <w:sz w:val="32"/>
          <w:szCs w:val="32"/>
        </w:rPr>
        <w:t>万元，占</w:t>
      </w:r>
      <w:r>
        <w:rPr>
          <w:rFonts w:hint="default" w:ascii="Times New Roman" w:hAnsi="Times New Roman" w:eastAsia="方正仿宋_GBK"/>
          <w:sz w:val="32"/>
          <w:szCs w:val="32"/>
        </w:rPr>
        <w:t>91.1%</w:t>
      </w:r>
      <w:r>
        <w:rPr>
          <w:rFonts w:ascii="Times New Roman" w:hAnsi="Times New Roman" w:eastAsia="方正仿宋_GBK"/>
          <w:sz w:val="32"/>
          <w:szCs w:val="32"/>
        </w:rPr>
        <w:t>，</w:t>
      </w:r>
      <w:r>
        <w:rPr>
          <w:rFonts w:hint="default" w:ascii="Times New Roman" w:hAnsi="Times New Roman" w:eastAsia="方正仿宋_GBK"/>
          <w:sz w:val="32"/>
          <w:szCs w:val="32"/>
        </w:rPr>
        <w:t>较年初预算数增加123.13万元，增长29.4%</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职工薪级工资调整、职工调资晋升工资变动、基本公共卫生服务补助资金调整、药品零差价补助调整。</w:t>
      </w:r>
    </w:p>
    <w:p w14:paraId="6DB09ACA">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b/>
          <w:bCs/>
          <w:sz w:val="32"/>
          <w:szCs w:val="32"/>
        </w:rPr>
        <w:t>3</w:t>
      </w:r>
      <w:r>
        <w:rPr>
          <w:rFonts w:ascii="Times New Roman" w:hAnsi="Times New Roman" w:eastAsia="方正仿宋_GBK"/>
          <w:b/>
          <w:bCs/>
          <w:sz w:val="32"/>
          <w:szCs w:val="32"/>
        </w:rPr>
        <w:t>.结转结余情况。</w:t>
      </w:r>
      <w:r>
        <w:rPr>
          <w:rFonts w:hint="default" w:ascii="Times New Roman" w:hAnsi="Times New Roman" w:eastAsia="方正仿宋_GBK"/>
          <w:sz w:val="32"/>
          <w:szCs w:val="32"/>
        </w:rPr>
        <w:t>2024</w:t>
      </w:r>
      <w:r>
        <w:rPr>
          <w:rFonts w:ascii="Times New Roman" w:hAnsi="Times New Roman" w:eastAsia="方正仿宋_GBK"/>
          <w:sz w:val="32"/>
          <w:szCs w:val="32"/>
        </w:rPr>
        <w:t>年度年末一般公共预算财政拨款结转和结余</w:t>
      </w:r>
      <w:r>
        <w:rPr>
          <w:rFonts w:hint="default" w:ascii="Times New Roman" w:hAnsi="Times New Roman" w:eastAsia="方正仿宋_GBK"/>
          <w:sz w:val="32"/>
          <w:szCs w:val="32"/>
        </w:rPr>
        <w:t>0.00</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与2023年度相比，无增减</w:t>
      </w:r>
      <w:r>
        <w:rPr>
          <w:rFonts w:ascii="Times New Roman" w:hAnsi="Times New Roman" w:eastAsia="方正仿宋_GBK"/>
          <w:sz w:val="32"/>
          <w:szCs w:val="32"/>
        </w:rPr>
        <w:t>，主要原因是：一般公共预算财政拨款收、支平衡。</w:t>
      </w:r>
    </w:p>
    <w:p w14:paraId="32406C67">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（四）一般公共预算财政拨款基本支出决算情况说明</w:t>
      </w:r>
    </w:p>
    <w:p w14:paraId="6A4EBDB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2024</w:t>
      </w:r>
      <w:r>
        <w:rPr>
          <w:rFonts w:ascii="Times New Roman" w:hAnsi="Times New Roman" w:eastAsia="方正仿宋_GBK"/>
          <w:sz w:val="32"/>
          <w:szCs w:val="32"/>
        </w:rPr>
        <w:t>年度一般公共财政拨款基本支出</w:t>
      </w:r>
      <w:r>
        <w:rPr>
          <w:rFonts w:hint="default" w:ascii="Times New Roman" w:hAnsi="Times New Roman" w:eastAsia="方正仿宋_GBK"/>
          <w:sz w:val="32"/>
          <w:szCs w:val="32"/>
        </w:rPr>
        <w:t>595.54</w:t>
      </w:r>
      <w:r>
        <w:rPr>
          <w:rFonts w:ascii="Times New Roman" w:hAnsi="Times New Roman" w:eastAsia="方正仿宋_GBK"/>
          <w:sz w:val="32"/>
          <w:szCs w:val="32"/>
        </w:rPr>
        <w:t>万元。其中：</w:t>
      </w:r>
    </w:p>
    <w:p w14:paraId="344AC47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人员经费</w:t>
      </w:r>
      <w:r>
        <w:rPr>
          <w:rFonts w:hint="default" w:ascii="Times New Roman" w:hAnsi="Times New Roman" w:eastAsia="方正仿宋_GBK"/>
          <w:sz w:val="32"/>
          <w:szCs w:val="32"/>
        </w:rPr>
        <w:t>518.32</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与2023年度相比，减少18.85万元，下降3.5%</w:t>
      </w:r>
      <w:r>
        <w:rPr>
          <w:rFonts w:ascii="Times New Roman" w:hAnsi="Times New Roman" w:eastAsia="方正仿宋_GBK"/>
          <w:sz w:val="32"/>
          <w:szCs w:val="32"/>
        </w:rPr>
        <w:t>，主要原因是：工资福利支出减少20.18万元，对个人和家庭的补助支出增加1.32万元。人员经费用途主要包括：职工基本工资129.38万元、津贴补贴18.35万元、绩效工资219.45万元、职工社会保障缴费52.92万元、其他工资福利支出76.60万元元、对个人和家庭的补助57.81万元。</w:t>
      </w:r>
    </w:p>
    <w:p w14:paraId="1AFB275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公用经费</w:t>
      </w:r>
      <w:r>
        <w:rPr>
          <w:rFonts w:hint="default" w:ascii="Times New Roman" w:hAnsi="Times New Roman" w:eastAsia="方正仿宋_GBK"/>
          <w:sz w:val="32"/>
          <w:szCs w:val="32"/>
        </w:rPr>
        <w:t>77.22</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与2023年度相比，减少8.67万元，下降10.1%</w:t>
      </w:r>
      <w:r>
        <w:rPr>
          <w:rFonts w:ascii="Times New Roman" w:hAnsi="Times New Roman" w:eastAsia="方正仿宋_GBK"/>
          <w:sz w:val="32"/>
          <w:szCs w:val="32"/>
        </w:rPr>
        <w:t>，主要原因是：办公费减少0.47万元，水费减少2.22万元，电费减少3.69万元，邮电费减少0.83万元，差旅费减少1.08万元，专用材料费增加22.63万元，劳务费减少21.64万元，其他商品和服务支出减少24.31万元。公用经费用途主要包括：办公费0.83万元、印刷费0.32万元、水费0.22万元、电费0.30万元、邮电费0.41万元、专用材料费74.85万元。</w:t>
      </w:r>
    </w:p>
    <w:p w14:paraId="5AC84880">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（五）政府性基金预算收支决算情况说明</w:t>
      </w:r>
    </w:p>
    <w:p w14:paraId="5A9D0A3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本单位</w:t>
      </w:r>
      <w:r>
        <w:rPr>
          <w:rFonts w:hint="default" w:ascii="Times New Roman" w:hAnsi="Times New Roman" w:eastAsia="方正仿宋_GBK"/>
          <w:sz w:val="32"/>
          <w:szCs w:val="32"/>
        </w:rPr>
        <w:t>202</w:t>
      </w:r>
      <w:r>
        <w:rPr>
          <w:rFonts w:ascii="Times New Roman" w:hAnsi="Times New Roman" w:eastAsia="方正仿宋_GBK"/>
          <w:sz w:val="32"/>
          <w:szCs w:val="32"/>
        </w:rPr>
        <w:t>4年度无政府性基金预算财政拨款收支。</w:t>
      </w:r>
    </w:p>
    <w:p w14:paraId="7324ECC5">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（六）国有资本经营预算财政拨款支出决算情况说明</w:t>
      </w:r>
    </w:p>
    <w:p w14:paraId="696D534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rPr>
      </w:pPr>
      <w:r>
        <w:rPr>
          <w:rFonts w:hint="default" w:ascii="Times New Roman" w:hAnsi="Times New Roman" w:eastAsia="方正仿宋_GBK"/>
          <w:sz w:val="32"/>
          <w:szCs w:val="32"/>
        </w:rPr>
        <w:t>本单位2024年度无国有资本经营预算财政拨款支出</w:t>
      </w:r>
      <w:r>
        <w:rPr>
          <w:rFonts w:ascii="Times New Roman" w:hAnsi="Times New Roman" w:eastAsia="方正仿宋_GBK"/>
          <w:sz w:val="32"/>
          <w:szCs w:val="32"/>
        </w:rPr>
        <w:t>。</w:t>
      </w:r>
    </w:p>
    <w:p w14:paraId="40E37BFB">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三、财政拨款“三公”经费情况说明</w:t>
      </w:r>
    </w:p>
    <w:p w14:paraId="4A5A5517">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（一）“三公”经费支出总体情况说明</w:t>
      </w:r>
    </w:p>
    <w:p w14:paraId="6F8FF5B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我单位属于差额拨款单位，未使用财政资金保障“三公</w:t>
      </w:r>
      <w:r>
        <w:rPr>
          <w:rFonts w:hint="default" w:ascii="Times New Roman" w:hAnsi="Times New Roman" w:eastAsia="方正仿宋_GBK"/>
          <w:sz w:val="32"/>
          <w:szCs w:val="32"/>
        </w:rPr>
        <w:t>”</w:t>
      </w:r>
      <w:r>
        <w:rPr>
          <w:rFonts w:ascii="Times New Roman" w:hAnsi="Times New Roman" w:eastAsia="方正仿宋_GBK"/>
          <w:sz w:val="32"/>
          <w:szCs w:val="32"/>
        </w:rPr>
        <w:t>经费。</w:t>
      </w:r>
    </w:p>
    <w:p w14:paraId="006CEFDD">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（二）“三公”经费分项支出情况</w:t>
      </w:r>
    </w:p>
    <w:p w14:paraId="26CBEF5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2024年度本单位因公出国（境）费用0.00万元，费用支出较年初预算数无增减，较上年支出数无增减。</w:t>
      </w:r>
    </w:p>
    <w:p w14:paraId="3320605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公务用车购置费0.00万元，费用支出较年初预算数无增减，较上年支出数无增减。</w:t>
      </w:r>
    </w:p>
    <w:p w14:paraId="06BB1B9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公务车运行维护费0.00万元</w:t>
      </w:r>
      <w:r>
        <w:rPr>
          <w:rFonts w:hint="eastAsia" w:ascii="Times New Roman" w:hAnsi="Times New Roman" w:eastAsia="方正仿宋_GBK"/>
          <w:sz w:val="32"/>
          <w:szCs w:val="32"/>
        </w:rPr>
        <w:t>，</w:t>
      </w:r>
      <w:r>
        <w:rPr>
          <w:rFonts w:ascii="Times New Roman" w:hAnsi="Times New Roman" w:eastAsia="方正仿宋_GBK"/>
          <w:sz w:val="32"/>
          <w:szCs w:val="32"/>
        </w:rPr>
        <w:t>费用支出较年初预算数无增减，较上年支出数无增减。 </w:t>
      </w:r>
    </w:p>
    <w:p w14:paraId="1AF9F57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公务接待费0.00万元，费用支出较年初预算数无增减，较上年支出数无增减。</w:t>
      </w:r>
    </w:p>
    <w:p w14:paraId="7588CB21">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lang w:eastAsia="zh-CN"/>
        </w:rPr>
        <w:t>（三）</w:t>
      </w:r>
      <w:r>
        <w:rPr>
          <w:rFonts w:hint="eastAsia" w:ascii="方正楷体_GBK" w:hAnsi="方正楷体_GBK" w:eastAsia="方正楷体_GBK" w:cs="方正楷体_GBK"/>
          <w:b/>
          <w:bCs/>
          <w:sz w:val="32"/>
          <w:szCs w:val="32"/>
        </w:rPr>
        <w:t>“三公”经费实物量情况</w:t>
      </w:r>
    </w:p>
    <w:p w14:paraId="641ACC7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2024年度本</w:t>
      </w:r>
      <w:r>
        <w:rPr>
          <w:rFonts w:hint="eastAsia" w:ascii="Times New Roman" w:hAnsi="Times New Roman" w:eastAsia="方正仿宋_GBK"/>
          <w:sz w:val="32"/>
          <w:szCs w:val="32"/>
        </w:rPr>
        <w:t>单位</w:t>
      </w:r>
      <w:r>
        <w:rPr>
          <w:rFonts w:ascii="Times New Roman" w:hAnsi="Times New Roman" w:eastAsia="方正仿宋_GBK"/>
          <w:sz w:val="32"/>
          <w:szCs w:val="32"/>
        </w:rPr>
        <w:t>因公出国（境）共计0个团组，0人；公务用车购置0辆，公务车保有量为0辆；国内公务接待0批次0人，其中：国内外事接待0批次，0人；国（境）外公务接待0批次，0人。2024年本</w:t>
      </w:r>
      <w:r>
        <w:rPr>
          <w:rFonts w:hint="eastAsia" w:ascii="Times New Roman" w:hAnsi="Times New Roman" w:eastAsia="方正仿宋_GBK"/>
          <w:sz w:val="32"/>
          <w:szCs w:val="32"/>
        </w:rPr>
        <w:t>单位</w:t>
      </w:r>
      <w:r>
        <w:rPr>
          <w:rFonts w:ascii="Times New Roman" w:hAnsi="Times New Roman" w:eastAsia="方正仿宋_GBK"/>
          <w:sz w:val="32"/>
          <w:szCs w:val="32"/>
        </w:rPr>
        <w:t>人均接待费0元，车均购置费0万元，车均维护费0万元。</w:t>
      </w:r>
    </w:p>
    <w:p w14:paraId="17252BD2">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四、其他需要说明的事项</w:t>
      </w:r>
    </w:p>
    <w:p w14:paraId="72E96093">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（一）财政拨款会议费、培训费和差旅费情况说明</w:t>
      </w:r>
    </w:p>
    <w:p w14:paraId="1DAD81F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本年度会议费支出</w:t>
      </w:r>
      <w:r>
        <w:rPr>
          <w:rFonts w:hint="default" w:ascii="Times New Roman" w:hAnsi="Times New Roman" w:eastAsia="方正仿宋_GBK"/>
          <w:sz w:val="32"/>
          <w:szCs w:val="32"/>
        </w:rPr>
        <w:t>0.00</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与2023年度相比，无增减</w:t>
      </w:r>
      <w:r>
        <w:rPr>
          <w:rFonts w:ascii="Times New Roman" w:hAnsi="Times New Roman" w:eastAsia="方正仿宋_GBK"/>
          <w:sz w:val="32"/>
          <w:szCs w:val="32"/>
        </w:rPr>
        <w:t>，本年度培训费支出</w:t>
      </w:r>
      <w:r>
        <w:rPr>
          <w:rFonts w:hint="default" w:ascii="Times New Roman" w:hAnsi="Times New Roman" w:eastAsia="方正仿宋_GBK"/>
          <w:sz w:val="32"/>
          <w:szCs w:val="32"/>
        </w:rPr>
        <w:t>0.00</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与2023年度相比，无变化</w:t>
      </w:r>
      <w:r>
        <w:rPr>
          <w:rFonts w:ascii="Times New Roman" w:hAnsi="Times New Roman" w:eastAsia="方正仿宋_GBK"/>
          <w:sz w:val="32"/>
          <w:szCs w:val="32"/>
        </w:rPr>
        <w:t>，主要原因是：未使用财政资金保障</w:t>
      </w:r>
      <w:r>
        <w:rPr>
          <w:rFonts w:hint="default" w:ascii="Times New Roman" w:hAnsi="Times New Roman" w:eastAsia="方正仿宋_GBK"/>
          <w:sz w:val="32"/>
          <w:szCs w:val="32"/>
        </w:rPr>
        <w:t>培训费</w:t>
      </w:r>
      <w:r>
        <w:rPr>
          <w:rFonts w:ascii="Times New Roman" w:hAnsi="Times New Roman" w:eastAsia="方正仿宋_GBK"/>
          <w:sz w:val="32"/>
          <w:szCs w:val="32"/>
        </w:rPr>
        <w:t>。本年度差旅费支出</w:t>
      </w:r>
      <w:r>
        <w:rPr>
          <w:rFonts w:hint="default" w:ascii="Times New Roman" w:hAnsi="Times New Roman" w:eastAsia="方正仿宋_GBK"/>
          <w:sz w:val="32"/>
          <w:szCs w:val="32"/>
        </w:rPr>
        <w:t>0.00</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与2023年度相比，减少1.08万元，下降100.0%</w:t>
      </w:r>
      <w:r>
        <w:rPr>
          <w:rFonts w:ascii="Times New Roman" w:hAnsi="Times New Roman" w:eastAsia="方正仿宋_GBK"/>
          <w:sz w:val="32"/>
          <w:szCs w:val="32"/>
        </w:rPr>
        <w:t>，主要原因是：本单位本年度未使用财政资金保障差旅费。</w:t>
      </w:r>
    </w:p>
    <w:p w14:paraId="004AAB79">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（二）机关运行经费情况说明</w:t>
      </w:r>
    </w:p>
    <w:p w14:paraId="2707F2E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按照</w:t>
      </w:r>
      <w:r>
        <w:rPr>
          <w:rFonts w:hint="eastAsia" w:ascii="Times New Roman" w:hAnsi="Times New Roman" w:eastAsia="方正仿宋_GBK"/>
          <w:sz w:val="32"/>
          <w:szCs w:val="32"/>
          <w:lang w:eastAsia="zh-CN"/>
        </w:rPr>
        <w:t>单位</w:t>
      </w:r>
      <w:r>
        <w:rPr>
          <w:rFonts w:hint="default" w:ascii="Times New Roman" w:hAnsi="Times New Roman" w:eastAsia="方正仿宋_GBK"/>
          <w:sz w:val="32"/>
          <w:szCs w:val="32"/>
        </w:rPr>
        <w:t>决算列报口径，我</w:t>
      </w:r>
      <w:r>
        <w:rPr>
          <w:rFonts w:ascii="Times New Roman" w:hAnsi="Times New Roman" w:eastAsia="方正仿宋_GBK"/>
          <w:sz w:val="32"/>
          <w:szCs w:val="32"/>
        </w:rPr>
        <w:t>单位</w:t>
      </w:r>
      <w:r>
        <w:rPr>
          <w:rFonts w:hint="default" w:ascii="Times New Roman" w:hAnsi="Times New Roman" w:eastAsia="方正仿宋_GBK"/>
          <w:sz w:val="32"/>
          <w:szCs w:val="32"/>
        </w:rPr>
        <w:t>不在机关运行经费统计范围之内。</w:t>
      </w:r>
    </w:p>
    <w:p w14:paraId="311F3928">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（三）国有资产占用情况说明</w:t>
      </w:r>
    </w:p>
    <w:p w14:paraId="64D5A0A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截至</w:t>
      </w:r>
      <w:r>
        <w:rPr>
          <w:rFonts w:hint="default" w:ascii="Times New Roman" w:hAnsi="Times New Roman" w:eastAsia="方正仿宋_GBK"/>
          <w:sz w:val="32"/>
          <w:szCs w:val="32"/>
        </w:rPr>
        <w:t>2024</w:t>
      </w:r>
      <w:r>
        <w:rPr>
          <w:rFonts w:ascii="Times New Roman" w:hAnsi="Times New Roman" w:eastAsia="方正仿宋_GBK"/>
          <w:sz w:val="32"/>
          <w:szCs w:val="32"/>
        </w:rPr>
        <w:t>年</w:t>
      </w:r>
      <w:r>
        <w:rPr>
          <w:rFonts w:hint="default" w:ascii="Times New Roman" w:hAnsi="Times New Roman" w:eastAsia="方正仿宋_GBK"/>
          <w:sz w:val="32"/>
          <w:szCs w:val="32"/>
        </w:rPr>
        <w:t>12</w:t>
      </w:r>
      <w:r>
        <w:rPr>
          <w:rFonts w:ascii="Times New Roman" w:hAnsi="Times New Roman" w:eastAsia="方正仿宋_GBK"/>
          <w:sz w:val="32"/>
          <w:szCs w:val="32"/>
        </w:rPr>
        <w:t>月</w:t>
      </w:r>
      <w:r>
        <w:rPr>
          <w:rFonts w:hint="default" w:ascii="Times New Roman" w:hAnsi="Times New Roman" w:eastAsia="方正仿宋_GBK"/>
          <w:sz w:val="32"/>
          <w:szCs w:val="32"/>
        </w:rPr>
        <w:t>31</w:t>
      </w:r>
      <w:r>
        <w:rPr>
          <w:rFonts w:ascii="Times New Roman" w:hAnsi="Times New Roman" w:eastAsia="方正仿宋_GBK"/>
          <w:sz w:val="32"/>
          <w:szCs w:val="32"/>
        </w:rPr>
        <w:t>日，本单位共有车辆</w:t>
      </w:r>
      <w:r>
        <w:rPr>
          <w:rFonts w:hint="default" w:ascii="Times New Roman" w:hAnsi="Times New Roman" w:eastAsia="方正仿宋_GBK"/>
          <w:sz w:val="32"/>
          <w:szCs w:val="32"/>
        </w:rPr>
        <w:t>1</w:t>
      </w:r>
      <w:r>
        <w:rPr>
          <w:rFonts w:ascii="Times New Roman" w:hAnsi="Times New Roman" w:eastAsia="方正仿宋_GBK"/>
          <w:sz w:val="32"/>
          <w:szCs w:val="32"/>
        </w:rPr>
        <w:t>辆，其中，副部（省）级及以上领导用车</w:t>
      </w:r>
      <w:r>
        <w:rPr>
          <w:rFonts w:hint="default" w:ascii="Times New Roman" w:hAnsi="Times New Roman" w:eastAsia="方正仿宋_GBK"/>
          <w:sz w:val="32"/>
          <w:szCs w:val="32"/>
        </w:rPr>
        <w:t>0</w:t>
      </w:r>
      <w:r>
        <w:rPr>
          <w:rFonts w:ascii="Times New Roman" w:hAnsi="Times New Roman" w:eastAsia="方正仿宋_GBK"/>
          <w:sz w:val="32"/>
          <w:szCs w:val="32"/>
        </w:rPr>
        <w:t>辆、主要负责人用车</w:t>
      </w:r>
      <w:r>
        <w:rPr>
          <w:rFonts w:hint="default" w:ascii="Times New Roman" w:hAnsi="Times New Roman" w:eastAsia="方正仿宋_GBK"/>
          <w:sz w:val="32"/>
          <w:szCs w:val="32"/>
        </w:rPr>
        <w:t>0</w:t>
      </w:r>
      <w:r>
        <w:rPr>
          <w:rFonts w:ascii="Times New Roman" w:hAnsi="Times New Roman" w:eastAsia="方正仿宋_GBK"/>
          <w:sz w:val="32"/>
          <w:szCs w:val="32"/>
        </w:rPr>
        <w:t>辆、机要通信用车</w:t>
      </w:r>
      <w:r>
        <w:rPr>
          <w:rFonts w:hint="default" w:ascii="Times New Roman" w:hAnsi="Times New Roman" w:eastAsia="方正仿宋_GBK"/>
          <w:sz w:val="32"/>
          <w:szCs w:val="32"/>
        </w:rPr>
        <w:t>0</w:t>
      </w:r>
      <w:r>
        <w:rPr>
          <w:rFonts w:ascii="Times New Roman" w:hAnsi="Times New Roman" w:eastAsia="方正仿宋_GBK"/>
          <w:sz w:val="32"/>
          <w:szCs w:val="32"/>
        </w:rPr>
        <w:t>辆、应急保障用车</w:t>
      </w:r>
      <w:r>
        <w:rPr>
          <w:rFonts w:hint="default" w:ascii="Times New Roman" w:hAnsi="Times New Roman" w:eastAsia="方正仿宋_GBK"/>
          <w:sz w:val="32"/>
          <w:szCs w:val="32"/>
        </w:rPr>
        <w:t>0</w:t>
      </w:r>
      <w:r>
        <w:rPr>
          <w:rFonts w:ascii="Times New Roman" w:hAnsi="Times New Roman" w:eastAsia="方正仿宋_GBK"/>
          <w:sz w:val="32"/>
          <w:szCs w:val="32"/>
        </w:rPr>
        <w:t>辆、执法执勤用车</w:t>
      </w:r>
      <w:r>
        <w:rPr>
          <w:rFonts w:hint="default" w:ascii="Times New Roman" w:hAnsi="Times New Roman" w:eastAsia="方正仿宋_GBK"/>
          <w:sz w:val="32"/>
          <w:szCs w:val="32"/>
        </w:rPr>
        <w:t>0</w:t>
      </w:r>
      <w:r>
        <w:rPr>
          <w:rFonts w:ascii="Times New Roman" w:hAnsi="Times New Roman" w:eastAsia="方正仿宋_GBK"/>
          <w:sz w:val="32"/>
          <w:szCs w:val="32"/>
        </w:rPr>
        <w:t>辆，特种专业技术用车</w:t>
      </w:r>
      <w:r>
        <w:rPr>
          <w:rFonts w:hint="default" w:ascii="Times New Roman" w:hAnsi="Times New Roman" w:eastAsia="方正仿宋_GBK"/>
          <w:sz w:val="32"/>
          <w:szCs w:val="32"/>
        </w:rPr>
        <w:t>1</w:t>
      </w:r>
      <w:r>
        <w:rPr>
          <w:rFonts w:ascii="Times New Roman" w:hAnsi="Times New Roman" w:eastAsia="方正仿宋_GBK"/>
          <w:sz w:val="32"/>
          <w:szCs w:val="32"/>
        </w:rPr>
        <w:t>辆，离退休干部用车</w:t>
      </w:r>
      <w:r>
        <w:rPr>
          <w:rFonts w:hint="default" w:ascii="Times New Roman" w:hAnsi="Times New Roman" w:eastAsia="方正仿宋_GBK"/>
          <w:sz w:val="32"/>
          <w:szCs w:val="32"/>
        </w:rPr>
        <w:t>0</w:t>
      </w:r>
      <w:r>
        <w:rPr>
          <w:rFonts w:ascii="Times New Roman" w:hAnsi="Times New Roman" w:eastAsia="方正仿宋_GBK"/>
          <w:sz w:val="32"/>
          <w:szCs w:val="32"/>
        </w:rPr>
        <w:t>辆。单价</w:t>
      </w:r>
      <w:r>
        <w:rPr>
          <w:rFonts w:hint="default" w:ascii="Times New Roman" w:hAnsi="Times New Roman" w:eastAsia="方正仿宋_GBK"/>
          <w:sz w:val="32"/>
          <w:szCs w:val="32"/>
        </w:rPr>
        <w:t>100</w:t>
      </w:r>
      <w:r>
        <w:rPr>
          <w:rFonts w:ascii="Times New Roman" w:hAnsi="Times New Roman" w:eastAsia="方正仿宋_GBK"/>
          <w:sz w:val="32"/>
          <w:szCs w:val="32"/>
        </w:rPr>
        <w:t>万元（含）以上专用设备</w:t>
      </w:r>
      <w:r>
        <w:rPr>
          <w:rFonts w:hint="default" w:ascii="Times New Roman" w:hAnsi="Times New Roman" w:eastAsia="方正仿宋_GBK"/>
          <w:sz w:val="32"/>
          <w:szCs w:val="32"/>
        </w:rPr>
        <w:t>0</w:t>
      </w:r>
      <w:r>
        <w:rPr>
          <w:rFonts w:ascii="Times New Roman" w:hAnsi="Times New Roman" w:eastAsia="方正仿宋_GBK"/>
          <w:sz w:val="32"/>
          <w:szCs w:val="32"/>
        </w:rPr>
        <w:t>台（套）。</w:t>
      </w:r>
    </w:p>
    <w:p w14:paraId="5B605E14">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（四）政府采购支出情况说明</w:t>
      </w:r>
    </w:p>
    <w:p w14:paraId="0ED1522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2024</w:t>
      </w:r>
      <w:r>
        <w:rPr>
          <w:rFonts w:ascii="Times New Roman" w:hAnsi="Times New Roman" w:eastAsia="方正仿宋_GBK"/>
          <w:sz w:val="32"/>
          <w:szCs w:val="32"/>
        </w:rPr>
        <w:t>年度本单位政府采购支出总额</w:t>
      </w:r>
      <w:r>
        <w:rPr>
          <w:rFonts w:hint="default" w:ascii="Times New Roman" w:hAnsi="Times New Roman" w:eastAsia="方正仿宋_GBK"/>
          <w:sz w:val="32"/>
          <w:szCs w:val="32"/>
        </w:rPr>
        <w:t>0.89</w:t>
      </w:r>
      <w:r>
        <w:rPr>
          <w:rFonts w:ascii="Times New Roman" w:hAnsi="Times New Roman" w:eastAsia="方正仿宋_GBK"/>
          <w:sz w:val="32"/>
          <w:szCs w:val="32"/>
        </w:rPr>
        <w:t>万元，其中：政府采购货物支出</w:t>
      </w:r>
      <w:r>
        <w:rPr>
          <w:rFonts w:hint="default" w:ascii="Times New Roman" w:hAnsi="Times New Roman" w:eastAsia="方正仿宋_GBK"/>
          <w:sz w:val="32"/>
          <w:szCs w:val="32"/>
        </w:rPr>
        <w:t>0.89</w:t>
      </w:r>
      <w:r>
        <w:rPr>
          <w:rFonts w:ascii="Times New Roman" w:hAnsi="Times New Roman" w:eastAsia="方正仿宋_GBK"/>
          <w:sz w:val="32"/>
          <w:szCs w:val="32"/>
        </w:rPr>
        <w:t>万元、政府采购工程支出</w:t>
      </w:r>
      <w:r>
        <w:rPr>
          <w:rFonts w:hint="default" w:ascii="Times New Roman" w:hAnsi="Times New Roman" w:eastAsia="方正仿宋_GBK"/>
          <w:sz w:val="32"/>
          <w:szCs w:val="32"/>
        </w:rPr>
        <w:t>0.00</w:t>
      </w:r>
      <w:r>
        <w:rPr>
          <w:rFonts w:ascii="Times New Roman" w:hAnsi="Times New Roman" w:eastAsia="方正仿宋_GBK"/>
          <w:sz w:val="32"/>
          <w:szCs w:val="32"/>
        </w:rPr>
        <w:t>万元、政府采购服务支出</w:t>
      </w:r>
      <w:r>
        <w:rPr>
          <w:rFonts w:hint="default" w:ascii="Times New Roman" w:hAnsi="Times New Roman" w:eastAsia="方正仿宋_GBK"/>
          <w:sz w:val="32"/>
          <w:szCs w:val="32"/>
        </w:rPr>
        <w:t>0.00</w:t>
      </w:r>
      <w:r>
        <w:rPr>
          <w:rFonts w:ascii="Times New Roman" w:hAnsi="Times New Roman" w:eastAsia="方正仿宋_GBK"/>
          <w:sz w:val="32"/>
          <w:szCs w:val="32"/>
        </w:rPr>
        <w:t>万元。授予中小企业合同金额</w:t>
      </w:r>
      <w:r>
        <w:rPr>
          <w:rFonts w:hint="default" w:ascii="Times New Roman" w:hAnsi="Times New Roman" w:eastAsia="方正仿宋_GBK"/>
          <w:sz w:val="32"/>
          <w:szCs w:val="32"/>
        </w:rPr>
        <w:t>0.89</w:t>
      </w:r>
      <w:r>
        <w:rPr>
          <w:rFonts w:ascii="Times New Roman" w:hAnsi="Times New Roman" w:eastAsia="方正仿宋_GBK"/>
          <w:sz w:val="32"/>
          <w:szCs w:val="32"/>
        </w:rPr>
        <w:t>万元，占政府采购支出总额的</w:t>
      </w:r>
      <w:r>
        <w:rPr>
          <w:rFonts w:hint="default" w:ascii="Times New Roman" w:hAnsi="Times New Roman" w:eastAsia="方正仿宋_GBK"/>
          <w:sz w:val="32"/>
          <w:szCs w:val="32"/>
        </w:rPr>
        <w:t>100.0%</w:t>
      </w:r>
      <w:r>
        <w:rPr>
          <w:rFonts w:ascii="Times New Roman" w:hAnsi="Times New Roman" w:eastAsia="方正仿宋_GBK"/>
          <w:sz w:val="32"/>
          <w:szCs w:val="32"/>
        </w:rPr>
        <w:t>，其中：授予小微企业合同金额</w:t>
      </w:r>
      <w:r>
        <w:rPr>
          <w:rFonts w:hint="default" w:ascii="Times New Roman" w:hAnsi="Times New Roman" w:eastAsia="方正仿宋_GBK"/>
          <w:sz w:val="32"/>
          <w:szCs w:val="32"/>
        </w:rPr>
        <w:t>0.89</w:t>
      </w:r>
      <w:r>
        <w:rPr>
          <w:rFonts w:ascii="Times New Roman" w:hAnsi="Times New Roman" w:eastAsia="方正仿宋_GBK"/>
          <w:sz w:val="32"/>
          <w:szCs w:val="32"/>
        </w:rPr>
        <w:t>万元，占政府采购支出总额的</w:t>
      </w:r>
      <w:r>
        <w:rPr>
          <w:rFonts w:hint="default" w:ascii="Times New Roman" w:hAnsi="Times New Roman" w:eastAsia="方正仿宋_GBK"/>
          <w:sz w:val="32"/>
          <w:szCs w:val="32"/>
        </w:rPr>
        <w:t>100.0 %</w:t>
      </w:r>
      <w:r>
        <w:rPr>
          <w:rFonts w:ascii="Times New Roman" w:hAnsi="Times New Roman" w:eastAsia="方正仿宋_GBK"/>
          <w:sz w:val="32"/>
          <w:szCs w:val="32"/>
        </w:rPr>
        <w:t>。主要用于采购A4复印纸0.35万元及空调0.54万元。</w:t>
      </w:r>
    </w:p>
    <w:p w14:paraId="47ADB90D">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五、</w:t>
      </w:r>
      <w:r>
        <w:rPr>
          <w:rFonts w:hint="default" w:ascii="Times New Roman" w:hAnsi="Times New Roman" w:eastAsia="方正黑体_GBK" w:cs="Times New Roman"/>
          <w:b/>
          <w:bCs/>
          <w:sz w:val="32"/>
          <w:szCs w:val="32"/>
        </w:rPr>
        <w:t>2024</w:t>
      </w:r>
      <w:r>
        <w:rPr>
          <w:rFonts w:hint="eastAsia" w:ascii="方正黑体_GBK" w:hAnsi="方正黑体_GBK" w:eastAsia="方正黑体_GBK" w:cs="方正黑体_GBK"/>
          <w:b/>
          <w:bCs/>
          <w:sz w:val="32"/>
          <w:szCs w:val="32"/>
        </w:rPr>
        <w:t>年度预算绩效管理情况说明</w:t>
      </w:r>
    </w:p>
    <w:p w14:paraId="5152FA6C">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（一）单位自评情况</w:t>
      </w:r>
    </w:p>
    <w:p w14:paraId="0460EDE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按照预算绩效管理要求，我单位对</w:t>
      </w:r>
      <w:r>
        <w:rPr>
          <w:rFonts w:hint="eastAsia" w:ascii="Times New Roman" w:hAnsi="Times New Roman" w:eastAsia="方正仿宋_GBK"/>
          <w:sz w:val="32"/>
          <w:szCs w:val="32"/>
        </w:rPr>
        <w:t>3个项目开展了绩效自评，其中，以填报目标自评表形式开展自评3项，涉及资金123.64万元。从评价情况来看，项目立项较为规范，绩效目标明确，预算编制合理，管理科学规范，资金到位及时，总体完成情况较好，有力保障了本单位的医疗卫生服务能力，项目基本达到了预期绩效目标。项目绩效表见附件。</w:t>
      </w:r>
    </w:p>
    <w:p w14:paraId="24E069BA">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（二）单位绩效评价情况</w:t>
      </w:r>
    </w:p>
    <w:p w14:paraId="68D42D7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我单位未组织开展绩效评价。</w:t>
      </w:r>
    </w:p>
    <w:p w14:paraId="47981C5F">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（三）财政绩效评价情况</w:t>
      </w:r>
    </w:p>
    <w:p w14:paraId="7B92714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县财政局未委托第三方对我单位开展绩效评价。</w:t>
      </w:r>
    </w:p>
    <w:p w14:paraId="59A8BF85">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黑体_GBK" w:hAnsi="方正黑体_GBK" w:eastAsia="方正黑体_GBK" w:cs="方正黑体_GBK"/>
          <w:b/>
          <w:bCs/>
          <w:sz w:val="32"/>
          <w:szCs w:val="32"/>
        </w:rPr>
        <w:t>六、专业名词解释</w:t>
      </w:r>
    </w:p>
    <w:p w14:paraId="5016374A">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（一）财政拨款收入：</w:t>
      </w:r>
      <w:r>
        <w:rPr>
          <w:rFonts w:hint="eastAsia" w:ascii="Times New Roman" w:hAnsi="Times New Roman" w:eastAsia="方正仿宋_GBK"/>
          <w:sz w:val="32"/>
          <w:szCs w:val="32"/>
        </w:rPr>
        <w:t>指本年度从本级财政部门取得的财政拨款，包括一般公共预算财政拨款和政府性基金预算财政拨款。</w:t>
      </w:r>
    </w:p>
    <w:p w14:paraId="6996F8EC">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（二）事业收入：</w:t>
      </w:r>
      <w:r>
        <w:rPr>
          <w:rFonts w:hint="eastAsia" w:ascii="Times New Roman" w:hAnsi="Times New Roman" w:eastAsia="方正仿宋_GBK"/>
          <w:sz w:val="32"/>
          <w:szCs w:val="32"/>
        </w:rPr>
        <w:t>指事业单位开展专业业务活动及其辅助活动取得的现金流入；事业单位收到的财政专户实际核拨的教育收费等资金在此反映。</w:t>
      </w:r>
    </w:p>
    <w:p w14:paraId="32A59370">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（三）经营收入：</w:t>
      </w:r>
      <w:r>
        <w:rPr>
          <w:rFonts w:hint="eastAsia" w:ascii="Times New Roman" w:hAnsi="Times New Roman" w:eastAsia="方正仿宋_GBK"/>
          <w:sz w:val="32"/>
          <w:szCs w:val="32"/>
        </w:rPr>
        <w:t>指事业单位在专业业务活动及其辅助活动之外开展非独立核算经营活动取得的现金流入。</w:t>
      </w:r>
    </w:p>
    <w:p w14:paraId="5EF2A957">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（四）其他收入：</w:t>
      </w:r>
      <w:r>
        <w:rPr>
          <w:rFonts w:hint="eastAsia" w:ascii="Times New Roman" w:hAnsi="Times New Roman" w:eastAsia="方正仿宋_GBK"/>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98FD5CE">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（五）使用非财政拨款结余（含专用结余）：</w:t>
      </w:r>
      <w:r>
        <w:rPr>
          <w:rFonts w:hint="eastAsia" w:ascii="Times New Roman" w:hAnsi="Times New Roman" w:eastAsia="方正仿宋_GBK"/>
          <w:sz w:val="32"/>
          <w:szCs w:val="32"/>
        </w:rPr>
        <w:t>指单位在当年的“财政拨款收入”、“事业收入”、“经营收入”、“其他收入”等不足以安排当年支出的情况下，使用以前年度积累的非财政拨款结余弥补本年度收支缺口的资金。</w:t>
      </w:r>
    </w:p>
    <w:p w14:paraId="0E14C0D4">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（六）年初结转和结余：</w:t>
      </w:r>
      <w:r>
        <w:rPr>
          <w:rFonts w:hint="eastAsia" w:ascii="Times New Roman" w:hAnsi="Times New Roman" w:eastAsia="方正仿宋_GBK"/>
          <w:sz w:val="32"/>
          <w:szCs w:val="32"/>
        </w:rPr>
        <w:t>指单位上年结转本年使用的基本支出结转、项目支出结转和结余、经营结余。</w:t>
      </w:r>
    </w:p>
    <w:p w14:paraId="5C3A9231">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（七）结余分配：</w:t>
      </w:r>
      <w:r>
        <w:rPr>
          <w:rFonts w:hint="eastAsia" w:ascii="Times New Roman" w:hAnsi="Times New Roman" w:eastAsia="方正仿宋_GBK"/>
          <w:sz w:val="32"/>
          <w:szCs w:val="32"/>
        </w:rPr>
        <w:t>指单位按照国家有关规定，缴纳所得税、提取专用基金、转入非财政拨款结余等当年结余的分配情况。</w:t>
      </w:r>
    </w:p>
    <w:p w14:paraId="6D2ABC32">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（八）年末结转和结余：</w:t>
      </w:r>
      <w:r>
        <w:rPr>
          <w:rFonts w:hint="eastAsia" w:ascii="Times New Roman" w:hAnsi="Times New Roman" w:eastAsia="方正仿宋_GBK"/>
          <w:sz w:val="32"/>
          <w:szCs w:val="32"/>
        </w:rPr>
        <w:t>指单位结转下年的基本支出结转、项目支出结转和结余、经营结余。</w:t>
      </w:r>
    </w:p>
    <w:p w14:paraId="36E100D7">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（九）基本支出：</w:t>
      </w:r>
      <w:r>
        <w:rPr>
          <w:rFonts w:hint="eastAsia" w:ascii="Times New Roman" w:hAnsi="Times New Roman" w:eastAsia="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06F282B">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（十）项目支出：</w:t>
      </w:r>
      <w:r>
        <w:rPr>
          <w:rFonts w:hint="eastAsia" w:ascii="Times New Roman" w:hAnsi="Times New Roman" w:eastAsia="方正仿宋_GBK"/>
          <w:sz w:val="32"/>
          <w:szCs w:val="32"/>
        </w:rPr>
        <w:t>指在基本支出之外为完成特定行政任务和事业发展目标所发生的支出。</w:t>
      </w:r>
    </w:p>
    <w:p w14:paraId="0F0C63AA">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（十一）经营支出：</w:t>
      </w:r>
      <w:r>
        <w:rPr>
          <w:rFonts w:hint="eastAsia" w:ascii="Times New Roman" w:hAnsi="Times New Roman" w:eastAsia="方正仿宋_GBK"/>
          <w:sz w:val="32"/>
          <w:szCs w:val="32"/>
        </w:rPr>
        <w:t>指事业单位在专业业务活动及其辅助活动之外开展非独立核算经营活动发生的支出。</w:t>
      </w:r>
    </w:p>
    <w:p w14:paraId="12F37B4C">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（十二）“三公”经费：</w:t>
      </w:r>
      <w:r>
        <w:rPr>
          <w:rFonts w:hint="eastAsia" w:ascii="Times New Roman" w:hAnsi="Times New Roman"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FB2C5C6">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（十三）机关运行经费：</w:t>
      </w:r>
      <w:r>
        <w:rPr>
          <w:rFonts w:hint="eastAsia" w:ascii="Times New Roman" w:hAnsi="Times New Roman" w:eastAsia="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CF25F41">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（十四）工资福利支出（支出经济分类科目类级）：</w:t>
      </w:r>
      <w:r>
        <w:rPr>
          <w:rFonts w:hint="eastAsia" w:ascii="Times New Roman" w:hAnsi="Times New Roman" w:eastAsia="方正仿宋_GBK"/>
          <w:sz w:val="32"/>
          <w:szCs w:val="32"/>
        </w:rPr>
        <w:t>反映单位开支的在职职工和编制外长期聘用人员的各类劳动报酬，以及为上述人员缴纳的各项社会保险费等。</w:t>
      </w:r>
    </w:p>
    <w:p w14:paraId="5F2FF1BA">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（十五）商品和服务支出（支出经济分类科目类级）：</w:t>
      </w:r>
      <w:r>
        <w:rPr>
          <w:rFonts w:hint="eastAsia" w:ascii="Times New Roman" w:hAnsi="Times New Roman" w:eastAsia="方正仿宋_GBK"/>
          <w:sz w:val="32"/>
          <w:szCs w:val="32"/>
        </w:rPr>
        <w:t>反映单位购买商品和服务的支出（不包括用于购置固定资产的支出、战略性和应急储备支出）。</w:t>
      </w:r>
    </w:p>
    <w:p w14:paraId="0CF374F3">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b/>
          <w:bCs/>
          <w:sz w:val="32"/>
          <w:szCs w:val="32"/>
        </w:rPr>
        <w:t>（十六）对个人和家庭的补助（支出经济分类科目类级）：</w:t>
      </w:r>
      <w:r>
        <w:rPr>
          <w:rFonts w:hint="eastAsia" w:ascii="Times New Roman" w:hAnsi="Times New Roman" w:eastAsia="方正仿宋_GBK"/>
          <w:sz w:val="32"/>
          <w:szCs w:val="32"/>
        </w:rPr>
        <w:t>反映用于对个人和家庭的补助支出。</w:t>
      </w:r>
    </w:p>
    <w:p w14:paraId="5BC9F033">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bookmarkStart w:id="0" w:name="_GoBack"/>
      <w:r>
        <w:rPr>
          <w:rFonts w:hint="eastAsia" w:ascii="方正楷体_GBK" w:hAnsi="方正楷体_GBK" w:eastAsia="方正楷体_GBK" w:cs="方正楷体_GBK"/>
          <w:b/>
          <w:bCs/>
          <w:sz w:val="32"/>
          <w:szCs w:val="32"/>
        </w:rPr>
        <w:t>（十七）其他资本性支出（支出经济分类科目类级）：</w:t>
      </w:r>
      <w:bookmarkEnd w:id="0"/>
      <w:r>
        <w:rPr>
          <w:rFonts w:hint="eastAsia" w:ascii="Times New Roman" w:hAnsi="Times New Roman" w:eastAsia="方正仿宋_GBK"/>
          <w:sz w:val="32"/>
          <w:szCs w:val="32"/>
        </w:rPr>
        <w:t>反映非各级发展与改革部门集中安排的用于购置固定资产、战略性和应急性储备、土地和无形资产，以及构建基础设施、大型修缮和财政支持企业更新改造所发生的支出。</w:t>
      </w:r>
    </w:p>
    <w:p w14:paraId="7B666614">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七、决算公开联系方式及信息反馈渠道</w:t>
      </w:r>
    </w:p>
    <w:p w14:paraId="326FC1D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本单位决算公开信息反馈和联系方式：</w:t>
      </w:r>
    </w:p>
    <w:p w14:paraId="781CD04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rPr>
        <w:sectPr>
          <w:footerReference r:id="rId3" w:type="default"/>
          <w:pgSz w:w="11915" w:h="16840"/>
          <w:pgMar w:top="2098" w:right="1474" w:bottom="1984" w:left="1587" w:header="851" w:footer="992" w:gutter="0"/>
          <w:pgNumType w:fmt="numberInDash"/>
          <w:cols w:space="720" w:num="1"/>
          <w:docGrid w:type="lines" w:linePitch="312" w:charSpace="0"/>
        </w:sectPr>
      </w:pPr>
      <w:r>
        <w:rPr>
          <w:rFonts w:hint="eastAsia" w:ascii="Times New Roman" w:hAnsi="Times New Roman" w:eastAsia="方正仿宋_GBK"/>
          <w:sz w:val="32"/>
          <w:szCs w:val="32"/>
        </w:rPr>
        <w:t xml:space="preserve">冉龙兵  </w:t>
      </w: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023-</w:t>
      </w:r>
      <w:r>
        <w:rPr>
          <w:rFonts w:hint="eastAsia" w:ascii="Times New Roman" w:hAnsi="Times New Roman" w:eastAsia="方正仿宋_GBK"/>
          <w:sz w:val="32"/>
          <w:szCs w:val="32"/>
        </w:rPr>
        <w:t>70715336</w:t>
      </w: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05593A90">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14:paraId="5781958E">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0E0795B7">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14:paraId="67058B18">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14:paraId="6FD8D22A">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14:paraId="6B881E7A">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14:paraId="1AD60298">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1FAE6537">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14:paraId="48C22EE7">
            <w:pPr>
              <w:spacing w:line="280" w:lineRule="exact"/>
              <w:rPr>
                <w:rFonts w:hint="default" w:ascii="Arial" w:hAnsi="Arial" w:cs="Arial"/>
                <w:color w:val="000000"/>
                <w:sz w:val="22"/>
                <w:szCs w:val="22"/>
              </w:rPr>
            </w:pPr>
            <w:r>
              <w:rPr>
                <w:rFonts w:cs="宋体"/>
                <w:sz w:val="20"/>
                <w:szCs w:val="20"/>
              </w:rPr>
              <w:t>单位：</w:t>
            </w:r>
            <w:r>
              <w:rPr>
                <w:sz w:val="20"/>
              </w:rPr>
              <w:t>丰都县虎威镇卫生院</w:t>
            </w:r>
          </w:p>
        </w:tc>
        <w:tc>
          <w:tcPr>
            <w:tcW w:w="4044" w:type="dxa"/>
            <w:tcBorders>
              <w:top w:val="nil"/>
              <w:left w:val="nil"/>
              <w:bottom w:val="nil"/>
              <w:right w:val="nil"/>
            </w:tcBorders>
            <w:shd w:val="clear" w:color="auto" w:fill="auto"/>
            <w:tcMar>
              <w:top w:w="15" w:type="dxa"/>
              <w:left w:w="15" w:type="dxa"/>
              <w:right w:w="15" w:type="dxa"/>
            </w:tcMar>
            <w:vAlign w:val="bottom"/>
          </w:tcPr>
          <w:p w14:paraId="64429E54">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14:paraId="5B745FC4">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DAE8B2C">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01049">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6095D47">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13FCEAA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43065">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56E9AF">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F4F36B">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A20AD2">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20E51AE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D629B">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47219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595.54</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D8F30D">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B2ECF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69DB1A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8BC9E">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15184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2CA790">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9C08F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EF3C23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A7C65">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D108A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CD573C">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BD6FF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06003F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D9867">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0422E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8F9CDF">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1305A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A74751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846A5">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FDDE9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382.51</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2BAD8F">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A703C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8A93ED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C2377">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920BF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CB431B">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573D3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834899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A7583">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3528C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B05658">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9DF2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67FD75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195AA">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14:paraId="21D84CD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E37EF6">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E5967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52.92</w:t>
            </w:r>
            <w:r>
              <w:rPr>
                <w:rFonts w:ascii="Times New Roman" w:hAnsi="Times New Roman"/>
                <w:color w:val="000000"/>
                <w:sz w:val="20"/>
              </w:rPr>
              <w:t xml:space="preserve"> </w:t>
            </w:r>
          </w:p>
        </w:tc>
      </w:tr>
      <w:tr w14:paraId="788EAEE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FA4FD">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60339B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334605">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59BF6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944.60</w:t>
            </w:r>
            <w:r>
              <w:rPr>
                <w:rFonts w:ascii="Times New Roman" w:hAnsi="Times New Roman"/>
                <w:color w:val="000000"/>
                <w:sz w:val="20"/>
              </w:rPr>
              <w:t xml:space="preserve"> </w:t>
            </w:r>
          </w:p>
        </w:tc>
      </w:tr>
      <w:tr w14:paraId="75A084E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AC2FF">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96D15A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E8D12E">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37E3A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8D21E4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BA633">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6D4159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36101D">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E0FA8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4451A6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09FCC">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F1E861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7A8872">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426B1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EE567C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FCB20">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B635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499C1A">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D321C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E0E41A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4DC5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DFA28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C6736C">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8C4C4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4789FF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A4FF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403E0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E08972">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B6AFA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0A2C01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8ADF0">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C5F9E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134FE9">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73D2E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DA5321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0B980">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5AA6A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B770BF">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12C18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7790811">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B411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89990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F420EF">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406CC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ACA7CD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C630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D42D3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9A5A92">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33E7B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59A81B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B6368">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3A098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BE26C7">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EA861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EE51A9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BD1A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60BFA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72F449">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38855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8841D6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128A1">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CAD0D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E6D666">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CF824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306050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8FFD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715C2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25590C">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C4177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FE72BF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7A772">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3A0BB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20F025">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AD5B2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7CAD7D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32582">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15142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F926D8">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87F03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C2C097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ED7C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E69BB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D7B5B4">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6AC1D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6F2155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95031">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53AC3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981.31</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09100A">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12635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997.52</w:t>
            </w:r>
            <w:r>
              <w:rPr>
                <w:rFonts w:ascii="Times New Roman" w:hAnsi="Times New Roman"/>
                <w:color w:val="000000"/>
                <w:sz w:val="20"/>
              </w:rPr>
              <w:t xml:space="preserve"> </w:t>
            </w:r>
          </w:p>
        </w:tc>
      </w:tr>
      <w:tr w14:paraId="40BAA57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8C128">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C1FBE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16.21</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0B9BA7">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E3CAC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E4115E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285FC">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D30BA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D40C0E">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29D4930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ECB365F">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9A38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A540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997.52</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5E4F6708">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035E7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997.52</w:t>
            </w:r>
            <w:r>
              <w:rPr>
                <w:rFonts w:ascii="Times New Roman" w:hAnsi="Times New Roman"/>
                <w:color w:val="000000"/>
                <w:sz w:val="20"/>
              </w:rPr>
              <w:t xml:space="preserve"> </w:t>
            </w:r>
          </w:p>
        </w:tc>
      </w:tr>
    </w:tbl>
    <w:p w14:paraId="79C09A84">
      <w:pPr>
        <w:rPr>
          <w:rFonts w:hint="default" w:cs="宋体"/>
          <w:sz w:val="21"/>
          <w:szCs w:val="21"/>
        </w:rPr>
      </w:pPr>
    </w:p>
    <w:p w14:paraId="325C748D">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4D08858D">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14:paraId="12E30C44">
            <w:pPr>
              <w:jc w:val="center"/>
              <w:textAlignment w:val="bottom"/>
              <w:rPr>
                <w:rFonts w:hint="default" w:cs="宋体"/>
                <w:b/>
                <w:color w:val="000000"/>
                <w:sz w:val="32"/>
                <w:szCs w:val="32"/>
              </w:rPr>
            </w:pPr>
            <w:r>
              <w:rPr>
                <w:rFonts w:cs="宋体"/>
                <w:b/>
                <w:color w:val="000000"/>
                <w:sz w:val="32"/>
                <w:szCs w:val="32"/>
              </w:rPr>
              <w:t>收入决算表</w:t>
            </w:r>
          </w:p>
        </w:tc>
      </w:tr>
      <w:tr w14:paraId="67E6A709">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14:paraId="5B25A45B">
            <w:pPr>
              <w:spacing w:line="280" w:lineRule="exact"/>
              <w:rPr>
                <w:rFonts w:hint="default" w:cs="宋体"/>
                <w:color w:val="000000"/>
                <w:sz w:val="20"/>
                <w:szCs w:val="20"/>
              </w:rPr>
            </w:pPr>
            <w:r>
              <w:rPr>
                <w:rFonts w:cs="宋体"/>
                <w:sz w:val="20"/>
                <w:szCs w:val="20"/>
              </w:rPr>
              <w:t>单位：</w:t>
            </w:r>
            <w:r>
              <w:rPr>
                <w:sz w:val="20"/>
              </w:rPr>
              <w:t>丰都县虎威镇卫生院</w:t>
            </w:r>
          </w:p>
        </w:tc>
        <w:tc>
          <w:tcPr>
            <w:tcW w:w="1451" w:type="dxa"/>
            <w:tcBorders>
              <w:top w:val="nil"/>
              <w:left w:val="nil"/>
              <w:bottom w:val="nil"/>
              <w:right w:val="nil"/>
            </w:tcBorders>
            <w:shd w:val="clear" w:color="auto" w:fill="auto"/>
            <w:tcMar>
              <w:top w:w="15" w:type="dxa"/>
              <w:left w:w="15" w:type="dxa"/>
              <w:right w:w="15" w:type="dxa"/>
            </w:tcMar>
            <w:vAlign w:val="bottom"/>
          </w:tcPr>
          <w:p w14:paraId="75F52AA1">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14:paraId="0272A926">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14:paraId="28EBE412">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14:paraId="11264E16">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14:paraId="421D3620">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14:paraId="5C6721F8">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14:paraId="5D00B786">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4AD93522">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14:paraId="7E314C5D">
            <w:pPr>
              <w:rPr>
                <w:rFonts w:hint="default" w:cs="宋体"/>
                <w:color w:val="000000"/>
                <w:sz w:val="20"/>
                <w:szCs w:val="20"/>
              </w:rPr>
            </w:pPr>
          </w:p>
        </w:tc>
        <w:tc>
          <w:tcPr>
            <w:tcW w:w="1451" w:type="dxa"/>
            <w:tcBorders>
              <w:top w:val="nil"/>
              <w:left w:val="nil"/>
              <w:bottom w:val="nil"/>
              <w:right w:val="nil"/>
            </w:tcBorders>
            <w:shd w:val="clear" w:color="auto" w:fill="auto"/>
            <w:tcMar>
              <w:top w:w="15" w:type="dxa"/>
              <w:left w:w="15" w:type="dxa"/>
              <w:right w:w="15" w:type="dxa"/>
            </w:tcMar>
            <w:vAlign w:val="bottom"/>
          </w:tcPr>
          <w:p w14:paraId="0CE11F24">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14:paraId="3B32CE51">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14:paraId="6895C322">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14:paraId="7A9527BF">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14:paraId="1E3C4DF1">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14:paraId="073A2486">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14:paraId="75FB0D53">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80C2A19">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14:paraId="12F5F353">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DF60D">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9DBD1">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B42A7">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17A33CC">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4166C">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AACCC">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D4854">
            <w:pPr>
              <w:jc w:val="center"/>
              <w:textAlignment w:val="center"/>
              <w:rPr>
                <w:rFonts w:hint="default" w:cs="宋体"/>
                <w:b/>
                <w:color w:val="000000"/>
                <w:sz w:val="20"/>
                <w:szCs w:val="20"/>
              </w:rPr>
            </w:pPr>
            <w:r>
              <w:rPr>
                <w:rFonts w:cs="宋体"/>
                <w:b/>
                <w:color w:val="000000"/>
                <w:sz w:val="20"/>
                <w:szCs w:val="20"/>
              </w:rPr>
              <w:t>其他收入</w:t>
            </w:r>
          </w:p>
        </w:tc>
      </w:tr>
      <w:tr w14:paraId="00698085">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10837">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6BBC6B4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1301F">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70969">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09595">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9903C">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D8D8D">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B0708">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01515">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39877">
            <w:pPr>
              <w:jc w:val="center"/>
              <w:rPr>
                <w:rFonts w:hint="default" w:cs="宋体"/>
                <w:b/>
                <w:color w:val="000000"/>
                <w:sz w:val="20"/>
                <w:szCs w:val="20"/>
              </w:rPr>
            </w:pPr>
          </w:p>
        </w:tc>
      </w:tr>
      <w:tr w14:paraId="535645D4">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95BDB">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6FA0F634">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408BF">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35FE6">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F655B">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61613">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30CD9">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C3360">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C5537">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DC594">
            <w:pPr>
              <w:jc w:val="center"/>
              <w:rPr>
                <w:rFonts w:hint="default" w:cs="宋体"/>
                <w:b/>
                <w:color w:val="000000"/>
                <w:sz w:val="20"/>
                <w:szCs w:val="20"/>
              </w:rPr>
            </w:pPr>
          </w:p>
        </w:tc>
      </w:tr>
      <w:tr w14:paraId="0E67C5E6">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CC589">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4A79559E">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85797">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F3E2C">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FC019">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9E927">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30F02">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751AA">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3425D">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71BC3">
            <w:pPr>
              <w:jc w:val="center"/>
              <w:rPr>
                <w:rFonts w:hint="default" w:cs="宋体"/>
                <w:b/>
                <w:color w:val="000000"/>
                <w:sz w:val="20"/>
                <w:szCs w:val="20"/>
              </w:rPr>
            </w:pPr>
          </w:p>
        </w:tc>
      </w:tr>
      <w:tr w14:paraId="2A195FDC">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7FCD9">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207927FE">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A204B">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2619B">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722FA">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7B14C">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566E9">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ADC7D">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6C1A3">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2DFF5">
            <w:pPr>
              <w:jc w:val="center"/>
              <w:rPr>
                <w:rFonts w:hint="default" w:cs="宋体"/>
                <w:b/>
                <w:color w:val="000000"/>
                <w:sz w:val="20"/>
                <w:szCs w:val="20"/>
              </w:rPr>
            </w:pPr>
          </w:p>
        </w:tc>
      </w:tr>
      <w:tr w14:paraId="676E743F">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1A4F2">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7A5E1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981.31</w:t>
            </w:r>
            <w:r>
              <w:rPr>
                <w:rFonts w:ascii="Times New Roman" w:hAnsi="Times New Roman"/>
                <w:b/>
                <w:color w:val="000000"/>
                <w:sz w:val="20"/>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5BE4D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595.54</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F112A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3BAF7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382.51</w:t>
            </w:r>
            <w:r>
              <w:rPr>
                <w:rFonts w:ascii="Times New Roman" w:hAnsi="Times New Roman"/>
                <w:b/>
                <w:color w:val="000000"/>
                <w:sz w:val="20"/>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131CA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CFC85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152AC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43CC8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3.26</w:t>
            </w:r>
            <w:r>
              <w:rPr>
                <w:rFonts w:ascii="Times New Roman" w:hAnsi="Times New Roman"/>
                <w:b/>
                <w:color w:val="000000"/>
                <w:sz w:val="20"/>
              </w:rPr>
              <w:t xml:space="preserve"> </w:t>
            </w:r>
          </w:p>
        </w:tc>
      </w:tr>
      <w:tr w14:paraId="3E5E940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97309">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F0521F">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5CD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52.92</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49A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52.92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B18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6A9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89E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88B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DCE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4A6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D0EDF8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4F76B">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F46883">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DF0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52.92</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4B0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52.92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28C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8A4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B62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6CE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BB5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EE5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6B883F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A5785">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BEBDEC">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EAE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0.18</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F7D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0A4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932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A90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776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BE0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0C1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6A1A3B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C36A6">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BE1FB6">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50B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569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6A4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BAF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B6A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D81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83B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C78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E71323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0CE16">
            <w:pPr>
              <w:textAlignment w:val="center"/>
              <w:rPr>
                <w:rFonts w:hint="default" w:cs="宋体"/>
                <w:color w:val="000000"/>
                <w:sz w:val="20"/>
                <w:szCs w:val="20"/>
              </w:rPr>
            </w:pPr>
            <w:r>
              <w:rPr>
                <w:rFonts w:cs="宋体"/>
                <w:color w:val="000000"/>
                <w:sz w:val="20"/>
                <w:szCs w:val="20"/>
              </w:rPr>
              <w:t>2080599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8FE0F6">
            <w:pPr>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318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50.28</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1B0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50.28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855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E63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9B0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C1F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741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B21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FE61CC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74B88">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14D9F1">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0EC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928.39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02E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542.62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6FC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F61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382.51</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BBF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342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53E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F4D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w:t>
            </w:r>
            <w:r>
              <w:rPr>
                <w:rFonts w:ascii="Times New Roman" w:hAnsi="Times New Roman"/>
                <w:b/>
                <w:color w:val="000000"/>
                <w:sz w:val="20"/>
              </w:rPr>
              <w:t xml:space="preserve"> </w:t>
            </w:r>
          </w:p>
        </w:tc>
      </w:tr>
      <w:tr w14:paraId="2434325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F27FF">
            <w:pPr>
              <w:textAlignment w:val="center"/>
              <w:rPr>
                <w:rFonts w:hint="default" w:cs="宋体"/>
                <w:color w:val="000000"/>
                <w:sz w:val="20"/>
                <w:szCs w:val="20"/>
              </w:rPr>
            </w:pPr>
            <w:r>
              <w:rPr>
                <w:rFonts w:cs="宋体"/>
                <w:b/>
                <w:color w:val="000000"/>
                <w:sz w:val="20"/>
                <w:szCs w:val="20"/>
              </w:rPr>
              <w:t>21003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1B1D2A">
            <w:pPr>
              <w:textAlignment w:val="center"/>
              <w:rPr>
                <w:rFonts w:hint="default" w:cs="宋体"/>
                <w:color w:val="000000"/>
                <w:sz w:val="20"/>
                <w:szCs w:val="20"/>
              </w:rPr>
            </w:pPr>
            <w:r>
              <w:rPr>
                <w:rFonts w:cs="宋体"/>
                <w:b/>
                <w:color w:val="000000"/>
                <w:sz w:val="20"/>
                <w:szCs w:val="20"/>
              </w:rPr>
              <w:t>基层医疗卫生机构</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907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802.76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995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416.99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44C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D6B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382.51</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1BC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0D6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3C7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348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w:t>
            </w:r>
            <w:r>
              <w:rPr>
                <w:rFonts w:ascii="Times New Roman" w:hAnsi="Times New Roman"/>
                <w:b/>
                <w:color w:val="000000"/>
                <w:sz w:val="20"/>
              </w:rPr>
              <w:t xml:space="preserve"> </w:t>
            </w:r>
          </w:p>
        </w:tc>
      </w:tr>
      <w:tr w14:paraId="014F758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80359">
            <w:pPr>
              <w:textAlignment w:val="center"/>
              <w:rPr>
                <w:rFonts w:hint="default" w:cs="宋体"/>
                <w:color w:val="000000"/>
                <w:sz w:val="20"/>
                <w:szCs w:val="20"/>
              </w:rPr>
            </w:pPr>
            <w:r>
              <w:rPr>
                <w:rFonts w:cs="宋体"/>
                <w:color w:val="000000"/>
                <w:sz w:val="20"/>
                <w:szCs w:val="20"/>
              </w:rPr>
              <w:t>2100302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2A6DB8">
            <w:pPr>
              <w:textAlignment w:val="center"/>
              <w:rPr>
                <w:rFonts w:hint="default" w:cs="宋体"/>
                <w:color w:val="000000"/>
                <w:sz w:val="20"/>
                <w:szCs w:val="20"/>
              </w:rPr>
            </w:pPr>
            <w:r>
              <w:rPr>
                <w:rFonts w:cs="宋体"/>
                <w:color w:val="000000"/>
                <w:sz w:val="20"/>
                <w:szCs w:val="20"/>
              </w:rPr>
              <w:t>乡镇卫生院</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4EF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802.76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409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416.99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48D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C77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382.51</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2F8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957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339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72D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w:t>
            </w:r>
            <w:r>
              <w:rPr>
                <w:rFonts w:ascii="Times New Roman" w:hAnsi="Times New Roman"/>
                <w:color w:val="000000"/>
                <w:sz w:val="20"/>
              </w:rPr>
              <w:t xml:space="preserve"> </w:t>
            </w:r>
          </w:p>
        </w:tc>
      </w:tr>
      <w:tr w14:paraId="531FA8E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69202">
            <w:pPr>
              <w:textAlignment w:val="center"/>
              <w:rPr>
                <w:rFonts w:hint="default" w:cs="宋体"/>
                <w:color w:val="000000"/>
                <w:sz w:val="20"/>
                <w:szCs w:val="20"/>
              </w:rPr>
            </w:pPr>
            <w:r>
              <w:rPr>
                <w:rFonts w:cs="宋体"/>
                <w:b/>
                <w:color w:val="000000"/>
                <w:sz w:val="20"/>
                <w:szCs w:val="20"/>
              </w:rPr>
              <w:t>21004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6EE8C1">
            <w:pPr>
              <w:textAlignment w:val="center"/>
              <w:rPr>
                <w:rFonts w:hint="default" w:cs="宋体"/>
                <w:color w:val="000000"/>
                <w:sz w:val="20"/>
                <w:szCs w:val="20"/>
              </w:rPr>
            </w:pPr>
            <w:r>
              <w:rPr>
                <w:rFonts w:cs="宋体"/>
                <w:b/>
                <w:color w:val="000000"/>
                <w:sz w:val="20"/>
                <w:szCs w:val="20"/>
              </w:rPr>
              <w:t>公共卫生</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BFE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121.63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43F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121.63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202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7FC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D7D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87F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EB7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A1D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A8A524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E9215">
            <w:pPr>
              <w:textAlignment w:val="center"/>
              <w:rPr>
                <w:rFonts w:hint="default" w:cs="宋体"/>
                <w:color w:val="000000"/>
                <w:sz w:val="20"/>
                <w:szCs w:val="20"/>
              </w:rPr>
            </w:pPr>
            <w:r>
              <w:rPr>
                <w:rFonts w:cs="宋体"/>
                <w:color w:val="000000"/>
                <w:sz w:val="20"/>
                <w:szCs w:val="20"/>
              </w:rPr>
              <w:t>2100408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76AA11">
            <w:pPr>
              <w:textAlignment w:val="center"/>
              <w:rPr>
                <w:rFonts w:hint="default" w:cs="宋体"/>
                <w:color w:val="000000"/>
                <w:sz w:val="20"/>
                <w:szCs w:val="20"/>
              </w:rPr>
            </w:pPr>
            <w:r>
              <w:rPr>
                <w:rFonts w:cs="宋体"/>
                <w:color w:val="000000"/>
                <w:sz w:val="20"/>
                <w:szCs w:val="20"/>
              </w:rPr>
              <w:t>基本公共卫生服务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5D2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121.63</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84E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121.63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226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B29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0DE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3A7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A90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F97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EE1B3F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4BAFF">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7BCFB2">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C5C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560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50A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C4C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1E4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E27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194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48A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16A21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66EC1">
            <w:pPr>
              <w:textAlignment w:val="center"/>
              <w:rPr>
                <w:rFonts w:hint="default" w:cs="宋体"/>
                <w:color w:val="000000"/>
                <w:sz w:val="20"/>
                <w:szCs w:val="20"/>
              </w:rPr>
            </w:pPr>
            <w:r>
              <w:rPr>
                <w:rFonts w:cs="宋体"/>
                <w:color w:val="000000"/>
                <w:sz w:val="20"/>
                <w:szCs w:val="20"/>
              </w:rPr>
              <w:t>2101199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C1A15F">
            <w:pPr>
              <w:textAlignment w:val="center"/>
              <w:rPr>
                <w:rFonts w:hint="default" w:cs="宋体"/>
                <w:color w:val="000000"/>
                <w:sz w:val="20"/>
                <w:szCs w:val="20"/>
              </w:rPr>
            </w:pPr>
            <w:r>
              <w:rPr>
                <w:rFonts w:cs="宋体"/>
                <w:color w:val="000000"/>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550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2F0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729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991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952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426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2B1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F87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5990152">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2D8AFB10">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0E41E81D">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477727EC">
            <w:pPr>
              <w:jc w:val="center"/>
              <w:textAlignment w:val="bottom"/>
              <w:rPr>
                <w:rFonts w:hint="default" w:cs="宋体"/>
                <w:b/>
                <w:color w:val="000000"/>
                <w:sz w:val="32"/>
                <w:szCs w:val="32"/>
              </w:rPr>
            </w:pPr>
            <w:r>
              <w:rPr>
                <w:rFonts w:cs="宋体"/>
                <w:b/>
                <w:color w:val="000000"/>
                <w:sz w:val="32"/>
                <w:szCs w:val="32"/>
              </w:rPr>
              <w:t>支出决算表</w:t>
            </w:r>
          </w:p>
        </w:tc>
      </w:tr>
      <w:tr w14:paraId="4B49441F">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14:paraId="3874C292">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丰都县虎威镇卫生院 </w:t>
            </w:r>
          </w:p>
        </w:tc>
        <w:tc>
          <w:tcPr>
            <w:tcW w:w="1765" w:type="dxa"/>
            <w:tcBorders>
              <w:top w:val="nil"/>
              <w:left w:val="nil"/>
              <w:bottom w:val="nil"/>
              <w:right w:val="nil"/>
            </w:tcBorders>
            <w:shd w:val="clear" w:color="auto" w:fill="auto"/>
            <w:tcMar>
              <w:top w:w="15" w:type="dxa"/>
              <w:left w:w="15" w:type="dxa"/>
              <w:right w:w="15" w:type="dxa"/>
            </w:tcMar>
            <w:vAlign w:val="bottom"/>
          </w:tcPr>
          <w:p w14:paraId="29F8E642">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14:paraId="283C7C56">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14:paraId="5535FA32">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14:paraId="6FE4E9B2">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14:paraId="5EAC9DD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6D943D82">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14:paraId="161CBFAF">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643FF074">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14:paraId="67C9E1F8">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14:paraId="53D076A3">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14:paraId="11E84D0F">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14:paraId="3A6C159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8877DB7">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FF05103">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E7A8C">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49CE4">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3CE9B">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1551C">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BB4AA">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42A5C">
            <w:pPr>
              <w:jc w:val="center"/>
              <w:textAlignment w:val="center"/>
              <w:rPr>
                <w:rFonts w:hint="default" w:cs="宋体"/>
                <w:b/>
                <w:color w:val="000000"/>
                <w:sz w:val="20"/>
                <w:szCs w:val="20"/>
              </w:rPr>
            </w:pPr>
            <w:r>
              <w:rPr>
                <w:rFonts w:cs="宋体"/>
                <w:b/>
                <w:color w:val="000000"/>
                <w:sz w:val="20"/>
                <w:szCs w:val="20"/>
              </w:rPr>
              <w:t>对附属单位补助支出</w:t>
            </w:r>
          </w:p>
        </w:tc>
      </w:tr>
      <w:tr w14:paraId="5024F2ED">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4957B">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696AD30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1572C">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C4716">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080A4">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0E9E0">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9E8EA">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74C8C">
            <w:pPr>
              <w:jc w:val="center"/>
              <w:rPr>
                <w:rFonts w:hint="default" w:cs="宋体"/>
                <w:b/>
                <w:color w:val="000000"/>
                <w:sz w:val="20"/>
                <w:szCs w:val="20"/>
              </w:rPr>
            </w:pPr>
          </w:p>
        </w:tc>
      </w:tr>
      <w:tr w14:paraId="1670407E">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51CAC">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18594872">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9CA85">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F4013">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6D2BC">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56D65">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5F122">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2D28A">
            <w:pPr>
              <w:jc w:val="center"/>
              <w:rPr>
                <w:rFonts w:hint="default" w:cs="宋体"/>
                <w:b/>
                <w:color w:val="000000"/>
                <w:sz w:val="20"/>
                <w:szCs w:val="20"/>
              </w:rPr>
            </w:pPr>
          </w:p>
        </w:tc>
      </w:tr>
      <w:tr w14:paraId="04A42D65">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80CD9">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5027C83E">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9A277">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16018">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785D0">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05D5F">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279B6">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63C88">
            <w:pPr>
              <w:jc w:val="center"/>
              <w:rPr>
                <w:rFonts w:hint="default" w:cs="宋体"/>
                <w:b/>
                <w:color w:val="000000"/>
                <w:sz w:val="20"/>
                <w:szCs w:val="20"/>
              </w:rPr>
            </w:pPr>
          </w:p>
        </w:tc>
      </w:tr>
      <w:tr w14:paraId="3486DBEA">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1943B">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622473B7">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365D3">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4FC7B">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8C199">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AE1EC">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1A94D">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2D994">
            <w:pPr>
              <w:jc w:val="center"/>
              <w:rPr>
                <w:rFonts w:hint="default" w:cs="宋体"/>
                <w:b/>
                <w:color w:val="000000"/>
                <w:sz w:val="20"/>
                <w:szCs w:val="20"/>
              </w:rPr>
            </w:pPr>
          </w:p>
        </w:tc>
      </w:tr>
      <w:tr w14:paraId="37FD8628">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467B6">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B4F05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997.52</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FB42B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988.04</w:t>
            </w:r>
            <w:r>
              <w:rPr>
                <w:rFonts w:ascii="Times New Roman" w:hAnsi="Times New Roman"/>
                <w:b/>
                <w:color w:val="000000"/>
                <w:sz w:val="20"/>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B160A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9.48</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F5C0E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87820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67447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5641D8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9CFA9">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494D34">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788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52.92</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925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52.92</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998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EE2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460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9AC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E3967D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E80B0">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15DD26">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FCB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52.92</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6A4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52.92</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C1A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492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EC4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ADC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B2CABC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A0898">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24779F">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77A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0.18</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774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0.18</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226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700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65D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964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90A54B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FFFC8">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CB2C48">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D74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EDF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4F2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CA0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773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115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48E2A5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A061D">
            <w:pPr>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E5A397">
            <w:pPr>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441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50.28</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4AC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50.28</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3FA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BC5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ECC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1D2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51EDEF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F9593">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43F76F">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983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944.60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068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935.12</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17F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9.48</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E80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054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4A5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3D4CBF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86487">
            <w:pPr>
              <w:textAlignment w:val="center"/>
              <w:rPr>
                <w:rFonts w:hint="default" w:cs="宋体"/>
                <w:color w:val="000000"/>
                <w:sz w:val="20"/>
                <w:szCs w:val="20"/>
              </w:rPr>
            </w:pPr>
            <w:r>
              <w:rPr>
                <w:rFonts w:cs="宋体"/>
                <w:b/>
                <w:color w:val="000000"/>
                <w:sz w:val="20"/>
                <w:szCs w:val="20"/>
              </w:rPr>
              <w:t>21003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2F9B06">
            <w:pPr>
              <w:textAlignment w:val="center"/>
              <w:rPr>
                <w:rFonts w:hint="default" w:cs="宋体"/>
                <w:color w:val="000000"/>
                <w:sz w:val="20"/>
                <w:szCs w:val="20"/>
              </w:rPr>
            </w:pPr>
            <w:r>
              <w:rPr>
                <w:rFonts w:cs="宋体"/>
                <w:b/>
                <w:color w:val="000000"/>
                <w:sz w:val="20"/>
                <w:szCs w:val="20"/>
              </w:rPr>
              <w:t>基层医疗卫生机构</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47F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818.97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83A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809.49</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413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9.48</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B5B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51B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37C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99E94C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FC3E7">
            <w:pPr>
              <w:textAlignment w:val="center"/>
              <w:rPr>
                <w:rFonts w:hint="default" w:cs="宋体"/>
                <w:color w:val="000000"/>
                <w:sz w:val="20"/>
                <w:szCs w:val="20"/>
              </w:rPr>
            </w:pPr>
            <w:r>
              <w:rPr>
                <w:rFonts w:cs="宋体"/>
                <w:color w:val="000000"/>
                <w:sz w:val="20"/>
                <w:szCs w:val="20"/>
              </w:rPr>
              <w:t>2100302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16CA7C">
            <w:pPr>
              <w:textAlignment w:val="center"/>
              <w:rPr>
                <w:rFonts w:hint="default" w:cs="宋体"/>
                <w:color w:val="000000"/>
                <w:sz w:val="20"/>
                <w:szCs w:val="20"/>
              </w:rPr>
            </w:pPr>
            <w:r>
              <w:rPr>
                <w:rFonts w:cs="宋体"/>
                <w:color w:val="000000"/>
                <w:sz w:val="20"/>
                <w:szCs w:val="20"/>
              </w:rPr>
              <w:t>乡镇卫生院</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FBB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818.97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AB7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809.49</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28F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9.48</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920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42B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BC9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93CC45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AD6A3">
            <w:pPr>
              <w:textAlignment w:val="center"/>
              <w:rPr>
                <w:rFonts w:hint="default" w:cs="宋体"/>
                <w:color w:val="000000"/>
                <w:sz w:val="20"/>
                <w:szCs w:val="20"/>
              </w:rPr>
            </w:pPr>
            <w:r>
              <w:rPr>
                <w:rFonts w:cs="宋体"/>
                <w:b/>
                <w:color w:val="000000"/>
                <w:sz w:val="20"/>
                <w:szCs w:val="20"/>
              </w:rPr>
              <w:t>21004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885754">
            <w:pPr>
              <w:textAlignment w:val="center"/>
              <w:rPr>
                <w:rFonts w:hint="default" w:cs="宋体"/>
                <w:color w:val="000000"/>
                <w:sz w:val="20"/>
                <w:szCs w:val="20"/>
              </w:rPr>
            </w:pPr>
            <w:r>
              <w:rPr>
                <w:rFonts w:cs="宋体"/>
                <w:b/>
                <w:color w:val="000000"/>
                <w:sz w:val="20"/>
                <w:szCs w:val="20"/>
              </w:rPr>
              <w:t>公共卫生</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2FD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121.63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202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121.63</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430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542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1FF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38B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31AD8C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E8AAA">
            <w:pPr>
              <w:textAlignment w:val="center"/>
              <w:rPr>
                <w:rFonts w:hint="default" w:cs="宋体"/>
                <w:color w:val="000000"/>
                <w:sz w:val="20"/>
                <w:szCs w:val="20"/>
              </w:rPr>
            </w:pPr>
            <w:r>
              <w:rPr>
                <w:rFonts w:cs="宋体"/>
                <w:color w:val="000000"/>
                <w:sz w:val="20"/>
                <w:szCs w:val="20"/>
              </w:rPr>
              <w:t>2100408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D59D5D">
            <w:pPr>
              <w:textAlignment w:val="center"/>
              <w:rPr>
                <w:rFonts w:hint="default" w:cs="宋体"/>
                <w:color w:val="000000"/>
                <w:sz w:val="20"/>
                <w:szCs w:val="20"/>
              </w:rPr>
            </w:pPr>
            <w:r>
              <w:rPr>
                <w:rFonts w:cs="宋体"/>
                <w:color w:val="000000"/>
                <w:sz w:val="20"/>
                <w:szCs w:val="20"/>
              </w:rPr>
              <w:t>基本公共卫生服务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555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121.63</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C40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121.63</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470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C44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4BD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06C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42659C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08464">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02BB26">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54D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4B8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8FD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809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9F1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B9A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9E4A2C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56F93">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642502">
            <w:pP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9F6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3E9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88A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EEA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F24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D7B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2CCE97C">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4C54E1F">
      <w:pPr>
        <w:rPr>
          <w:rFonts w:hint="default" w:cs="宋体"/>
          <w:sz w:val="21"/>
          <w:szCs w:val="21"/>
        </w:rPr>
      </w:pPr>
      <w:r>
        <w:rPr>
          <w:rFonts w:cs="宋体"/>
          <w:sz w:val="21"/>
          <w:szCs w:val="21"/>
        </w:rPr>
        <w:br w:type="page"/>
      </w:r>
    </w:p>
    <w:p w14:paraId="6D68B0AC">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22373F1E">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14:paraId="728B2818">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014A1B89">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14:paraId="13AB0813">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丰都县虎威镇卫生院</w:t>
            </w:r>
          </w:p>
        </w:tc>
        <w:tc>
          <w:tcPr>
            <w:tcW w:w="1694" w:type="dxa"/>
            <w:tcBorders>
              <w:top w:val="nil"/>
              <w:left w:val="nil"/>
              <w:bottom w:val="nil"/>
              <w:right w:val="nil"/>
            </w:tcBorders>
            <w:shd w:val="clear" w:color="auto" w:fill="auto"/>
            <w:tcMar>
              <w:top w:w="15" w:type="dxa"/>
              <w:left w:w="15" w:type="dxa"/>
              <w:right w:w="15" w:type="dxa"/>
            </w:tcMar>
            <w:vAlign w:val="bottom"/>
          </w:tcPr>
          <w:p w14:paraId="0D6F335D">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2026EF83">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58411F6F">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7571F437">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52D1953D">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14:paraId="75583FAF">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3F9FEFB0">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7D649B67">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01EC15C0">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041310DF">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7442BA8">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5CF97">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E8048">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3B26A5CC">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FD765">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0134B">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F8C70C">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E86D73">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2B1BA939">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F3F0A">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72DAB">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232B1D">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700C6">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13F68">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7E27D">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AD8B1">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0C56916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29D99">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E87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595.54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476DC">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1EE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7EF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F7A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04B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AE182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9A593">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3EF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55466">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BED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2ED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ADD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E5C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DFE90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BFCEB">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E07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1D592">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0CF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F32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1FB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A2D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07379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F9CD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44F94F1">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E4CF3">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309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EE6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896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1A7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63FB5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BE10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5249FED">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00D02">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029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0B1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18D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7DB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9C5A8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7BBD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3EE9670">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B1916">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848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6A6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1B4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DE9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AC46D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858D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77ED575">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B9E8C">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C99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6D4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9EA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1A8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E99331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12C9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710BF43">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CC6A0">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9FE2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52.92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2976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52.92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659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73C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00B6F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4855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88DABB7">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06F41">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9A2F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542.62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FED1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542.62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179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7D0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4A10A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9929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C48B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21E50">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AEC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312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7E0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580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E1DDB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B2B5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DCB4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A428F">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F0D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9F9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3EB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0C8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0C9AF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F773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EF64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F3B7B">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89D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2CC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87E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2D4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3F16E8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1F5B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71BB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8D37C">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35A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DA2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060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0F1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F88E7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52C8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9760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E14CD">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E87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477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060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E5F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B628B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B636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6227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0568A">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582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010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A23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D34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134EC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6E7B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2E81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4A1D5">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9E1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7BB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973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C5F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F8C65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BBAE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6613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E61DA">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430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9DA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679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803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1C04D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786B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4E8A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23D3A">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5C2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ED9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F64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CAF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AFEBD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AAEB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0C51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C11FA">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D01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3C5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C63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3B4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59F3F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B7CD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48CC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9015B">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93F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759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B9C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109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1910A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FF15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37E8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8B8AF">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31D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2F0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C24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26C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F74A8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44F6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36B8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12E8C">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3B2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99B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092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4B9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99DACC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016A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32AC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41CBB">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937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F7A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319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7A4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92445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D9C758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947E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8A95A">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B54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C56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59A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458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951D7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1F74A0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052D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E5622">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442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10A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0BA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B05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88286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8CC904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FFC9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161D6">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9AD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EDD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77C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455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CA7F6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72250">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0BC6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595.54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570EB">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FAC4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595.54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E7C3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595.54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780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9E8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F832A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40461">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132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A3C51">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AE3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C8F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F3B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666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BF032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D7A9F">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403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E6F54E4">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9BB18CD">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9F2D53D">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1261AE2">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A68D0F4">
            <w:pPr>
              <w:spacing w:line="200" w:lineRule="exact"/>
              <w:rPr>
                <w:rFonts w:hint="default" w:ascii="Times New Roman" w:hAnsi="Times New Roman"/>
                <w:color w:val="000000"/>
                <w:sz w:val="18"/>
                <w:szCs w:val="18"/>
              </w:rPr>
            </w:pPr>
          </w:p>
        </w:tc>
      </w:tr>
      <w:tr w14:paraId="202003C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F9A33">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F2A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93325">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7351E">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6A4FA">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4CBD5">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0C5E1">
            <w:pPr>
              <w:spacing w:line="200" w:lineRule="exact"/>
              <w:jc w:val="right"/>
              <w:rPr>
                <w:rFonts w:hint="default" w:ascii="Times New Roman" w:hAnsi="Times New Roman"/>
                <w:color w:val="000000"/>
                <w:sz w:val="18"/>
                <w:szCs w:val="18"/>
              </w:rPr>
            </w:pPr>
          </w:p>
        </w:tc>
      </w:tr>
      <w:tr w14:paraId="6564B66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5CC01">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EDC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8C30E">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B1959">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ACA67">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7E554">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67E96">
            <w:pPr>
              <w:spacing w:line="200" w:lineRule="exact"/>
              <w:jc w:val="right"/>
              <w:rPr>
                <w:rFonts w:hint="default" w:ascii="Times New Roman" w:hAnsi="Times New Roman"/>
                <w:color w:val="000000"/>
                <w:sz w:val="18"/>
                <w:szCs w:val="18"/>
              </w:rPr>
            </w:pPr>
          </w:p>
        </w:tc>
      </w:tr>
      <w:tr w14:paraId="6A912FF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D7C1B">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F990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595.54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64E07">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5CF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595.54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AEA1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595.54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8C4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19B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4D6E1EF0">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4073"/>
        <w:gridCol w:w="3306"/>
        <w:gridCol w:w="3297"/>
        <w:gridCol w:w="3341"/>
      </w:tblGrid>
      <w:tr w14:paraId="253FA184">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14:paraId="4EBD0231">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1C98C6EE">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14:paraId="3193B8AE">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丰都县虎威镇卫生院</w:t>
            </w:r>
          </w:p>
        </w:tc>
        <w:tc>
          <w:tcPr>
            <w:tcW w:w="3297" w:type="dxa"/>
            <w:tcBorders>
              <w:top w:val="nil"/>
              <w:left w:val="nil"/>
              <w:bottom w:val="nil"/>
              <w:right w:val="nil"/>
            </w:tcBorders>
            <w:shd w:val="clear" w:color="auto" w:fill="auto"/>
            <w:tcMar>
              <w:top w:w="15" w:type="dxa"/>
              <w:left w:w="15" w:type="dxa"/>
              <w:right w:w="15" w:type="dxa"/>
            </w:tcMar>
            <w:vAlign w:val="bottom"/>
          </w:tcPr>
          <w:p w14:paraId="1A7FC90E">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14:paraId="0FA406C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57796D45">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14:paraId="184B4DBB">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14:paraId="28CFC428">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14:paraId="0206FE5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1952264">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86A79">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6875AFB">
            <w:pPr>
              <w:jc w:val="center"/>
              <w:textAlignment w:val="center"/>
              <w:rPr>
                <w:rFonts w:hint="default" w:cs="宋体"/>
                <w:b/>
                <w:color w:val="000000"/>
                <w:sz w:val="20"/>
                <w:szCs w:val="20"/>
              </w:rPr>
            </w:pPr>
            <w:r>
              <w:rPr>
                <w:rFonts w:cs="宋体"/>
                <w:b/>
                <w:color w:val="000000"/>
                <w:sz w:val="20"/>
                <w:szCs w:val="20"/>
              </w:rPr>
              <w:t>本年支出</w:t>
            </w:r>
          </w:p>
        </w:tc>
      </w:tr>
      <w:tr w14:paraId="20463C30">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73A59">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6B73D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550B90">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B06F1C">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F9D797">
            <w:pPr>
              <w:jc w:val="center"/>
              <w:textAlignment w:val="center"/>
              <w:rPr>
                <w:rFonts w:hint="default" w:cs="宋体"/>
                <w:b/>
                <w:color w:val="000000"/>
                <w:sz w:val="20"/>
                <w:szCs w:val="20"/>
              </w:rPr>
            </w:pPr>
            <w:r>
              <w:rPr>
                <w:rFonts w:cs="宋体"/>
                <w:b/>
                <w:color w:val="000000"/>
                <w:sz w:val="20"/>
                <w:szCs w:val="20"/>
              </w:rPr>
              <w:t>项目支出</w:t>
            </w:r>
          </w:p>
        </w:tc>
      </w:tr>
      <w:tr w14:paraId="105E7459">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2C521">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ECB8D4">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BFF0A1">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F98881">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AC7BE8">
            <w:pPr>
              <w:jc w:val="center"/>
              <w:rPr>
                <w:rFonts w:hint="default" w:cs="宋体"/>
                <w:b/>
                <w:color w:val="000000"/>
                <w:sz w:val="20"/>
                <w:szCs w:val="20"/>
              </w:rPr>
            </w:pPr>
          </w:p>
        </w:tc>
      </w:tr>
      <w:tr w14:paraId="435EB549">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73A1D">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65EC1B">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1AFEF6">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5453F3">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888333">
            <w:pPr>
              <w:jc w:val="center"/>
              <w:rPr>
                <w:rFonts w:hint="default" w:cs="宋体"/>
                <w:b/>
                <w:color w:val="000000"/>
                <w:sz w:val="20"/>
                <w:szCs w:val="20"/>
              </w:rPr>
            </w:pPr>
          </w:p>
        </w:tc>
      </w:tr>
      <w:tr w14:paraId="75086E47">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FE37D">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58A62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595.54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67270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595.54</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22215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CBB308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548C2">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DDB79C">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E48E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52.92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180E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52.92</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F129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CBEA24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EED8F">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0E07B0">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00CA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52.92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5434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52.92</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384B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B345E2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EDB08">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4D5141">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5070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12A5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0.18</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5568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030278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0A81B">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48E297">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84E5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9DF9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2.46</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16FB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22F2C1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40AD7">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A042D5">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0F8B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50.28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86E9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50.28</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5348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675987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012B2">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63C0BD">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2115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542.62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2699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542.62</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6890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2761C9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740C0">
            <w:pPr>
              <w:textAlignment w:val="center"/>
              <w:rPr>
                <w:rFonts w:hint="default" w:cs="宋体"/>
                <w:color w:val="000000"/>
                <w:sz w:val="20"/>
                <w:szCs w:val="20"/>
              </w:rPr>
            </w:pPr>
            <w:r>
              <w:rPr>
                <w:rFonts w:cs="宋体"/>
                <w:b/>
                <w:color w:val="000000"/>
                <w:sz w:val="20"/>
                <w:szCs w:val="20"/>
              </w:rPr>
              <w:t>21003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A4A5F5">
            <w:pPr>
              <w:textAlignment w:val="center"/>
              <w:rPr>
                <w:rFonts w:hint="default" w:cs="宋体"/>
                <w:color w:val="000000"/>
                <w:sz w:val="20"/>
                <w:szCs w:val="20"/>
              </w:rPr>
            </w:pPr>
            <w:r>
              <w:rPr>
                <w:rFonts w:cs="宋体"/>
                <w:b/>
                <w:color w:val="000000"/>
                <w:sz w:val="20"/>
                <w:szCs w:val="20"/>
              </w:rPr>
              <w:t>基层医疗卫生机构</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CCFE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416.99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133B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416.99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BCBF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99E57F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4E50D">
            <w:pPr>
              <w:textAlignment w:val="center"/>
              <w:rPr>
                <w:rFonts w:hint="default" w:cs="宋体"/>
                <w:color w:val="000000"/>
                <w:sz w:val="20"/>
                <w:szCs w:val="20"/>
              </w:rPr>
            </w:pPr>
            <w:r>
              <w:rPr>
                <w:rFonts w:cs="宋体"/>
                <w:color w:val="000000"/>
                <w:sz w:val="20"/>
                <w:szCs w:val="20"/>
              </w:rPr>
              <w:t>2100302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0F71A">
            <w:pPr>
              <w:textAlignment w:val="center"/>
              <w:rPr>
                <w:rFonts w:hint="default" w:cs="宋体"/>
                <w:color w:val="000000"/>
                <w:sz w:val="20"/>
                <w:szCs w:val="20"/>
              </w:rPr>
            </w:pPr>
            <w:r>
              <w:rPr>
                <w:rFonts w:cs="宋体"/>
                <w:color w:val="000000"/>
                <w:sz w:val="20"/>
                <w:szCs w:val="20"/>
              </w:rPr>
              <w:t>乡镇卫生院</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9D2D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416.99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23D9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416.99</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6BFC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443A90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67C14">
            <w:pPr>
              <w:textAlignment w:val="center"/>
              <w:rPr>
                <w:rFonts w:hint="default" w:cs="宋体"/>
                <w:color w:val="000000"/>
                <w:sz w:val="20"/>
                <w:szCs w:val="20"/>
              </w:rPr>
            </w:pPr>
            <w:r>
              <w:rPr>
                <w:rFonts w:cs="宋体"/>
                <w:b/>
                <w:color w:val="000000"/>
                <w:sz w:val="20"/>
                <w:szCs w:val="20"/>
              </w:rPr>
              <w:t>21004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9F5F37">
            <w:pPr>
              <w:textAlignment w:val="center"/>
              <w:rPr>
                <w:rFonts w:hint="default" w:cs="宋体"/>
                <w:color w:val="000000"/>
                <w:sz w:val="20"/>
                <w:szCs w:val="20"/>
              </w:rPr>
            </w:pPr>
            <w:r>
              <w:rPr>
                <w:rFonts w:cs="宋体"/>
                <w:b/>
                <w:color w:val="000000"/>
                <w:sz w:val="20"/>
                <w:szCs w:val="20"/>
              </w:rPr>
              <w:t>公共卫生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2D9D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121.63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FEAC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121.63</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A9AB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AC9D38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83E6A">
            <w:pPr>
              <w:textAlignment w:val="center"/>
              <w:rPr>
                <w:rFonts w:hint="default" w:cs="宋体"/>
                <w:color w:val="000000"/>
                <w:sz w:val="20"/>
                <w:szCs w:val="20"/>
              </w:rPr>
            </w:pPr>
            <w:r>
              <w:rPr>
                <w:rFonts w:cs="宋体"/>
                <w:color w:val="000000"/>
                <w:sz w:val="20"/>
                <w:szCs w:val="20"/>
              </w:rPr>
              <w:t>2100408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2D7BD3">
            <w:pPr>
              <w:textAlignment w:val="center"/>
              <w:rPr>
                <w:rFonts w:hint="default" w:cs="宋体"/>
                <w:color w:val="000000"/>
                <w:sz w:val="20"/>
                <w:szCs w:val="20"/>
              </w:rPr>
            </w:pPr>
            <w:r>
              <w:rPr>
                <w:rFonts w:cs="宋体"/>
                <w:color w:val="000000"/>
                <w:sz w:val="20"/>
                <w:szCs w:val="20"/>
              </w:rPr>
              <w:t>基本公共卫生服务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0D2D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121.63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7E16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121.63</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1A0D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93D3AD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B3312">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845562">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4343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FDAC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F822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016625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B3ADB">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77E89D">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0CC2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05B3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57DF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EEC6893">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BFDB481">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270D101F">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14:paraId="3BAE9E52">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2E5140B6">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14:paraId="484ADEB8">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丰都县虎威镇卫生院</w:t>
            </w:r>
          </w:p>
        </w:tc>
        <w:tc>
          <w:tcPr>
            <w:tcW w:w="1418" w:type="dxa"/>
            <w:tcBorders>
              <w:top w:val="nil"/>
              <w:left w:val="nil"/>
              <w:bottom w:val="nil"/>
              <w:right w:val="nil"/>
            </w:tcBorders>
            <w:shd w:val="clear" w:color="auto" w:fill="auto"/>
            <w:tcMar>
              <w:top w:w="15" w:type="dxa"/>
              <w:left w:w="15" w:type="dxa"/>
              <w:right w:w="15" w:type="dxa"/>
            </w:tcMar>
            <w:vAlign w:val="bottom"/>
          </w:tcPr>
          <w:p w14:paraId="0B6BBE33">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14:paraId="38C7E450">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14:paraId="54F5EF0E">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14:paraId="0CE99B98">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691F9CC1">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14:paraId="09E080D7">
            <w:pPr>
              <w:spacing w:line="200" w:lineRule="exact"/>
              <w:rPr>
                <w:rFonts w:hint="default" w:cs="宋体"/>
                <w:color w:val="000000"/>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14:paraId="6B253A62">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14:paraId="521B43FD">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14:paraId="7F77C8F1">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14:paraId="568BCCC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4975D52">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516ED">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612BEC7">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58DC1399">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B6D8D">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2692A3">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8829E7">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617B9">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5CC94A">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CC62A1">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3F555">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3BD74A">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C7C6BA">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0E01A41F">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33A2D">
            <w:pPr>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5CF1EA">
            <w:pPr>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1EDD36">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39768">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619A75">
            <w:pPr>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D84C8C">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72ABF">
            <w:pPr>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936056">
            <w:pPr>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2543EB">
            <w:pPr>
              <w:spacing w:line="192" w:lineRule="exact"/>
              <w:jc w:val="center"/>
              <w:rPr>
                <w:rFonts w:hint="default" w:cs="宋体"/>
                <w:b/>
                <w:color w:val="000000"/>
                <w:sz w:val="18"/>
                <w:szCs w:val="18"/>
              </w:rPr>
            </w:pPr>
          </w:p>
        </w:tc>
      </w:tr>
      <w:tr w14:paraId="51D2222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12E71">
            <w:pPr>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6D41A">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D28C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460.51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EC91B">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19F3A">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77D7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77.22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068EC">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F4352">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A5AC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8055CB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8BCDD">
            <w:pPr>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0A0A7">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3BB9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129.38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EF0A6">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84129">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1314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E8CE5">
            <w:pPr>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3ADA3">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D19D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CDF0C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CB75B">
            <w:pPr>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DCB2E">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09CB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8C8A0">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0F243">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F181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57348">
            <w:pPr>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8BB9D">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A317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BB9E2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D3909">
            <w:pPr>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3E052">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32BF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D79C9">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5A743">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D6C6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D7E6C">
            <w:pPr>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5E6B7">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36CA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AFAEA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21B73">
            <w:pPr>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464A8">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860A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2194A">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B7604">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7388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68B8E">
            <w:pPr>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51879">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0BDB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8AE32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E3CBC">
            <w:pPr>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92288">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7136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219.45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4ED13">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5AD24">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249F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99DEA">
            <w:pPr>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AD0E2">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4580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FBAA8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B6AB2">
            <w:pPr>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B02B7">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3506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CE814">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B48DC">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B217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8C878">
            <w:pPr>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7E252">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C861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55C9D3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CFA65">
            <w:pPr>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B6FDB">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D7D8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EB6EE">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AB669">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AEB2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9FFF1">
            <w:pPr>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7038B">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7CF1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D57428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CD36E">
            <w:pPr>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5EADE">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3CF8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29ABE">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C0DD2">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0FFF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74CDA">
            <w:pPr>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41293">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6F7F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23C05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44C1F">
            <w:pPr>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07346">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23B9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A801B">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080DA">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D1C9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F0B06">
            <w:pPr>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92107">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01B1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249EF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E5AB3">
            <w:pPr>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B8D2B">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374B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329A9">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19EBF">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9CE7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DFFC7">
            <w:pPr>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4513A">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ACEA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CF348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FA819">
            <w:pPr>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7C785">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DDE4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D7BD3">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A9B1B">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5CA4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ADF99">
            <w:pPr>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5400E">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1F07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9B1AA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36BB2">
            <w:pPr>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75A2B">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084F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99C6A">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3C19C">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79E2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34CB3">
            <w:pPr>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DE3CE">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1B87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B4061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2D3C4">
            <w:pPr>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2EBC3">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4B33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76.60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5EC47">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F71EF">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6C7E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CDE73">
            <w:pPr>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F82D1">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FB79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4E501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A446A">
            <w:pPr>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EDA17">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1D44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57.81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C8240">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BCBEA">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361F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DF840">
            <w:pPr>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D7770">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7BF7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8911E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4D261">
            <w:pPr>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A93B8">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3C98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11A3A">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F687A">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81AF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9877C">
            <w:pPr>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230D6">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9F2C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082FB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74A6A">
            <w:pPr>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76395">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9EA8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25682">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3C0D7">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258D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99729">
            <w:pPr>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AC376">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AFBF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EFAD8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5B706">
            <w:pPr>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7B178">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D90B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931A7">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0B9C4">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90BC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74.85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3CDE0">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EB271">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E9CA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9BC1F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CA8A4">
            <w:pPr>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6CB8A">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B3A4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ACB8F">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47DE9">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6127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2BC19">
            <w:pPr>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9AC29">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4E86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1F282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136EA">
            <w:pPr>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15A73">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1FBB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45.20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71883">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759A8">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C295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A169F">
            <w:pPr>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89310">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C218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682BB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BCF66">
            <w:pPr>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5FB7E">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0397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29BBA">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E2CB3">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5A7B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2657F">
            <w:pPr>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7D743">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584C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EADE8E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26123">
            <w:pPr>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FB974">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A6B2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E0C08">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7A4F3">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E07B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4BF72">
            <w:pPr>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3B685">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1E50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C8124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A79E1">
            <w:pPr>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84B49">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532E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4ADD2">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9AE1E">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74A7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9E59F">
            <w:pPr>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6A840">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04FE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A2C5E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13928">
            <w:pPr>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DEC8E">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8E36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D0359">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DEFC4">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D55D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9AFE5">
            <w:pPr>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44012">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119A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8242B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6E87B">
            <w:pPr>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BC097">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CB06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84E76">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E4BCC">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031B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6EFE3">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BA0CB">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93FD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A8127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A1EEF">
            <w:pPr>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3658E">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EB16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B5348">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6725F">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8184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ED347">
            <w:pPr>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0C865">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54D7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84312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7F985">
            <w:pPr>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4968B">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0D96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AFE9C">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ECF87">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8B45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525F8">
            <w:pPr>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3AB25">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6CE7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3468F0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1BC0D">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B318C">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1BBD5FB">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C5CD1">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EBBE4">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801F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503F6">
            <w:pPr>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43D6B">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749C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5E37B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24A03">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2B921">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B2D0EC2">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59210">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20AB4">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3B44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F3840">
            <w:pPr>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6496F">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0A28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8E072A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38729">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4B13D">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C47703C">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40A8D">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E67BD">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9DF6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E46F3">
            <w:pPr>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4E5F2">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B875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57874D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85853">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B6FA1">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23F1156">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A18AB">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08CEB">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9842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A0127">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FB9F1">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F4F77">
            <w:pPr>
              <w:spacing w:line="192" w:lineRule="exact"/>
              <w:jc w:val="right"/>
              <w:rPr>
                <w:rFonts w:hint="default" w:ascii="Times New Roman" w:hAnsi="Times New Roman"/>
                <w:color w:val="000000"/>
                <w:sz w:val="18"/>
                <w:szCs w:val="18"/>
              </w:rPr>
            </w:pPr>
          </w:p>
        </w:tc>
      </w:tr>
      <w:tr w14:paraId="76C03B0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0D97D">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313E9">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87EA0CB">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AC6D2">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B794B">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723C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92F31">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968C9">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8A00E">
            <w:pPr>
              <w:spacing w:line="192" w:lineRule="exact"/>
              <w:jc w:val="right"/>
              <w:rPr>
                <w:rFonts w:hint="default" w:ascii="Times New Roman" w:hAnsi="Times New Roman"/>
                <w:color w:val="000000"/>
                <w:sz w:val="18"/>
                <w:szCs w:val="18"/>
              </w:rPr>
            </w:pPr>
          </w:p>
        </w:tc>
      </w:tr>
      <w:tr w14:paraId="218F141E">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E3047">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8F8F4">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DECFD23">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D1F91">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F1624">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554D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680E7">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B1278">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6719F">
            <w:pPr>
              <w:spacing w:line="192" w:lineRule="exact"/>
              <w:jc w:val="right"/>
              <w:rPr>
                <w:rFonts w:hint="default" w:ascii="Times New Roman" w:hAnsi="Times New Roman"/>
                <w:color w:val="000000"/>
                <w:sz w:val="18"/>
                <w:szCs w:val="18"/>
              </w:rPr>
            </w:pPr>
          </w:p>
        </w:tc>
      </w:tr>
      <w:tr w14:paraId="16B5BDD0">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0C8D2">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04CF9CD">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518.32</w:t>
            </w:r>
            <w:r>
              <w:rPr>
                <w:rFonts w:ascii="Times New Roman" w:hAnsi="Times New Roman"/>
                <w:color w:val="000000"/>
                <w:sz w:val="18"/>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C34E05">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D7F8F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77.22</w:t>
            </w:r>
            <w:r>
              <w:rPr>
                <w:rFonts w:ascii="Times New Roman" w:hAnsi="Times New Roman"/>
                <w:color w:val="000000"/>
                <w:sz w:val="18"/>
              </w:rPr>
              <w:t xml:space="preserve"> </w:t>
            </w:r>
          </w:p>
        </w:tc>
      </w:tr>
    </w:tbl>
    <w:p w14:paraId="060C1783">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7FD2F3ED">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34D91EFB">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1F6F8225">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14:paraId="164B9A51">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丰都县虎威镇卫生院</w:t>
            </w:r>
          </w:p>
        </w:tc>
        <w:tc>
          <w:tcPr>
            <w:tcW w:w="1701" w:type="dxa"/>
            <w:tcBorders>
              <w:top w:val="nil"/>
              <w:left w:val="nil"/>
              <w:bottom w:val="nil"/>
              <w:right w:val="nil"/>
            </w:tcBorders>
            <w:shd w:val="clear" w:color="auto" w:fill="auto"/>
            <w:tcMar>
              <w:top w:w="15" w:type="dxa"/>
              <w:left w:w="15" w:type="dxa"/>
              <w:right w:w="15" w:type="dxa"/>
            </w:tcMar>
            <w:vAlign w:val="bottom"/>
          </w:tcPr>
          <w:p w14:paraId="28BA4AB3">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0F86D636">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5933F7FD">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0EDFC578">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62B2E6F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19A8334C">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14:paraId="4F7C7EC1">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5344D68C">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545CD57D">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75BCDD84">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121DB86D">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1D664C1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F203AFE">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5ABB8">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06BDEF">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3F968">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939672">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712EC">
            <w:pPr>
              <w:jc w:val="center"/>
              <w:textAlignment w:val="center"/>
              <w:rPr>
                <w:rFonts w:hint="default" w:cs="宋体"/>
                <w:b/>
                <w:color w:val="000000"/>
                <w:sz w:val="20"/>
                <w:szCs w:val="20"/>
              </w:rPr>
            </w:pPr>
            <w:r>
              <w:rPr>
                <w:rFonts w:cs="宋体"/>
                <w:b/>
                <w:color w:val="000000"/>
                <w:sz w:val="20"/>
                <w:szCs w:val="20"/>
              </w:rPr>
              <w:t>年末结转和结余</w:t>
            </w:r>
          </w:p>
        </w:tc>
      </w:tr>
      <w:tr w14:paraId="0F335111">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8EA84">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B0BF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EC75125">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70A50">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1044E0">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82F016">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0C78C5">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D5543">
            <w:pPr>
              <w:jc w:val="center"/>
              <w:rPr>
                <w:rFonts w:hint="default" w:cs="宋体"/>
                <w:b/>
                <w:color w:val="000000"/>
                <w:sz w:val="20"/>
                <w:szCs w:val="20"/>
              </w:rPr>
            </w:pPr>
          </w:p>
        </w:tc>
      </w:tr>
      <w:tr w14:paraId="0D32DD00">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4E5BE">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1BA24">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66C282">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BA11A">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3C6A3B">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2BFE88">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1A20C6">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4C738">
            <w:pPr>
              <w:jc w:val="center"/>
              <w:rPr>
                <w:rFonts w:hint="default" w:cs="宋体"/>
                <w:b/>
                <w:color w:val="000000"/>
                <w:sz w:val="20"/>
                <w:szCs w:val="20"/>
              </w:rPr>
            </w:pPr>
          </w:p>
        </w:tc>
      </w:tr>
      <w:tr w14:paraId="0158B642">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772B1">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87CFE">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17A228">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DC3F5">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9EE265">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359DCD">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4F1F03">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469E7">
            <w:pPr>
              <w:jc w:val="center"/>
              <w:rPr>
                <w:rFonts w:hint="default" w:cs="宋体"/>
                <w:b/>
                <w:color w:val="000000"/>
                <w:sz w:val="20"/>
                <w:szCs w:val="20"/>
              </w:rPr>
            </w:pPr>
          </w:p>
        </w:tc>
      </w:tr>
      <w:tr w14:paraId="118619F3">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75625">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52E4C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C89EA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4AF55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B8869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70D4D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72F63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84908DA">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D66AA">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5D4C32">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FF64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1102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C3FF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9DA5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40AA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0D9B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0CBCEE7">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41B6567E">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6A347F0B">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14:paraId="7EC66719">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5F2B1644">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14:paraId="2D2F8771">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丰都县虎威镇卫生院</w:t>
            </w: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77DFDB7F">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0A112AA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6E2D8096">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14:paraId="45463BFD">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12EE7288">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2F68B78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6DA7555">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C98D464">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E3FCE64">
            <w:pPr>
              <w:jc w:val="center"/>
              <w:textAlignment w:val="bottom"/>
              <w:rPr>
                <w:rFonts w:hint="default" w:cs="宋体"/>
                <w:b/>
                <w:color w:val="000000"/>
                <w:sz w:val="20"/>
                <w:szCs w:val="20"/>
              </w:rPr>
            </w:pPr>
            <w:r>
              <w:rPr>
                <w:rFonts w:cs="宋体"/>
                <w:b/>
                <w:color w:val="000000"/>
                <w:sz w:val="20"/>
                <w:szCs w:val="20"/>
              </w:rPr>
              <w:t>本年支出</w:t>
            </w:r>
          </w:p>
        </w:tc>
      </w:tr>
      <w:tr w14:paraId="4B9FF82C">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FD439">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68D800">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3C09C">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0D4EE5">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697F09">
            <w:pPr>
              <w:jc w:val="center"/>
              <w:textAlignment w:val="center"/>
              <w:rPr>
                <w:rFonts w:hint="default" w:cs="宋体"/>
                <w:b/>
                <w:color w:val="000000"/>
                <w:sz w:val="20"/>
                <w:szCs w:val="20"/>
              </w:rPr>
            </w:pPr>
            <w:r>
              <w:rPr>
                <w:rFonts w:cs="宋体"/>
                <w:b/>
                <w:color w:val="000000"/>
                <w:sz w:val="20"/>
                <w:szCs w:val="20"/>
              </w:rPr>
              <w:t>项目支出</w:t>
            </w:r>
          </w:p>
        </w:tc>
      </w:tr>
      <w:tr w14:paraId="0E0ED8AF">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7016E">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9B8FD7">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04CF0">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8AD3AC">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B1EF4A">
            <w:pPr>
              <w:jc w:val="center"/>
              <w:rPr>
                <w:rFonts w:hint="default" w:cs="宋体"/>
                <w:b/>
                <w:color w:val="000000"/>
                <w:sz w:val="20"/>
                <w:szCs w:val="20"/>
              </w:rPr>
            </w:pPr>
          </w:p>
        </w:tc>
      </w:tr>
      <w:tr w14:paraId="4A1776E0">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73900">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AD239F">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C3C0D">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58FCEB">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938CFD">
            <w:pPr>
              <w:jc w:val="center"/>
              <w:rPr>
                <w:rFonts w:hint="default" w:cs="宋体"/>
                <w:b/>
                <w:color w:val="000000"/>
                <w:sz w:val="20"/>
                <w:szCs w:val="20"/>
              </w:rPr>
            </w:pPr>
          </w:p>
        </w:tc>
      </w:tr>
      <w:tr w14:paraId="4801DA9C">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E2F28">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4AE25B">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969B1">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861BE5">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F6A6DF">
            <w:pPr>
              <w:jc w:val="center"/>
              <w:rPr>
                <w:rFonts w:hint="default" w:cs="宋体"/>
                <w:b/>
                <w:color w:val="000000"/>
                <w:sz w:val="20"/>
                <w:szCs w:val="20"/>
              </w:rPr>
            </w:pPr>
          </w:p>
        </w:tc>
      </w:tr>
      <w:tr w14:paraId="18F412C6">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15B3B">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E0F8A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8EDF04">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24299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0341A3C">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380B4">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13BE23">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73EA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CCE7E1">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9D38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7ABC1125">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5C592A2C">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2BD14608">
        <w:tblPrEx>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14:paraId="47AB939B">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6BB6EA93">
        <w:tblPrEx>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14:paraId="67868782">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14:paraId="4EE6E3A5">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14:paraId="71F32FFE">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14:paraId="3C11E5DA">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14:paraId="1125FF62">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433ECAFA">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35C2ADC3">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丰都县虎威镇卫生院</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14:paraId="61E56858">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14:paraId="4658C6E9">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14:paraId="1C695BF3">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2CD15697">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D1AA2D">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98965D">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DCD36C">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845BC3">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A3F9C1">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300DD8BD">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A03655">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23310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32E36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419CDA">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A1822B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075430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279B3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43A289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0D6B4C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A8AB6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7A27E2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87B6A7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95124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123493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9E94F8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BA746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870DFB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42323A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FAD75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8FC772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A89C66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EB8287">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010692">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859B9C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F54CD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65FD47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75CE7A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18ABA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3EEA28F">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7DBA5D3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A2ECA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C96DBF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239D93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CAEA7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C5C5B5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16D6F9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D4CF9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A47270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59FAAD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EFB32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5FDFC3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F7C153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4878D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78CF4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64F0CB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45601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19DA77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6532CE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89FA3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71853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CB7DAD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BCF82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056217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B80AD9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E8D56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938BD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9DAF58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B39E3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A405C1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2B6200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C0228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4BF78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39B002">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15CB6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E1B52D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2F5CB1D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F609E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6C82F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28D939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DDFFB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9E5D30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616942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13999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47856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34C61C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0E2C8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5C7E42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DDB8E1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563A2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4BD04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94F436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F2FAD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A57E79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89A5DC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C8063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57613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737231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4094DB">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AB19F4">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03C297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1BB7D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4E3A8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205E9F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E2219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E0BC70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0.89</w:t>
            </w:r>
            <w:r>
              <w:rPr>
                <w:rFonts w:ascii="Times New Roman" w:hAnsi="Times New Roman"/>
                <w:color w:val="000000"/>
                <w:sz w:val="18"/>
              </w:rPr>
              <w:t xml:space="preserve"> </w:t>
            </w:r>
          </w:p>
        </w:tc>
      </w:tr>
      <w:tr w14:paraId="1C1CBA2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F2514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B382D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5F8719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59106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6C3EB88">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0.89</w:t>
            </w:r>
            <w:r>
              <w:rPr>
                <w:rFonts w:ascii="Times New Roman" w:hAnsi="Times New Roman"/>
                <w:color w:val="000000"/>
                <w:sz w:val="18"/>
              </w:rPr>
              <w:t xml:space="preserve"> </w:t>
            </w:r>
          </w:p>
        </w:tc>
      </w:tr>
      <w:tr w14:paraId="4459124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563C0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B5D42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87D1DA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B79EC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8408E6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F968FC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59C1D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E5F81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02B44B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59E39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38EA95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721BC9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8410A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47B56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82E663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1D1F5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BAB035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0.89</w:t>
            </w:r>
            <w:r>
              <w:rPr>
                <w:rFonts w:ascii="Times New Roman" w:hAnsi="Times New Roman"/>
                <w:color w:val="000000"/>
                <w:sz w:val="18"/>
              </w:rPr>
              <w:t xml:space="preserve"> </w:t>
            </w:r>
          </w:p>
        </w:tc>
      </w:tr>
      <w:tr w14:paraId="7D27BCC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76544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48CD2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B01C3A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4B91E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3F85E2A">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0.89</w:t>
            </w:r>
            <w:r>
              <w:rPr>
                <w:rFonts w:ascii="Times New Roman" w:hAnsi="Times New Roman"/>
                <w:color w:val="000000"/>
                <w:sz w:val="18"/>
              </w:rPr>
              <w:t xml:space="preserve"> </w:t>
            </w:r>
          </w:p>
        </w:tc>
      </w:tr>
      <w:tr w14:paraId="667B2D0B">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E26472">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E8CF2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BC7D4E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4B883B">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7527987">
            <w:pPr>
              <w:spacing w:line="280" w:lineRule="exact"/>
              <w:jc w:val="right"/>
              <w:rPr>
                <w:rFonts w:hint="default" w:cs="宋体"/>
                <w:color w:val="000000"/>
                <w:kern w:val="2"/>
                <w:sz w:val="16"/>
                <w:szCs w:val="16"/>
              </w:rPr>
            </w:pPr>
          </w:p>
        </w:tc>
      </w:tr>
      <w:tr w14:paraId="79B6614B">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925C8C">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9BED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87ED27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796303">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ECA281F">
            <w:pPr>
              <w:spacing w:line="280" w:lineRule="exact"/>
              <w:jc w:val="right"/>
              <w:rPr>
                <w:rFonts w:hint="default" w:cs="宋体"/>
                <w:color w:val="000000"/>
                <w:kern w:val="2"/>
                <w:sz w:val="16"/>
                <w:szCs w:val="16"/>
              </w:rPr>
            </w:pPr>
          </w:p>
        </w:tc>
      </w:tr>
      <w:tr w14:paraId="2C7025C2">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8AEC1F">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CE119F">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A0AAE3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4C7C73">
            <w:pPr>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A072275">
            <w:pPr>
              <w:spacing w:line="280" w:lineRule="exact"/>
              <w:jc w:val="right"/>
              <w:rPr>
                <w:rFonts w:hint="default" w:cs="宋体"/>
                <w:color w:val="000000"/>
                <w:sz w:val="16"/>
                <w:szCs w:val="16"/>
              </w:rPr>
            </w:pPr>
          </w:p>
        </w:tc>
      </w:tr>
    </w:tbl>
    <w:p w14:paraId="17B4CDCB">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F93B2">
    <w:pPr>
      <w:pStyle w:val="6"/>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97DCD49">
                          <w:pPr>
                            <w:pStyle w:val="6"/>
                            <w:rPr>
                              <w:rFonts w:hint="default"/>
                            </w:rPr>
                          </w:pPr>
                          <w:r>
                            <w:fldChar w:fldCharType="begin"/>
                          </w:r>
                          <w:r>
                            <w:instrText xml:space="preserve"> PAGE  \* MERGEFORMAT </w:instrText>
                          </w:r>
                          <w:r>
                            <w:fldChar w:fldCharType="separate"/>
                          </w:r>
                          <w:r>
                            <w:rPr>
                              <w:rFonts w:hint="default"/>
                            </w:rPr>
                            <w:t>- 8 -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797DCD49">
                    <w:pPr>
                      <w:pStyle w:val="6"/>
                      <w:rPr>
                        <w:rFonts w:hint="default"/>
                      </w:rPr>
                    </w:pPr>
                    <w:r>
                      <w:fldChar w:fldCharType="begin"/>
                    </w:r>
                    <w:r>
                      <w:instrText xml:space="preserve"> PAGE  \* MERGEFORMAT </w:instrText>
                    </w:r>
                    <w:r>
                      <w:fldChar w:fldCharType="separate"/>
                    </w:r>
                    <w:r>
                      <w:rPr>
                        <w:rFonts w:hint="default"/>
                      </w:rPr>
                      <w:t>- 8 -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812E8">
    <w:pPr>
      <w:pStyle w:val="6"/>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7DEE1C">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17 -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B7DEE1C">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17 -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770FA67">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770FA67">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5C07D">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060A5"/>
    <w:rsid w:val="00623A85"/>
    <w:rsid w:val="00770383"/>
    <w:rsid w:val="007810B8"/>
    <w:rsid w:val="007819D4"/>
    <w:rsid w:val="007B419D"/>
    <w:rsid w:val="007B7C4B"/>
    <w:rsid w:val="007D3D39"/>
    <w:rsid w:val="00862B9F"/>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545D3"/>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C56A4E"/>
    <w:rsid w:val="08DB07BA"/>
    <w:rsid w:val="0969353F"/>
    <w:rsid w:val="098305D0"/>
    <w:rsid w:val="09B1218B"/>
    <w:rsid w:val="0A3317EA"/>
    <w:rsid w:val="0A5C4B69"/>
    <w:rsid w:val="0A86124A"/>
    <w:rsid w:val="0AB54CC0"/>
    <w:rsid w:val="0B9335CE"/>
    <w:rsid w:val="0BF2311A"/>
    <w:rsid w:val="0C7927C4"/>
    <w:rsid w:val="0C9B098C"/>
    <w:rsid w:val="0D673E11"/>
    <w:rsid w:val="0DDA54E4"/>
    <w:rsid w:val="0E2955C2"/>
    <w:rsid w:val="0E3A5F83"/>
    <w:rsid w:val="0F836721"/>
    <w:rsid w:val="0FA25D96"/>
    <w:rsid w:val="0FDC5C58"/>
    <w:rsid w:val="107B59E5"/>
    <w:rsid w:val="10EC0126"/>
    <w:rsid w:val="10F70B9A"/>
    <w:rsid w:val="111445C7"/>
    <w:rsid w:val="114278C6"/>
    <w:rsid w:val="1158083A"/>
    <w:rsid w:val="11643A4B"/>
    <w:rsid w:val="11ED0F98"/>
    <w:rsid w:val="11F03528"/>
    <w:rsid w:val="12C921C4"/>
    <w:rsid w:val="13871C70"/>
    <w:rsid w:val="13A71CB4"/>
    <w:rsid w:val="13AF1D43"/>
    <w:rsid w:val="13CE1647"/>
    <w:rsid w:val="13D33102"/>
    <w:rsid w:val="13FD55AB"/>
    <w:rsid w:val="14200702"/>
    <w:rsid w:val="14370EA1"/>
    <w:rsid w:val="14497EFD"/>
    <w:rsid w:val="163A6CEE"/>
    <w:rsid w:val="173708E3"/>
    <w:rsid w:val="17C374FC"/>
    <w:rsid w:val="182E4AB6"/>
    <w:rsid w:val="189079DC"/>
    <w:rsid w:val="189B0D0B"/>
    <w:rsid w:val="18B43F7C"/>
    <w:rsid w:val="191C433B"/>
    <w:rsid w:val="194A1770"/>
    <w:rsid w:val="19B906A4"/>
    <w:rsid w:val="1B657AD0"/>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1E256F"/>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3B5AF4"/>
    <w:rsid w:val="426C1EA8"/>
    <w:rsid w:val="42736402"/>
    <w:rsid w:val="42E86A87"/>
    <w:rsid w:val="43307B09"/>
    <w:rsid w:val="439A3EB9"/>
    <w:rsid w:val="43BB152F"/>
    <w:rsid w:val="44C37687"/>
    <w:rsid w:val="45CB699A"/>
    <w:rsid w:val="46423C66"/>
    <w:rsid w:val="465B470D"/>
    <w:rsid w:val="46740B48"/>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EB6B02"/>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1E3F8E"/>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A437CDB"/>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unhideWhenUsed/>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5"/>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6172</Words>
  <Characters>7602</Characters>
  <Lines>95</Lines>
  <Paragraphs>26</Paragraphs>
  <TotalTime>4</TotalTime>
  <ScaleCrop>false</ScaleCrop>
  <LinksUpToDate>false</LinksUpToDate>
  <CharactersWithSpaces>7877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油菜花儿香</cp:lastModifiedBy>
  <dcterms:modified xsi:type="dcterms:W3CDTF">2025-09-16T09:01:50Z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eyJoZGlkIjoiOTQxNzEzMTExNzZmYTRkMWUxMjM0YTE4YmNjZmFjNTYiLCJ1c2VySWQiOiIzNTg1ODI4NjMifQ==</vt:lpwstr>
  </property>
</Properties>
</file>