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FF1BB">
      <w:pPr>
        <w:pStyle w:val="9"/>
        <w:keepNext w:val="0"/>
        <w:keepLines w:val="0"/>
        <w:pageBreakBefore w:val="0"/>
        <w:kinsoku/>
        <w:wordWrap/>
        <w:overflowPunct/>
        <w:topLinePunct w:val="0"/>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丰都县妇幼保健院</w:t>
      </w:r>
    </w:p>
    <w:p w14:paraId="7088FFC2">
      <w:pPr>
        <w:pStyle w:val="9"/>
        <w:keepNext w:val="0"/>
        <w:keepLines w:val="0"/>
        <w:pageBreakBefore w:val="0"/>
        <w:kinsoku/>
        <w:wordWrap/>
        <w:overflowPunct/>
        <w:topLinePunct w:val="0"/>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38F1EB4">
      <w:pPr>
        <w:pStyle w:val="15"/>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Style w:val="13"/>
          <w:rFonts w:hint="eastAsia" w:ascii="方正黑体_GBK" w:hAnsi="方正黑体_GBK" w:eastAsia="方正黑体_GBK" w:cs="方正黑体_GBK"/>
          <w:b w:val="0"/>
          <w:bCs/>
          <w:color w:val="181818" w:themeColor="background1" w:themeShade="19"/>
          <w:sz w:val="32"/>
          <w:szCs w:val="32"/>
          <w:highlight w:val="none"/>
          <w:shd w:val="clear" w:color="auto" w:fill="FFFFFF"/>
        </w:rPr>
      </w:pPr>
    </w:p>
    <w:p w14:paraId="556CF30D">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Style w:val="13"/>
          <w:rFonts w:hint="eastAsia" w:ascii="方正黑体_GBK" w:hAnsi="方正黑体_GBK" w:eastAsia="方正黑体_GBK" w:cs="方正黑体_GBK"/>
          <w:b/>
          <w:bCs w:val="0"/>
          <w:color w:val="181818" w:themeColor="background1" w:themeShade="19"/>
          <w:sz w:val="32"/>
          <w:szCs w:val="32"/>
          <w:highlight w:val="none"/>
          <w:shd w:val="clear" w:color="auto" w:fill="FFFFFF"/>
        </w:rPr>
      </w:pPr>
      <w:r>
        <w:rPr>
          <w:rStyle w:val="13"/>
          <w:rFonts w:hint="eastAsia" w:ascii="方正黑体_GBK" w:hAnsi="方正黑体_GBK" w:eastAsia="方正黑体_GBK" w:cs="方正黑体_GBK"/>
          <w:b/>
          <w:bCs w:val="0"/>
          <w:color w:val="181818" w:themeColor="background1" w:themeShade="19"/>
          <w:sz w:val="32"/>
          <w:szCs w:val="32"/>
          <w:highlight w:val="none"/>
          <w:shd w:val="clear" w:color="auto" w:fill="FFFFFF"/>
        </w:rPr>
        <w:t>一、单位基本情况</w:t>
      </w:r>
    </w:p>
    <w:p w14:paraId="30103C94">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eastAsia" w:ascii="方正楷体_GBK" w:hAnsi="方正楷体_GBK" w:eastAsia="方正楷体_GBK" w:cs="方正楷体_GBK"/>
          <w:b/>
          <w:bCs w:val="0"/>
          <w:color w:val="181818" w:themeColor="background1" w:themeShade="19"/>
          <w:sz w:val="32"/>
          <w:szCs w:val="32"/>
          <w:highlight w:val="none"/>
          <w:shd w:val="clear" w:color="auto" w:fill="FFFFFF"/>
        </w:rPr>
      </w:pPr>
      <w:r>
        <w:rPr>
          <w:rFonts w:hint="eastAsia" w:ascii="方正楷体_GBK" w:hAnsi="方正楷体_GBK" w:eastAsia="方正楷体_GBK" w:cs="方正楷体_GBK"/>
          <w:b/>
          <w:bCs w:val="0"/>
          <w:color w:val="181818" w:themeColor="background1" w:themeShade="19"/>
          <w:sz w:val="32"/>
          <w:szCs w:val="32"/>
          <w:highlight w:val="none"/>
          <w:shd w:val="clear" w:color="auto" w:fill="FFFFFF"/>
        </w:rPr>
        <w:t>（一）职能职责</w:t>
      </w:r>
    </w:p>
    <w:p w14:paraId="0D2F153D">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为妇女儿童提供妇幼保健服务和常见病防治、助产技术、出生缺陷综合防治等医疗保健服务，承担计划生育宣传教育、技术服务、优生指导、药具发放、随访服务、生殖保健、人员培训等工作。</w:t>
      </w:r>
    </w:p>
    <w:p w14:paraId="578FE5D0">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具体职责任务：</w:t>
      </w:r>
    </w:p>
    <w:p w14:paraId="5AAAA442">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1.</w:t>
      </w:r>
      <w:r>
        <w:rPr>
          <w:rFonts w:ascii="Times New Roman" w:hAnsi="Times New Roman" w:eastAsia="方正仿宋_GBK"/>
          <w:color w:val="181818" w:themeColor="background1" w:themeShade="19"/>
          <w:sz w:val="32"/>
          <w:szCs w:val="32"/>
          <w:highlight w:val="none"/>
          <w:shd w:val="clear" w:color="auto" w:fill="FFFFFF"/>
        </w:rPr>
        <w:t>掌握本辖区妇女儿童健康状况及影响因素，受卫生健康行政部门委托承担妇幼保健和计划生育技术服务业务指导、技术培训和技术支持工作，对本辖区各类医疗保健机构开展的妇幼卫生服务进行监督指导、考核评估；</w:t>
      </w:r>
    </w:p>
    <w:p w14:paraId="689E7521">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2.</w:t>
      </w:r>
      <w:r>
        <w:rPr>
          <w:rFonts w:ascii="Times New Roman" w:hAnsi="Times New Roman" w:eastAsia="方正仿宋_GBK"/>
          <w:color w:val="181818" w:themeColor="background1" w:themeShade="19"/>
          <w:sz w:val="32"/>
          <w:szCs w:val="32"/>
          <w:highlight w:val="none"/>
          <w:shd w:val="clear" w:color="auto" w:fill="FFFFFF"/>
        </w:rPr>
        <w:t>开展婚前医学检查、孕前优生健康检查和出生缺陷综合防治等工作；</w:t>
      </w:r>
    </w:p>
    <w:p w14:paraId="478B9E85">
      <w:pPr>
        <w:pStyle w:val="14"/>
        <w:keepNext w:val="0"/>
        <w:keepLines w:val="0"/>
        <w:pageBreakBefore w:val="0"/>
        <w:widowControl w:val="0"/>
        <w:kinsoku/>
        <w:wordWrap/>
        <w:overflowPunct/>
        <w:topLinePunct w:val="0"/>
        <w:autoSpaceDE w:val="0"/>
        <w:autoSpaceDN/>
        <w:bidi w:val="0"/>
        <w:adjustRightInd/>
        <w:snapToGri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ascii="Times New Roman" w:hAnsi="Times New Roman" w:eastAsia="方正仿宋_GBK"/>
          <w:color w:val="181818" w:themeColor="background1" w:themeShade="19"/>
          <w:sz w:val="32"/>
          <w:szCs w:val="32"/>
          <w:highlight w:val="none"/>
          <w:shd w:val="clear" w:color="auto" w:fill="FFFFFF"/>
        </w:rPr>
        <w:t>3</w:t>
      </w:r>
      <w:r>
        <w:rPr>
          <w:rFonts w:hint="default" w:ascii="Times New Roman" w:hAnsi="Times New Roman" w:eastAsia="方正仿宋_GBK"/>
          <w:color w:val="181818" w:themeColor="background1" w:themeShade="19"/>
          <w:sz w:val="32"/>
          <w:szCs w:val="32"/>
          <w:highlight w:val="none"/>
          <w:shd w:val="clear" w:color="auto" w:fill="FFFFFF"/>
        </w:rPr>
        <w:t>.负责指导和开展本辖区的妇幼保健健康教育与健康促进工作；组织实施本辖区母婴保健技术培训，对基层医疗保健机构开展业务指导，并提供技术支持；</w:t>
      </w:r>
    </w:p>
    <w:p w14:paraId="3AEA59BD">
      <w:pPr>
        <w:pStyle w:val="14"/>
        <w:keepNext w:val="0"/>
        <w:keepLines w:val="0"/>
        <w:pageBreakBefore w:val="0"/>
        <w:widowControl w:val="0"/>
        <w:kinsoku/>
        <w:wordWrap/>
        <w:overflowPunct/>
        <w:topLinePunct w:val="0"/>
        <w:autoSpaceDE w:val="0"/>
        <w:autoSpaceDN/>
        <w:bidi w:val="0"/>
        <w:adjustRightInd/>
        <w:snapToGri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ascii="Times New Roman" w:hAnsi="Times New Roman" w:eastAsia="方正仿宋_GBK"/>
          <w:color w:val="181818" w:themeColor="background1" w:themeShade="19"/>
          <w:sz w:val="32"/>
          <w:szCs w:val="32"/>
          <w:highlight w:val="none"/>
          <w:shd w:val="clear" w:color="auto" w:fill="FFFFFF"/>
        </w:rPr>
        <w:t>4</w:t>
      </w:r>
      <w:r>
        <w:rPr>
          <w:rFonts w:hint="default" w:ascii="Times New Roman" w:hAnsi="Times New Roman" w:eastAsia="方正仿宋_GBK"/>
          <w:color w:val="181818" w:themeColor="background1" w:themeShade="19"/>
          <w:sz w:val="32"/>
          <w:szCs w:val="32"/>
          <w:highlight w:val="none"/>
          <w:shd w:val="clear" w:color="auto" w:fill="FFFFFF"/>
        </w:rPr>
        <w:t>.负责本辖区孕产妇死亡、婴儿及 5 岁以下儿童死亡、出生缺陷监测、妇幼卫生服务及技术管理</w:t>
      </w:r>
      <w:r>
        <w:rPr>
          <w:rFonts w:ascii="Times New Roman" w:hAnsi="Times New Roman" w:eastAsia="方正仿宋_GBK"/>
          <w:color w:val="181818" w:themeColor="background1" w:themeShade="19"/>
          <w:sz w:val="32"/>
          <w:szCs w:val="32"/>
          <w:highlight w:val="none"/>
          <w:shd w:val="clear" w:color="auto" w:fill="FFFFFF"/>
        </w:rPr>
        <w:t>、计划生育技术服务</w:t>
      </w:r>
      <w:r>
        <w:rPr>
          <w:rFonts w:hint="default" w:ascii="Times New Roman" w:hAnsi="Times New Roman" w:eastAsia="方正仿宋_GBK"/>
          <w:color w:val="181818" w:themeColor="background1" w:themeShade="19"/>
          <w:sz w:val="32"/>
          <w:szCs w:val="32"/>
          <w:highlight w:val="none"/>
          <w:shd w:val="clear" w:color="auto" w:fill="FFFFFF"/>
        </w:rPr>
        <w:t xml:space="preserve">等信息的收集、统计、分析、质量控制和汇总上报； </w:t>
      </w:r>
    </w:p>
    <w:p w14:paraId="0ED9E4D1">
      <w:pPr>
        <w:pStyle w:val="14"/>
        <w:keepNext w:val="0"/>
        <w:keepLines w:val="0"/>
        <w:pageBreakBefore w:val="0"/>
        <w:widowControl w:val="0"/>
        <w:kinsoku/>
        <w:wordWrap/>
        <w:overflowPunct/>
        <w:topLinePunct w:val="0"/>
        <w:autoSpaceDE w:val="0"/>
        <w:autoSpaceDN/>
        <w:bidi w:val="0"/>
        <w:adjustRightInd/>
        <w:snapToGri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ascii="Times New Roman" w:hAnsi="Times New Roman" w:eastAsia="方正仿宋_GBK"/>
          <w:color w:val="181818" w:themeColor="background1" w:themeShade="19"/>
          <w:sz w:val="32"/>
          <w:szCs w:val="32"/>
          <w:highlight w:val="none"/>
          <w:shd w:val="clear" w:color="auto" w:fill="FFFFFF"/>
        </w:rPr>
        <w:t>5</w:t>
      </w:r>
      <w:r>
        <w:rPr>
          <w:rFonts w:hint="default" w:ascii="Times New Roman" w:hAnsi="Times New Roman" w:eastAsia="方正仿宋_GBK"/>
          <w:color w:val="181818" w:themeColor="background1" w:themeShade="19"/>
          <w:sz w:val="32"/>
          <w:szCs w:val="32"/>
          <w:highlight w:val="none"/>
          <w:shd w:val="clear" w:color="auto" w:fill="FFFFFF"/>
        </w:rPr>
        <w:t>.</w:t>
      </w:r>
      <w:r>
        <w:rPr>
          <w:rFonts w:ascii="Times New Roman" w:hAnsi="Times New Roman" w:eastAsia="方正仿宋_GBK"/>
          <w:color w:val="181818" w:themeColor="background1" w:themeShade="19"/>
          <w:sz w:val="32"/>
          <w:szCs w:val="32"/>
          <w:highlight w:val="none"/>
          <w:shd w:val="clear" w:color="auto" w:fill="FFFFFF"/>
        </w:rPr>
        <w:t>为妇女儿童提供孕产保健、妇女保健、儿童保健等妇幼保健服务和妇女儿童常见病防治、助产技术服务等；</w:t>
      </w:r>
    </w:p>
    <w:p w14:paraId="7C6F454D">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ascii="Times New Roman" w:hAnsi="Times New Roman" w:eastAsia="方正仿宋_GBK"/>
          <w:color w:val="181818" w:themeColor="background1" w:themeShade="19"/>
          <w:sz w:val="32"/>
          <w:szCs w:val="32"/>
          <w:highlight w:val="none"/>
          <w:shd w:val="clear" w:color="auto" w:fill="FFFFFF"/>
        </w:rPr>
        <w:t>6</w:t>
      </w:r>
      <w:r>
        <w:rPr>
          <w:rFonts w:hint="default" w:ascii="Times New Roman" w:hAnsi="Times New Roman" w:eastAsia="方正仿宋_GBK"/>
          <w:color w:val="181818" w:themeColor="background1" w:themeShade="19"/>
          <w:sz w:val="32"/>
          <w:szCs w:val="32"/>
          <w:highlight w:val="none"/>
          <w:shd w:val="clear" w:color="auto" w:fill="FFFFFF"/>
        </w:rPr>
        <w:t>.开展妇幼卫生、生殖健康的应用性科学研究并组织推广适宜技术；</w:t>
      </w:r>
    </w:p>
    <w:p w14:paraId="3B57DD20">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ascii="Times New Roman" w:hAnsi="Times New Roman" w:eastAsia="方正仿宋_GBK"/>
          <w:color w:val="181818" w:themeColor="background1" w:themeShade="19"/>
          <w:sz w:val="32"/>
          <w:szCs w:val="32"/>
          <w:highlight w:val="none"/>
          <w:shd w:val="clear" w:color="auto" w:fill="FFFFFF"/>
        </w:rPr>
        <w:t>7</w:t>
      </w:r>
      <w:r>
        <w:rPr>
          <w:rFonts w:hint="default" w:ascii="Times New Roman" w:hAnsi="Times New Roman" w:eastAsia="方正仿宋_GBK"/>
          <w:color w:val="181818" w:themeColor="background1" w:themeShade="19"/>
          <w:sz w:val="32"/>
          <w:szCs w:val="32"/>
          <w:highlight w:val="none"/>
          <w:shd w:val="clear" w:color="auto" w:fill="FFFFFF"/>
        </w:rPr>
        <w:t>.承担计划生育宣传教育、</w:t>
      </w:r>
      <w:r>
        <w:rPr>
          <w:rFonts w:ascii="Times New Roman" w:hAnsi="Times New Roman" w:eastAsia="方正仿宋_GBK"/>
          <w:color w:val="181818" w:themeColor="background1" w:themeShade="19"/>
          <w:sz w:val="32"/>
          <w:szCs w:val="32"/>
          <w:highlight w:val="none"/>
          <w:shd w:val="clear" w:color="auto" w:fill="FFFFFF"/>
        </w:rPr>
        <w:t>技术服务、</w:t>
      </w:r>
      <w:r>
        <w:rPr>
          <w:rFonts w:hint="default" w:ascii="Times New Roman" w:hAnsi="Times New Roman" w:eastAsia="方正仿宋_GBK"/>
          <w:color w:val="181818" w:themeColor="background1" w:themeShade="19"/>
          <w:sz w:val="32"/>
          <w:szCs w:val="32"/>
          <w:highlight w:val="none"/>
          <w:shd w:val="clear" w:color="auto" w:fill="FFFFFF"/>
        </w:rPr>
        <w:t xml:space="preserve">优生指导、药具发放、信息咨询、随访服务、生殖健康、人员培训等任务； </w:t>
      </w:r>
    </w:p>
    <w:p w14:paraId="795AEE1A">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ascii="Times New Roman" w:hAnsi="Times New Roman" w:eastAsia="方正仿宋_GBK"/>
          <w:color w:val="181818" w:themeColor="background1" w:themeShade="19"/>
          <w:sz w:val="32"/>
          <w:szCs w:val="32"/>
          <w:highlight w:val="none"/>
          <w:shd w:val="clear" w:color="auto" w:fill="FFFFFF"/>
        </w:rPr>
        <w:t>8.协助卫生健康行政部门制定本辖区妇幼卫生工作政策、技术规范及规章制度；</w:t>
      </w:r>
    </w:p>
    <w:p w14:paraId="142B3269">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ascii="Times New Roman" w:hAnsi="Times New Roman" w:eastAsia="方正仿宋_GBK"/>
          <w:color w:val="181818" w:themeColor="background1" w:themeShade="19"/>
          <w:sz w:val="32"/>
          <w:szCs w:val="32"/>
          <w:highlight w:val="none"/>
          <w:shd w:val="clear" w:color="auto" w:fill="FFFFFF"/>
        </w:rPr>
        <w:t>9</w:t>
      </w:r>
      <w:r>
        <w:rPr>
          <w:rFonts w:hint="default" w:ascii="Times New Roman" w:hAnsi="Times New Roman" w:eastAsia="方正仿宋_GBK"/>
          <w:color w:val="181818" w:themeColor="background1" w:themeShade="19"/>
          <w:sz w:val="32"/>
          <w:szCs w:val="32"/>
          <w:highlight w:val="none"/>
          <w:shd w:val="clear" w:color="auto" w:fill="FFFFFF"/>
        </w:rPr>
        <w:t xml:space="preserve">.完成各级政府和卫生健康行政部门交办的其他任务。 </w:t>
      </w:r>
    </w:p>
    <w:p w14:paraId="5193B411">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ascii="Times New Roman" w:hAnsi="Times New Roman" w:eastAsia="方正仿宋_GBK"/>
          <w:color w:val="181818" w:themeColor="background1" w:themeShade="19"/>
          <w:sz w:val="32"/>
          <w:szCs w:val="32"/>
          <w:highlight w:val="none"/>
          <w:shd w:val="clear" w:color="auto" w:fill="FFFFFF"/>
        </w:rPr>
        <w:t>以上具体职责任务均属公益一类。</w:t>
      </w:r>
    </w:p>
    <w:p w14:paraId="503CD61B">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eastAsia" w:ascii="方正楷体_GBK" w:hAnsi="方正楷体_GBK" w:eastAsia="方正楷体_GBK" w:cs="方正楷体_GBK"/>
          <w:b/>
          <w:bCs/>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（二）机构设置</w:t>
      </w:r>
    </w:p>
    <w:p w14:paraId="454D5E6B">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ascii="Times New Roman" w:hAnsi="Times New Roman" w:eastAsia="方正仿宋_GBK"/>
          <w:color w:val="181818" w:themeColor="background1" w:themeShade="19"/>
          <w:sz w:val="32"/>
          <w:szCs w:val="32"/>
          <w:highlight w:val="none"/>
          <w:shd w:val="clear" w:color="auto" w:fill="FFFFFF"/>
        </w:rPr>
        <w:t>丰都县妇幼保健院（丰都县妇女儿童医院、丰都县妇幼保健计划生育服务中心）为丰都县卫生健康委员会所属按副科级管理的全额拨款公益一类事业单位。</w:t>
      </w:r>
    </w:p>
    <w:p w14:paraId="2D46BFD3">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全院设有办公室、财务科、后勤管理科、设备科、医务科教科、医技科、药剂科、护理部、基层指导科（信息管理科）、计划生育服务科、围产保健科、产科、妇女保健科、妇科、儿童保健科、儿科等20个内设机构，开展产科、妇科、儿科、儿保科、中医康复科等常见病的治疗、保健与康复业务。</w:t>
      </w:r>
    </w:p>
    <w:p w14:paraId="4B65F260">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Style w:val="13"/>
          <w:rFonts w:hint="default" w:ascii="方正黑体_GBK" w:hAnsi="方正黑体_GBK" w:eastAsia="方正黑体_GBK" w:cs="方正黑体_GBK"/>
          <w:b/>
          <w:bCs w:val="0"/>
          <w:color w:val="181818" w:themeColor="background1" w:themeShade="19"/>
          <w:sz w:val="32"/>
          <w:szCs w:val="32"/>
          <w:highlight w:val="none"/>
          <w:shd w:val="clear" w:color="auto" w:fill="FFFFFF"/>
        </w:rPr>
      </w:pPr>
      <w:r>
        <w:rPr>
          <w:rStyle w:val="13"/>
          <w:rFonts w:hint="eastAsia" w:ascii="方正黑体_GBK" w:hAnsi="方正黑体_GBK" w:eastAsia="方正黑体_GBK" w:cs="方正黑体_GBK"/>
          <w:b/>
          <w:bCs w:val="0"/>
          <w:color w:val="181818" w:themeColor="background1" w:themeShade="19"/>
          <w:sz w:val="32"/>
          <w:szCs w:val="32"/>
          <w:highlight w:val="none"/>
          <w:shd w:val="clear" w:color="auto" w:fill="FFFFFF"/>
        </w:rPr>
        <w:t>二、单位决算收支情况说明</w:t>
      </w:r>
    </w:p>
    <w:p w14:paraId="1EFA1C6B">
      <w:pPr>
        <w:pStyle w:val="14"/>
        <w:keepNext w:val="0"/>
        <w:keepLines w:val="0"/>
        <w:pageBreakBefore w:val="0"/>
        <w:kinsoku/>
        <w:wordWrap/>
        <w:overflowPunct/>
        <w:topLinePunct w:val="0"/>
        <w:autoSpaceDE w:val="0"/>
        <w:autoSpaceDN/>
        <w:bidi w:val="0"/>
        <w:adjustRightInd/>
        <w:spacing w:line="594" w:lineRule="exact"/>
        <w:ind w:firstLine="643"/>
        <w:textAlignment w:val="auto"/>
        <w:rPr>
          <w:rFonts w:hint="eastAsia" w:ascii="方正楷体_GBK" w:hAnsi="方正楷体_GBK" w:eastAsia="方正楷体_GBK" w:cs="方正楷体_GBK"/>
          <w:b/>
          <w:bCs w:val="0"/>
          <w:color w:val="181818" w:themeColor="background1" w:themeShade="19"/>
          <w:sz w:val="32"/>
          <w:szCs w:val="32"/>
          <w:highlight w:val="none"/>
          <w:shd w:val="clear" w:color="auto" w:fill="FFFFFF"/>
        </w:rPr>
      </w:pPr>
      <w:r>
        <w:rPr>
          <w:rFonts w:hint="eastAsia" w:ascii="方正楷体_GBK" w:hAnsi="方正楷体_GBK" w:eastAsia="方正楷体_GBK" w:cs="方正楷体_GBK"/>
          <w:b/>
          <w:bCs w:val="0"/>
          <w:color w:val="181818" w:themeColor="background1" w:themeShade="19"/>
          <w:sz w:val="32"/>
          <w:szCs w:val="32"/>
          <w:highlight w:val="none"/>
          <w:shd w:val="clear" w:color="auto" w:fill="FFFFFF"/>
        </w:rPr>
        <w:t>（一）收入支出决算总体情况说明</w:t>
      </w:r>
    </w:p>
    <w:p w14:paraId="7B2BD06E">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ascii="Times New Roman" w:hAnsi="Times New Roman" w:eastAsia="方正仿宋_GBK"/>
          <w:color w:val="181818" w:themeColor="background1" w:themeShade="19"/>
          <w:sz w:val="32"/>
          <w:szCs w:val="32"/>
          <w:highlight w:val="none"/>
          <w:shd w:val="clear" w:color="auto" w:fill="FFFFFF"/>
        </w:rPr>
      </w:pPr>
      <w:r>
        <w:rPr>
          <w:rFonts w:ascii="Times New Roman" w:hAnsi="Times New Roman" w:eastAsia="方正仿宋_GBK"/>
          <w:color w:val="181818" w:themeColor="background1" w:themeShade="19"/>
          <w:sz w:val="32"/>
          <w:szCs w:val="32"/>
          <w:highlight w:val="none"/>
          <w:shd w:val="clear" w:color="auto" w:fill="FFFFFF"/>
        </w:rPr>
        <w:t>2024</w:t>
      </w:r>
      <w:r>
        <w:rPr>
          <w:rFonts w:ascii="方正仿宋_GBK" w:hAnsi="方正仿宋_GBK" w:eastAsia="方正仿宋_GBK" w:cs="方正仿宋_GBK"/>
          <w:color w:val="181818" w:themeColor="background1" w:themeShade="19"/>
          <w:sz w:val="32"/>
          <w:szCs w:val="32"/>
          <w:highlight w:val="none"/>
          <w:shd w:val="clear" w:color="auto" w:fill="FFFFFF"/>
        </w:rPr>
        <w:t>年度收、支总计均为</w:t>
      </w:r>
      <w:r>
        <w:rPr>
          <w:rFonts w:ascii="Times New Roman" w:hAnsi="Times New Roman" w:eastAsia="方正仿宋_GBK"/>
          <w:color w:val="181818" w:themeColor="background1" w:themeShade="19"/>
          <w:sz w:val="32"/>
          <w:szCs w:val="32"/>
          <w:highlight w:val="none"/>
          <w:shd w:val="clear" w:color="auto" w:fill="FFFFFF"/>
        </w:rPr>
        <w:t>4725.94</w:t>
      </w:r>
      <w:r>
        <w:rPr>
          <w:rFonts w:ascii="方正仿宋_GBK" w:hAnsi="方正仿宋_GBK" w:eastAsia="方正仿宋_GBK" w:cs="方正仿宋_GBK"/>
          <w:color w:val="181818" w:themeColor="background1" w:themeShade="19"/>
          <w:sz w:val="32"/>
          <w:szCs w:val="32"/>
          <w:highlight w:val="none"/>
          <w:shd w:val="clear" w:color="auto" w:fill="FFFFFF"/>
        </w:rPr>
        <w:t>万元。</w:t>
      </w:r>
      <w:r>
        <w:rPr>
          <w:rFonts w:ascii="Times New Roman" w:hAnsi="Times New Roman" w:eastAsia="方正仿宋_GBK"/>
          <w:color w:val="181818" w:themeColor="background1" w:themeShade="19"/>
          <w:sz w:val="32"/>
          <w:szCs w:val="32"/>
          <w:highlight w:val="none"/>
          <w:shd w:val="clear" w:color="auto" w:fill="FFFFFF"/>
        </w:rPr>
        <w:t>收、支与2023年度相比，减少1004.39万元，下降17.5%</w:t>
      </w:r>
      <w:r>
        <w:rPr>
          <w:rFonts w:ascii="方正仿宋_GBK" w:hAnsi="方正仿宋_GBK" w:eastAsia="方正仿宋_GBK" w:cs="方正仿宋_GBK"/>
          <w:color w:val="181818" w:themeColor="background1" w:themeShade="19"/>
          <w:sz w:val="32"/>
          <w:szCs w:val="32"/>
          <w:highlight w:val="none"/>
          <w:shd w:val="clear" w:color="auto" w:fill="FFFFFF"/>
        </w:rPr>
        <w:t>，主要</w:t>
      </w:r>
      <w:r>
        <w:rPr>
          <w:rFonts w:ascii="Times New Roman" w:hAnsi="Times New Roman" w:eastAsia="方正仿宋_GBK"/>
          <w:color w:val="181818" w:themeColor="background1" w:themeShade="19"/>
          <w:sz w:val="32"/>
          <w:szCs w:val="32"/>
          <w:highlight w:val="none"/>
          <w:shd w:val="clear" w:color="auto" w:fill="FFFFFF"/>
        </w:rPr>
        <w:t>原因是单位业务量的下降，收支减少887.15万元。</w:t>
      </w:r>
    </w:p>
    <w:p w14:paraId="1F51A0E1">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lang w:val="en-US" w:eastAsia="zh-CN"/>
        </w:rPr>
      </w:pPr>
      <w:r>
        <w:rPr>
          <w:rFonts w:hint="default" w:ascii="Times New Roman" w:hAnsi="Times New Roman" w:eastAsia="方正仿宋_GBK"/>
          <w:b/>
          <w:bCs/>
          <w:color w:val="181818" w:themeColor="background1" w:themeShade="19"/>
          <w:sz w:val="32"/>
          <w:szCs w:val="32"/>
          <w:highlight w:val="none"/>
          <w:shd w:val="clear" w:color="auto" w:fill="FFFFFF"/>
          <w:lang w:val="en-US" w:eastAsia="zh-CN"/>
        </w:rPr>
        <w:t>1.收入情况。</w:t>
      </w:r>
      <w:r>
        <w:rPr>
          <w:rFonts w:hint="default" w:ascii="Times New Roman" w:hAnsi="Times New Roman" w:eastAsia="方正仿宋_GBK"/>
          <w:color w:val="181818" w:themeColor="background1" w:themeShade="19"/>
          <w:sz w:val="32"/>
          <w:szCs w:val="32"/>
          <w:highlight w:val="none"/>
          <w:shd w:val="clear" w:color="auto" w:fill="FFFFFF"/>
          <w:lang w:val="en-US" w:eastAsia="zh-CN"/>
        </w:rPr>
        <w:t>2024年度收入合计4725.94万元，与2023年度相比，减少849.44万元，下降15.2%，主要原因是预防接种单位增加，疫苗接种业务量减少，疫苗收入较上年减少760.19万元。其中：财政拨款收入1581.08万元，占33.5%；事业收入3139.92万元，占66.4%；经营收入0.00万元，占0.0%；其他收入4.94万元，占0.1%。此外，使用非财政拨款结余（含专用结余）0.00万元，年初结转和结余0.00万元。</w:t>
      </w:r>
    </w:p>
    <w:p w14:paraId="74978962">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lang w:val="en-US" w:eastAsia="zh-CN"/>
        </w:rPr>
      </w:pPr>
      <w:r>
        <w:rPr>
          <w:rFonts w:hint="default" w:ascii="Times New Roman" w:hAnsi="Times New Roman" w:eastAsia="方正仿宋_GBK"/>
          <w:b/>
          <w:bCs/>
          <w:color w:val="181818" w:themeColor="background1" w:themeShade="19"/>
          <w:sz w:val="32"/>
          <w:szCs w:val="32"/>
          <w:highlight w:val="none"/>
          <w:shd w:val="clear" w:color="auto" w:fill="FFFFFF"/>
          <w:lang w:val="en-US" w:eastAsia="zh-CN"/>
        </w:rPr>
        <w:t>2.支出情况。</w:t>
      </w:r>
      <w:r>
        <w:rPr>
          <w:rFonts w:hint="default" w:ascii="Times New Roman" w:hAnsi="Times New Roman" w:eastAsia="方正仿宋_GBK"/>
          <w:color w:val="181818" w:themeColor="background1" w:themeShade="19"/>
          <w:sz w:val="32"/>
          <w:szCs w:val="32"/>
          <w:highlight w:val="none"/>
          <w:shd w:val="clear" w:color="auto" w:fill="FFFFFF"/>
          <w:lang w:val="en-US" w:eastAsia="zh-CN"/>
        </w:rPr>
        <w:t>2024年度支出合计4725.94万元，与2023年度相比，减少1004.39万元，下降17.5%，疫苗接种业务量减少，疫苗收入较上年减少760.19万元，疫苗费用关、较上年减少760.19万元。其中：基本支出3812.98万元，占80.7%；项目支出912.97万元，占19.3%；经营支出0.00万元，占0.0%。此外，结余分配0.00万元。</w:t>
      </w:r>
    </w:p>
    <w:p w14:paraId="1F9A5493">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default" w:ascii="Times New Roman" w:hAnsi="Times New Roman" w:eastAsia="方正仿宋_GBK"/>
          <w:color w:val="181818" w:themeColor="background1" w:themeShade="19"/>
          <w:sz w:val="32"/>
          <w:szCs w:val="32"/>
          <w:highlight w:val="none"/>
          <w:shd w:val="clear" w:color="auto" w:fill="FFFFFF"/>
          <w:lang w:val="en-US" w:eastAsia="zh-CN"/>
        </w:rPr>
      </w:pPr>
      <w:r>
        <w:rPr>
          <w:rFonts w:hint="default" w:ascii="Times New Roman" w:hAnsi="Times New Roman" w:eastAsia="方正仿宋_GBK"/>
          <w:b/>
          <w:bCs/>
          <w:color w:val="181818" w:themeColor="background1" w:themeShade="19"/>
          <w:sz w:val="32"/>
          <w:szCs w:val="32"/>
          <w:highlight w:val="none"/>
          <w:shd w:val="clear" w:color="auto" w:fill="FFFFFF"/>
          <w:lang w:val="en-US" w:eastAsia="zh-CN"/>
        </w:rPr>
        <w:t>3.结转结余情况。</w:t>
      </w:r>
      <w:r>
        <w:rPr>
          <w:rFonts w:hint="default" w:ascii="Times New Roman" w:hAnsi="Times New Roman" w:eastAsia="方正仿宋_GBK"/>
          <w:color w:val="181818" w:themeColor="background1" w:themeShade="19"/>
          <w:sz w:val="32"/>
          <w:szCs w:val="32"/>
          <w:highlight w:val="none"/>
          <w:shd w:val="clear" w:color="auto" w:fill="FFFFFF"/>
          <w:lang w:val="en-US" w:eastAsia="zh-CN"/>
        </w:rPr>
        <w:t>2024年度年末结转和结余0.00万元，与2023年度持平。</w:t>
      </w:r>
    </w:p>
    <w:p w14:paraId="03C82A18">
      <w:pPr>
        <w:pStyle w:val="14"/>
        <w:keepNext w:val="0"/>
        <w:keepLines w:val="0"/>
        <w:pageBreakBefore w:val="0"/>
        <w:kinsoku/>
        <w:wordWrap/>
        <w:overflowPunct/>
        <w:topLinePunct w:val="0"/>
        <w:autoSpaceDE w:val="0"/>
        <w:autoSpaceDN/>
        <w:bidi w:val="0"/>
        <w:adjustRightInd/>
        <w:spacing w:line="594" w:lineRule="exact"/>
        <w:ind w:firstLine="643"/>
        <w:textAlignment w:val="auto"/>
        <w:rPr>
          <w:rFonts w:hint="eastAsia" w:ascii="方正楷体_GBK" w:hAnsi="方正楷体_GBK" w:eastAsia="方正楷体_GBK" w:cs="方正楷体_GBK"/>
          <w:b/>
          <w:bCs/>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（二）财政拨款收入支出决算总体情况说明</w:t>
      </w:r>
    </w:p>
    <w:p w14:paraId="6F720B8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181818" w:themeColor="background1" w:themeShade="19"/>
          <w:kern w:val="2"/>
          <w:sz w:val="32"/>
          <w:szCs w:val="32"/>
          <w:highlight w:val="none"/>
        </w:rPr>
      </w:pPr>
      <w:r>
        <w:rPr>
          <w:rFonts w:hint="default" w:ascii="Times New Roman" w:hAnsi="Times New Roman" w:eastAsia="方正仿宋_GBK"/>
          <w:color w:val="181818" w:themeColor="background1" w:themeShade="19"/>
          <w:sz w:val="32"/>
          <w:szCs w:val="32"/>
          <w:highlight w:val="none"/>
          <w:shd w:val="clear" w:color="auto" w:fill="FFFFFF"/>
        </w:rPr>
        <w:t>2024</w:t>
      </w:r>
      <w:r>
        <w:rPr>
          <w:rFonts w:ascii="方正仿宋_GBK" w:hAnsi="方正仿宋_GBK" w:eastAsia="方正仿宋_GBK" w:cs="方正仿宋_GBK"/>
          <w:color w:val="181818" w:themeColor="background1" w:themeShade="19"/>
          <w:sz w:val="32"/>
          <w:szCs w:val="32"/>
          <w:highlight w:val="none"/>
          <w:shd w:val="clear" w:color="auto" w:fill="FFFFFF"/>
        </w:rPr>
        <w:t>年度财政拨款收、支总计均为</w:t>
      </w:r>
      <w:r>
        <w:rPr>
          <w:rFonts w:hint="default" w:ascii="Times New Roman" w:hAnsi="Times New Roman" w:eastAsia="方正仿宋_GBK"/>
          <w:color w:val="181818" w:themeColor="background1" w:themeShade="19"/>
          <w:sz w:val="32"/>
          <w:szCs w:val="32"/>
          <w:highlight w:val="none"/>
          <w:shd w:val="clear" w:color="auto" w:fill="FFFFFF"/>
        </w:rPr>
        <w:t>1581.08</w:t>
      </w:r>
      <w:r>
        <w:rPr>
          <w:rFonts w:ascii="方正仿宋_GBK" w:hAnsi="方正仿宋_GBK" w:eastAsia="方正仿宋_GBK" w:cs="方正仿宋_GBK"/>
          <w:color w:val="181818" w:themeColor="background1" w:themeShade="19"/>
          <w:sz w:val="32"/>
          <w:szCs w:val="32"/>
          <w:highlight w:val="none"/>
          <w:shd w:val="clear" w:color="auto" w:fill="FFFFFF"/>
        </w:rPr>
        <w:t>万元。与</w:t>
      </w:r>
      <w:r>
        <w:rPr>
          <w:rFonts w:hint="default" w:ascii="Times New Roman" w:hAnsi="Times New Roman" w:eastAsia="方正仿宋_GBK"/>
          <w:color w:val="181818" w:themeColor="background1" w:themeShade="19"/>
          <w:sz w:val="32"/>
          <w:szCs w:val="32"/>
          <w:highlight w:val="none"/>
          <w:shd w:val="clear" w:color="auto" w:fill="FFFFFF"/>
        </w:rPr>
        <w:t>2023</w:t>
      </w:r>
      <w:r>
        <w:rPr>
          <w:rFonts w:ascii="方正仿宋_GBK" w:hAnsi="方正仿宋_GBK" w:eastAsia="方正仿宋_GBK" w:cs="方正仿宋_GBK"/>
          <w:color w:val="181818" w:themeColor="background1" w:themeShade="19"/>
          <w:sz w:val="32"/>
          <w:szCs w:val="32"/>
          <w:highlight w:val="none"/>
          <w:shd w:val="clear" w:color="auto" w:fill="FFFFFF"/>
        </w:rPr>
        <w:t>年度相比，</w:t>
      </w:r>
      <w:r>
        <w:rPr>
          <w:rFonts w:hint="default" w:ascii="Times New Roman" w:hAnsi="Times New Roman" w:eastAsia="方正仿宋_GBK"/>
          <w:color w:val="181818" w:themeColor="background1" w:themeShade="19"/>
          <w:sz w:val="32"/>
          <w:szCs w:val="32"/>
          <w:highlight w:val="none"/>
          <w:shd w:val="clear" w:color="auto" w:fill="FFFFFF"/>
        </w:rPr>
        <w:t>财政拨款收、支总计各减少138.55万元，下降8.1%</w:t>
      </w:r>
      <w:r>
        <w:rPr>
          <w:rFonts w:ascii="方正仿宋_GBK" w:hAnsi="方正仿宋_GBK" w:eastAsia="方正仿宋_GBK" w:cs="方正仿宋_GBK"/>
          <w:color w:val="181818" w:themeColor="background1" w:themeShade="19"/>
          <w:sz w:val="32"/>
          <w:szCs w:val="32"/>
          <w:highlight w:val="none"/>
          <w:shd w:val="clear" w:color="auto" w:fill="FFFFFF"/>
        </w:rPr>
        <w:t>。主要原因是上年</w:t>
      </w:r>
      <w:r>
        <w:rPr>
          <w:rFonts w:hint="default" w:ascii="Times New Roman" w:hAnsi="Times New Roman" w:eastAsia="方正仿宋_GBK"/>
          <w:color w:val="181818" w:themeColor="background1" w:themeShade="19"/>
          <w:kern w:val="2"/>
          <w:sz w:val="32"/>
          <w:szCs w:val="32"/>
          <w:highlight w:val="none"/>
        </w:rPr>
        <w:t>年初财政拨款结转和结余154.95万元。</w:t>
      </w:r>
    </w:p>
    <w:p w14:paraId="356F0249">
      <w:pPr>
        <w:pStyle w:val="14"/>
        <w:keepNext w:val="0"/>
        <w:keepLines w:val="0"/>
        <w:pageBreakBefore w:val="0"/>
        <w:kinsoku/>
        <w:wordWrap/>
        <w:overflowPunct/>
        <w:topLinePunct w:val="0"/>
        <w:autoSpaceDE w:val="0"/>
        <w:autoSpaceDN/>
        <w:bidi w:val="0"/>
        <w:adjustRightInd/>
        <w:spacing w:line="594" w:lineRule="exact"/>
        <w:ind w:firstLine="643" w:firstLineChars="200"/>
        <w:textAlignment w:val="auto"/>
        <w:rPr>
          <w:rFonts w:hint="eastAsia" w:ascii="方正楷体_GBK" w:hAnsi="方正楷体_GBK" w:eastAsia="方正楷体_GBK" w:cs="方正楷体_GBK"/>
          <w:b/>
          <w:bCs/>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（三）一般公共预算财政拨款收入支出决算情况说明</w:t>
      </w:r>
    </w:p>
    <w:p w14:paraId="03481D9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b/>
          <w:bCs/>
          <w:color w:val="181818" w:themeColor="background1" w:themeShade="19"/>
          <w:sz w:val="32"/>
          <w:szCs w:val="32"/>
          <w:highlight w:val="none"/>
          <w:shd w:val="clear" w:color="auto" w:fill="FFFFFF"/>
        </w:rPr>
        <w:t>1.收入情况。</w:t>
      </w:r>
      <w:r>
        <w:rPr>
          <w:rFonts w:hint="default" w:ascii="Times New Roman" w:hAnsi="Times New Roman" w:eastAsia="方正仿宋_GBK"/>
          <w:color w:val="181818" w:themeColor="background1" w:themeShade="19"/>
          <w:sz w:val="32"/>
          <w:szCs w:val="32"/>
          <w:highlight w:val="none"/>
          <w:shd w:val="clear" w:color="auto" w:fill="FFFFFF"/>
        </w:rPr>
        <w:t>2024年度一般公共预算财政拨款收入1581.08万元，与2023年度相比，增加16.40万元，增长1.1%。主要原因是财政项目拨款增加41.10万元。较年初预算数增加186.17万元，增长13.4%。主要原因是上年年初财政拨款结转和结余154.95万元。此外，年初财政拨款结转和结余0.00万元。</w:t>
      </w:r>
    </w:p>
    <w:p w14:paraId="1D9D5A0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b/>
          <w:bCs/>
          <w:color w:val="181818" w:themeColor="background1" w:themeShade="19"/>
          <w:sz w:val="32"/>
          <w:szCs w:val="32"/>
          <w:highlight w:val="none"/>
          <w:shd w:val="clear" w:color="auto" w:fill="FFFFFF"/>
        </w:rPr>
        <w:t>2.支出情况。</w:t>
      </w:r>
      <w:r>
        <w:rPr>
          <w:rFonts w:hint="default" w:ascii="Times New Roman" w:hAnsi="Times New Roman" w:eastAsia="方正仿宋_GBK"/>
          <w:color w:val="181818" w:themeColor="background1" w:themeShade="19"/>
          <w:sz w:val="32"/>
          <w:szCs w:val="32"/>
          <w:highlight w:val="none"/>
          <w:shd w:val="clear" w:color="auto" w:fill="FFFFFF"/>
        </w:rPr>
        <w:t>2024年度一般公共预算财政拨款支出1581.08万元，与2023年度相比，减少138.55万元，下降8.1%。主要原因是上年年初财政拨款结转和结余154.95万元。较年初预算数增加186.17万元，增长13.4%。主要原因是财政项目拨款增加41.10万元。</w:t>
      </w:r>
    </w:p>
    <w:p w14:paraId="376635D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一般公共预算财政拨款支出主要用途如下：</w:t>
      </w:r>
    </w:p>
    <w:p w14:paraId="41EDD61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（1）社会保障和就业支出250.56万元，占15.9%，较年初预算数增加49.26万元，增长24.5%，主要原因是补交2024年养老、年金基数调整40.76万元。</w:t>
      </w:r>
    </w:p>
    <w:p w14:paraId="2ED08B0D">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（2）卫生健康支出1287.28万元，占81.4%，较年初预算数增加137.95万元，增长12.0%，主要原因是公共卫生项目拨款增加41.10万元。</w:t>
      </w:r>
    </w:p>
    <w:p w14:paraId="44DA9B2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（3）住房保障支出43.24万元，占2.7%，较年初预算数减少1.04万元，下降2.4%，主要原因是上年住房保障支出含单位自有资金支付5.84万元。</w:t>
      </w:r>
    </w:p>
    <w:p w14:paraId="76FDF293">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b/>
          <w:bCs/>
          <w:color w:val="181818" w:themeColor="background1" w:themeShade="19"/>
          <w:sz w:val="32"/>
          <w:szCs w:val="32"/>
          <w:highlight w:val="none"/>
          <w:shd w:val="clear" w:color="auto" w:fill="FFFFFF"/>
        </w:rPr>
        <w:t>3.结转结余情况。</w:t>
      </w:r>
      <w:r>
        <w:rPr>
          <w:rFonts w:hint="default" w:ascii="Times New Roman" w:hAnsi="Times New Roman" w:eastAsia="方正仿宋_GBK"/>
          <w:color w:val="181818" w:themeColor="background1" w:themeShade="19"/>
          <w:sz w:val="32"/>
          <w:szCs w:val="32"/>
          <w:highlight w:val="none"/>
          <w:shd w:val="clear" w:color="auto" w:fill="FFFFFF"/>
        </w:rPr>
        <w:t>2024年度年末一般公共预算财政拨款结转和结余0.00万元，与2023年度持平。</w:t>
      </w:r>
    </w:p>
    <w:p w14:paraId="7B07B1D4">
      <w:pPr>
        <w:pStyle w:val="14"/>
        <w:keepNext w:val="0"/>
        <w:keepLines w:val="0"/>
        <w:pageBreakBefore w:val="0"/>
        <w:kinsoku/>
        <w:wordWrap/>
        <w:overflowPunct/>
        <w:topLinePunct w:val="0"/>
        <w:autoSpaceDE w:val="0"/>
        <w:autoSpaceDN/>
        <w:bidi w:val="0"/>
        <w:adjustRightInd/>
        <w:spacing w:line="594" w:lineRule="exact"/>
        <w:ind w:firstLine="643"/>
        <w:textAlignment w:val="auto"/>
        <w:rPr>
          <w:rFonts w:hint="eastAsia" w:ascii="方正楷体_GBK" w:hAnsi="方正楷体_GBK" w:eastAsia="方正楷体_GBK" w:cs="方正楷体_GBK"/>
          <w:b w:val="0"/>
          <w:bCs w:val="0"/>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（四）一般公共预算财政拨款基本支出决算情况说明</w:t>
      </w:r>
    </w:p>
    <w:p w14:paraId="43D4EB87">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2024</w:t>
      </w:r>
      <w:r>
        <w:rPr>
          <w:rFonts w:ascii="方正仿宋_GBK" w:hAnsi="方正仿宋_GBK" w:eastAsia="方正仿宋_GBK" w:cs="方正仿宋_GBK"/>
          <w:color w:val="181818" w:themeColor="background1" w:themeShade="19"/>
          <w:sz w:val="32"/>
          <w:szCs w:val="32"/>
          <w:highlight w:val="none"/>
          <w:shd w:val="clear" w:color="auto" w:fill="FFFFFF"/>
        </w:rPr>
        <w:t>年度一般公共财政拨款基本支出</w:t>
      </w:r>
      <w:r>
        <w:rPr>
          <w:rFonts w:hint="default" w:ascii="Times New Roman" w:hAnsi="Times New Roman" w:eastAsia="方正仿宋_GBK"/>
          <w:color w:val="181818" w:themeColor="background1" w:themeShade="19"/>
          <w:sz w:val="32"/>
          <w:szCs w:val="32"/>
          <w:highlight w:val="none"/>
          <w:shd w:val="clear" w:color="auto" w:fill="FFFFFF"/>
        </w:rPr>
        <w:t>846.33</w:t>
      </w:r>
      <w:r>
        <w:rPr>
          <w:rFonts w:ascii="方正仿宋_GBK" w:hAnsi="方正仿宋_GBK" w:eastAsia="方正仿宋_GBK" w:cs="方正仿宋_GBK"/>
          <w:color w:val="181818" w:themeColor="background1" w:themeShade="19"/>
          <w:sz w:val="32"/>
          <w:szCs w:val="32"/>
          <w:highlight w:val="none"/>
          <w:shd w:val="clear" w:color="auto" w:fill="FFFFFF"/>
        </w:rPr>
        <w:t>万元。其中：</w:t>
      </w:r>
    </w:p>
    <w:p w14:paraId="0B71DC05">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181818" w:themeColor="background1" w:themeShade="19"/>
          <w:sz w:val="32"/>
          <w:szCs w:val="32"/>
          <w:highlight w:val="none"/>
          <w:shd w:val="clear" w:color="auto" w:fill="FFFFFF"/>
        </w:rPr>
      </w:pPr>
      <w:r>
        <w:rPr>
          <w:rFonts w:ascii="方正仿宋_GBK" w:hAnsi="方正仿宋_GBK" w:eastAsia="方正仿宋_GBK" w:cs="方正仿宋_GBK"/>
          <w:color w:val="181818" w:themeColor="background1" w:themeShade="19"/>
          <w:sz w:val="32"/>
          <w:szCs w:val="32"/>
          <w:highlight w:val="none"/>
          <w:shd w:val="clear" w:color="auto" w:fill="FFFFFF"/>
        </w:rPr>
        <w:t>人员经费</w:t>
      </w:r>
      <w:r>
        <w:rPr>
          <w:rFonts w:hint="default" w:ascii="Times New Roman" w:hAnsi="Times New Roman" w:eastAsia="方正仿宋_GBK"/>
          <w:color w:val="181818" w:themeColor="background1" w:themeShade="19"/>
          <w:sz w:val="32"/>
          <w:szCs w:val="32"/>
          <w:highlight w:val="none"/>
          <w:shd w:val="clear" w:color="auto" w:fill="FFFFFF"/>
        </w:rPr>
        <w:t>736.40</w:t>
      </w:r>
      <w:r>
        <w:rPr>
          <w:rFonts w:ascii="方正仿宋_GBK" w:hAnsi="方正仿宋_GBK" w:eastAsia="方正仿宋_GBK" w:cs="方正仿宋_GBK"/>
          <w:color w:val="181818" w:themeColor="background1" w:themeShade="19"/>
          <w:sz w:val="32"/>
          <w:szCs w:val="32"/>
          <w:highlight w:val="none"/>
          <w:shd w:val="clear" w:color="auto" w:fill="FFFFFF"/>
        </w:rPr>
        <w:t>万元，</w:t>
      </w:r>
      <w:r>
        <w:rPr>
          <w:rFonts w:hint="default" w:ascii="Times New Roman" w:hAnsi="Times New Roman" w:eastAsia="方正仿宋_GBK"/>
          <w:color w:val="181818" w:themeColor="background1" w:themeShade="19"/>
          <w:sz w:val="32"/>
          <w:szCs w:val="32"/>
          <w:highlight w:val="none"/>
          <w:shd w:val="clear" w:color="auto" w:fill="FFFFFF"/>
        </w:rPr>
        <w:t>与2023年度相比，减少18.63万元，下降2.5%</w:t>
      </w:r>
      <w:r>
        <w:rPr>
          <w:rFonts w:ascii="方正仿宋_GBK" w:hAnsi="方正仿宋_GBK" w:eastAsia="方正仿宋_GBK" w:cs="方正仿宋_GBK"/>
          <w:color w:val="181818" w:themeColor="background1" w:themeShade="19"/>
          <w:sz w:val="32"/>
          <w:szCs w:val="32"/>
          <w:highlight w:val="none"/>
          <w:shd w:val="clear" w:color="auto" w:fill="FFFFFF"/>
        </w:rPr>
        <w:t>，主要原因是本年度较上年度人员减少3人。人员经费用途主要</w:t>
      </w:r>
      <w:r>
        <w:rPr>
          <w:rFonts w:hint="default" w:ascii="Times New Roman" w:hAnsi="Times New Roman" w:eastAsia="方正仿宋_GBK"/>
          <w:color w:val="181818" w:themeColor="background1" w:themeShade="19"/>
          <w:kern w:val="2"/>
          <w:sz w:val="32"/>
          <w:szCs w:val="32"/>
          <w:highlight w:val="none"/>
        </w:rPr>
        <w:t>包括基本工资、津贴补贴、机关事业单位基本养老保险、职业年金缴费、职工基本医疗保险缴费、住房公积金、离退休健康休养金</w:t>
      </w:r>
      <w:r>
        <w:rPr>
          <w:rFonts w:ascii="方正仿宋_GBK" w:hAnsi="方正仿宋_GBK" w:eastAsia="方正仿宋_GBK" w:cs="方正仿宋_GBK"/>
          <w:color w:val="181818" w:themeColor="background1" w:themeShade="19"/>
          <w:sz w:val="32"/>
          <w:szCs w:val="32"/>
          <w:highlight w:val="none"/>
          <w:shd w:val="clear" w:color="auto" w:fill="FFFFFF"/>
        </w:rPr>
        <w:t>。</w:t>
      </w:r>
    </w:p>
    <w:p w14:paraId="2AEF9B8C">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181818" w:themeColor="background1" w:themeShade="19"/>
          <w:sz w:val="32"/>
          <w:szCs w:val="32"/>
          <w:highlight w:val="none"/>
        </w:rPr>
      </w:pPr>
      <w:r>
        <w:rPr>
          <w:rFonts w:ascii="方正仿宋_GBK" w:hAnsi="方正仿宋_GBK" w:eastAsia="方正仿宋_GBK" w:cs="方正仿宋_GBK"/>
          <w:color w:val="181818" w:themeColor="background1" w:themeShade="19"/>
          <w:sz w:val="32"/>
          <w:szCs w:val="32"/>
          <w:highlight w:val="none"/>
          <w:shd w:val="clear" w:color="auto" w:fill="FFFFFF"/>
        </w:rPr>
        <w:t>公用经费</w:t>
      </w:r>
      <w:r>
        <w:rPr>
          <w:rFonts w:hint="default" w:ascii="Times New Roman" w:hAnsi="Times New Roman" w:eastAsia="方正仿宋_GBK"/>
          <w:color w:val="181818" w:themeColor="background1" w:themeShade="19"/>
          <w:sz w:val="32"/>
          <w:szCs w:val="32"/>
          <w:highlight w:val="none"/>
          <w:shd w:val="clear" w:color="auto" w:fill="FFFFFF"/>
        </w:rPr>
        <w:t>109.94</w:t>
      </w:r>
      <w:r>
        <w:rPr>
          <w:rFonts w:ascii="方正仿宋_GBK" w:hAnsi="方正仿宋_GBK" w:eastAsia="方正仿宋_GBK" w:cs="方正仿宋_GBK"/>
          <w:color w:val="181818" w:themeColor="background1" w:themeShade="19"/>
          <w:sz w:val="32"/>
          <w:szCs w:val="32"/>
          <w:highlight w:val="none"/>
          <w:shd w:val="clear" w:color="auto" w:fill="FFFFFF"/>
        </w:rPr>
        <w:t>万元，</w:t>
      </w:r>
      <w:r>
        <w:rPr>
          <w:rFonts w:hint="default" w:ascii="Times New Roman" w:hAnsi="Times New Roman" w:eastAsia="方正仿宋_GBK"/>
          <w:color w:val="181818" w:themeColor="background1" w:themeShade="19"/>
          <w:sz w:val="32"/>
          <w:szCs w:val="32"/>
          <w:highlight w:val="none"/>
          <w:shd w:val="clear" w:color="auto" w:fill="FFFFFF"/>
        </w:rPr>
        <w:t>与2023年度相比，减少4.82万元，下降4.2%</w:t>
      </w:r>
      <w:r>
        <w:rPr>
          <w:rFonts w:ascii="方正仿宋_GBK" w:hAnsi="方正仿宋_GBK" w:eastAsia="方正仿宋_GBK" w:cs="方正仿宋_GBK"/>
          <w:color w:val="181818" w:themeColor="background1" w:themeShade="19"/>
          <w:sz w:val="32"/>
          <w:szCs w:val="32"/>
          <w:highlight w:val="none"/>
          <w:shd w:val="clear" w:color="auto" w:fill="FFFFFF"/>
        </w:rPr>
        <w:t>，主要原因是本年度公用经费调标。公用经费用途主要包括</w:t>
      </w:r>
      <w:r>
        <w:rPr>
          <w:rFonts w:hint="default" w:ascii="Times New Roman" w:hAnsi="Times New Roman" w:eastAsia="方正仿宋_GBK"/>
          <w:color w:val="181818" w:themeColor="background1" w:themeShade="19"/>
          <w:kern w:val="2"/>
          <w:sz w:val="32"/>
          <w:szCs w:val="32"/>
          <w:highlight w:val="none"/>
        </w:rPr>
        <w:t>办公费、印刷费、水电费、维修费、公务用车运行维护费等。</w:t>
      </w:r>
    </w:p>
    <w:p w14:paraId="1C0C7272">
      <w:pPr>
        <w:pStyle w:val="14"/>
        <w:keepNext w:val="0"/>
        <w:keepLines w:val="0"/>
        <w:pageBreakBefore w:val="0"/>
        <w:kinsoku/>
        <w:wordWrap/>
        <w:overflowPunct/>
        <w:topLinePunct w:val="0"/>
        <w:autoSpaceDE w:val="0"/>
        <w:autoSpaceDN/>
        <w:bidi w:val="0"/>
        <w:adjustRightInd/>
        <w:spacing w:line="594" w:lineRule="exact"/>
        <w:ind w:firstLine="643"/>
        <w:textAlignment w:val="auto"/>
        <w:rPr>
          <w:rFonts w:hint="eastAsia" w:ascii="方正楷体_GBK" w:hAnsi="方正楷体_GBK" w:eastAsia="方正楷体_GBK" w:cs="方正楷体_GBK"/>
          <w:b/>
          <w:bCs/>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（五）政府性基金预算收支决算情况说明</w:t>
      </w:r>
    </w:p>
    <w:p w14:paraId="147E457D">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eastAsia" w:ascii="Times New Roman" w:hAnsi="Times New Roman" w:eastAsia="方正仿宋_GBK"/>
          <w:color w:val="181818" w:themeColor="background1" w:themeShade="19"/>
          <w:sz w:val="32"/>
          <w:szCs w:val="32"/>
          <w:highlight w:val="none"/>
          <w:shd w:val="clear" w:color="auto" w:fill="FFFFFF"/>
        </w:rPr>
        <w:t>本单位2024年度无政府性基金预算财政拨款收支。</w:t>
      </w:r>
    </w:p>
    <w:p w14:paraId="0134E715">
      <w:pPr>
        <w:pStyle w:val="14"/>
        <w:keepNext w:val="0"/>
        <w:keepLines w:val="0"/>
        <w:pageBreakBefore w:val="0"/>
        <w:kinsoku/>
        <w:wordWrap/>
        <w:overflowPunct/>
        <w:topLinePunct w:val="0"/>
        <w:autoSpaceDE w:val="0"/>
        <w:autoSpaceDN/>
        <w:bidi w:val="0"/>
        <w:adjustRightInd/>
        <w:spacing w:line="594" w:lineRule="exact"/>
        <w:ind w:firstLine="643"/>
        <w:textAlignment w:val="auto"/>
        <w:rPr>
          <w:rFonts w:hint="eastAsia" w:ascii="方正楷体_GBK" w:hAnsi="方正楷体_GBK" w:eastAsia="方正楷体_GBK" w:cs="方正楷体_GBK"/>
          <w:b w:val="0"/>
          <w:bCs w:val="0"/>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（六）国有资本经营预算财政拨款支出决算情况说明</w:t>
      </w:r>
    </w:p>
    <w:p w14:paraId="709DE3D1">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olor w:val="181818" w:themeColor="background1" w:themeShade="19"/>
          <w:sz w:val="32"/>
          <w:szCs w:val="32"/>
          <w:highlight w:val="none"/>
          <w:shd w:val="clear" w:color="auto" w:fill="FFFFFF"/>
        </w:rPr>
      </w:pPr>
      <w:r>
        <w:rPr>
          <w:rFonts w:hint="eastAsia" w:ascii="Times New Roman" w:hAnsi="Times New Roman" w:eastAsia="方正仿宋_GBK"/>
          <w:color w:val="181818" w:themeColor="background1" w:themeShade="19"/>
          <w:sz w:val="32"/>
          <w:szCs w:val="32"/>
          <w:highlight w:val="none"/>
          <w:shd w:val="clear" w:color="auto" w:fill="FFFFFF"/>
        </w:rPr>
        <w:t>本单位2024年度无国有资本经营预算财政拨款支出。</w:t>
      </w:r>
    </w:p>
    <w:p w14:paraId="008E443B">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Style w:val="13"/>
          <w:rFonts w:hint="eastAsia" w:ascii="方正黑体_GBK" w:hAnsi="方正黑体_GBK" w:eastAsia="方正黑体_GBK" w:cs="方正黑体_GBK"/>
          <w:b/>
          <w:bCs w:val="0"/>
          <w:color w:val="181818" w:themeColor="background1" w:themeShade="19"/>
          <w:sz w:val="32"/>
          <w:szCs w:val="32"/>
          <w:highlight w:val="none"/>
          <w:shd w:val="clear" w:color="auto" w:fill="FFFFFF"/>
        </w:rPr>
      </w:pPr>
      <w:r>
        <w:rPr>
          <w:rStyle w:val="13"/>
          <w:rFonts w:hint="eastAsia" w:ascii="方正黑体_GBK" w:hAnsi="方正黑体_GBK" w:eastAsia="方正黑体_GBK" w:cs="方正黑体_GBK"/>
          <w:b/>
          <w:bCs w:val="0"/>
          <w:color w:val="181818" w:themeColor="background1" w:themeShade="19"/>
          <w:sz w:val="32"/>
          <w:szCs w:val="32"/>
          <w:highlight w:val="none"/>
          <w:shd w:val="clear" w:color="auto" w:fill="FFFFFF"/>
        </w:rPr>
        <w:t>三、财政拨款“三公”经费情况说明</w:t>
      </w:r>
    </w:p>
    <w:p w14:paraId="21E2FDE3">
      <w:pPr>
        <w:pStyle w:val="14"/>
        <w:keepNext w:val="0"/>
        <w:keepLines w:val="0"/>
        <w:pageBreakBefore w:val="0"/>
        <w:kinsoku/>
        <w:wordWrap/>
        <w:overflowPunct/>
        <w:topLinePunct w:val="0"/>
        <w:autoSpaceDE w:val="0"/>
        <w:autoSpaceDN/>
        <w:bidi w:val="0"/>
        <w:adjustRightInd/>
        <w:spacing w:line="594" w:lineRule="exact"/>
        <w:ind w:firstLine="643"/>
        <w:textAlignment w:val="auto"/>
        <w:rPr>
          <w:rFonts w:hint="eastAsia" w:ascii="方正楷体_GBK" w:hAnsi="方正楷体_GBK" w:eastAsia="方正楷体_GBK" w:cs="方正楷体_GBK"/>
          <w:b w:val="0"/>
          <w:bCs w:val="0"/>
          <w:color w:val="181818" w:themeColor="background1" w:themeShade="19"/>
          <w:sz w:val="32"/>
          <w:szCs w:val="32"/>
          <w:highlight w:val="none"/>
          <w:shd w:val="clear" w:color="auto" w:fill="FFFFFF"/>
        </w:rPr>
      </w:pPr>
      <w:r>
        <w:rPr>
          <w:rFonts w:hint="eastAsia" w:ascii="方正楷体_GBK" w:hAnsi="方正楷体_GBK" w:eastAsia="方正楷体_GBK" w:cs="方正楷体_GBK"/>
          <w:b/>
          <w:bCs w:val="0"/>
          <w:color w:val="181818" w:themeColor="background1" w:themeShade="19"/>
          <w:sz w:val="32"/>
          <w:szCs w:val="32"/>
          <w:highlight w:val="none"/>
          <w:shd w:val="clear" w:color="auto" w:fill="FFFFFF"/>
        </w:rPr>
        <w:t>（一）“三公”经费支出总体情况说明</w:t>
      </w:r>
    </w:p>
    <w:p w14:paraId="5A80ECAD">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181818" w:themeColor="background1" w:themeShade="19"/>
          <w:sz w:val="32"/>
          <w:szCs w:val="32"/>
          <w:highlight w:val="none"/>
        </w:rPr>
      </w:pPr>
      <w:r>
        <w:rPr>
          <w:rFonts w:hint="default" w:ascii="Times New Roman" w:hAnsi="Times New Roman" w:eastAsia="方正仿宋_GBK"/>
          <w:color w:val="181818" w:themeColor="background1" w:themeShade="19"/>
          <w:sz w:val="32"/>
          <w:szCs w:val="32"/>
          <w:highlight w:val="none"/>
          <w:shd w:val="clear" w:color="auto" w:fill="FFFFFF"/>
        </w:rPr>
        <w:t>2024</w:t>
      </w:r>
      <w:r>
        <w:rPr>
          <w:rFonts w:ascii="方正仿宋_GBK" w:hAnsi="方正仿宋_GBK" w:eastAsia="方正仿宋_GBK" w:cs="方正仿宋_GBK"/>
          <w:color w:val="181818" w:themeColor="background1" w:themeShade="19"/>
          <w:sz w:val="32"/>
          <w:szCs w:val="32"/>
          <w:highlight w:val="none"/>
          <w:shd w:val="clear" w:color="auto" w:fill="FFFFFF"/>
        </w:rPr>
        <w:t>年度“三公”经费支出共计</w:t>
      </w:r>
      <w:r>
        <w:rPr>
          <w:rFonts w:hint="default" w:ascii="Times New Roman" w:hAnsi="Times New Roman" w:eastAsia="方正仿宋_GBK"/>
          <w:color w:val="181818" w:themeColor="background1" w:themeShade="19"/>
          <w:sz w:val="32"/>
          <w:szCs w:val="32"/>
          <w:highlight w:val="none"/>
          <w:shd w:val="clear" w:color="auto" w:fill="FFFFFF"/>
        </w:rPr>
        <w:t>7.47</w:t>
      </w:r>
      <w:r>
        <w:rPr>
          <w:rFonts w:ascii="方正仿宋_GBK" w:hAnsi="方正仿宋_GBK" w:eastAsia="方正仿宋_GBK" w:cs="方正仿宋_GBK"/>
          <w:color w:val="181818" w:themeColor="background1" w:themeShade="19"/>
          <w:sz w:val="32"/>
          <w:szCs w:val="32"/>
          <w:highlight w:val="none"/>
          <w:shd w:val="clear" w:color="auto" w:fill="FFFFFF"/>
        </w:rPr>
        <w:t>万元，</w:t>
      </w:r>
      <w:r>
        <w:rPr>
          <w:rFonts w:hint="default" w:ascii="Times New Roman" w:hAnsi="Times New Roman" w:eastAsia="方正仿宋_GBK"/>
          <w:color w:val="181818" w:themeColor="background1" w:themeShade="19"/>
          <w:sz w:val="32"/>
          <w:szCs w:val="32"/>
          <w:highlight w:val="none"/>
          <w:shd w:val="clear" w:color="auto" w:fill="FFFFFF"/>
        </w:rPr>
        <w:t>较年初预算数增加1.77万元，增长31.1%</w:t>
      </w:r>
      <w:r>
        <w:rPr>
          <w:rFonts w:ascii="方正仿宋_GBK" w:hAnsi="方正仿宋_GBK" w:eastAsia="方正仿宋_GBK" w:cs="方正仿宋_GBK"/>
          <w:color w:val="181818" w:themeColor="background1" w:themeShade="19"/>
          <w:sz w:val="32"/>
          <w:szCs w:val="32"/>
          <w:highlight w:val="none"/>
          <w:shd w:val="clear" w:color="auto" w:fill="FFFFFF"/>
        </w:rPr>
        <w:t>，主要原因是差旅费增加。</w:t>
      </w:r>
      <w:r>
        <w:rPr>
          <w:rFonts w:hint="default" w:ascii="Times New Roman" w:hAnsi="Times New Roman" w:eastAsia="方正仿宋_GBK"/>
          <w:color w:val="181818" w:themeColor="background1" w:themeShade="19"/>
          <w:sz w:val="32"/>
          <w:szCs w:val="32"/>
          <w:highlight w:val="none"/>
          <w:shd w:val="clear" w:color="auto" w:fill="FFFFFF"/>
        </w:rPr>
        <w:t>较上年支出数增加2.34万元，增长45.6%</w:t>
      </w:r>
      <w:r>
        <w:rPr>
          <w:rFonts w:ascii="方正仿宋_GBK" w:hAnsi="方正仿宋_GBK" w:eastAsia="方正仿宋_GBK" w:cs="方正仿宋_GBK"/>
          <w:color w:val="181818" w:themeColor="background1" w:themeShade="19"/>
          <w:sz w:val="32"/>
          <w:szCs w:val="32"/>
          <w:highlight w:val="none"/>
          <w:shd w:val="clear" w:color="auto" w:fill="FFFFFF"/>
        </w:rPr>
        <w:t>，主要原因是人员进修增加。</w:t>
      </w:r>
    </w:p>
    <w:p w14:paraId="5E70FA00">
      <w:pPr>
        <w:pStyle w:val="14"/>
        <w:keepNext w:val="0"/>
        <w:keepLines w:val="0"/>
        <w:pageBreakBefore w:val="0"/>
        <w:kinsoku/>
        <w:wordWrap/>
        <w:overflowPunct/>
        <w:topLinePunct w:val="0"/>
        <w:autoSpaceDE w:val="0"/>
        <w:autoSpaceDN/>
        <w:bidi w:val="0"/>
        <w:adjustRightInd/>
        <w:spacing w:line="594" w:lineRule="exact"/>
        <w:ind w:firstLine="643"/>
        <w:textAlignment w:val="auto"/>
        <w:rPr>
          <w:rFonts w:hint="eastAsia" w:ascii="方正楷体_GBK" w:hAnsi="方正楷体_GBK" w:eastAsia="方正楷体_GBK" w:cs="方正楷体_GBK"/>
          <w:b/>
          <w:bCs/>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（二）“三公”经费分项支出情况</w:t>
      </w:r>
    </w:p>
    <w:p w14:paraId="32D2A52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356163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2DEC4D6D">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公务用车运行维护费2.70万元，主要用于车辆油费、维修费、路桥费、保险费。费用支出较年初预算数无增减，主要原因是严格执行预算。较上年支出数减少0.30万元，下降10.0%，主要原因是2024年调标。</w:t>
      </w:r>
    </w:p>
    <w:p w14:paraId="4F570EA7">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olor w:val="181818" w:themeColor="background1" w:themeShade="19"/>
          <w:sz w:val="32"/>
          <w:szCs w:val="32"/>
          <w:highlight w:val="none"/>
          <w:shd w:val="clear" w:color="auto" w:fill="FFFFFF"/>
        </w:rPr>
      </w:pPr>
      <w:r>
        <w:rPr>
          <w:rFonts w:hint="default" w:ascii="Times New Roman" w:hAnsi="Times New Roman" w:eastAsia="方正仿宋_GBK"/>
          <w:color w:val="181818" w:themeColor="background1" w:themeShade="19"/>
          <w:sz w:val="32"/>
          <w:szCs w:val="32"/>
          <w:highlight w:val="none"/>
          <w:shd w:val="clear" w:color="auto" w:fill="FFFFFF"/>
        </w:rPr>
        <w:t>公务接待费4.77万元，主要用于接待山东支医专家组、市绩效考核组等公务接待。费用支出较年初预算数增</w:t>
      </w:r>
      <w:bookmarkStart w:id="0" w:name="_GoBack"/>
      <w:bookmarkEnd w:id="0"/>
      <w:r>
        <w:rPr>
          <w:rFonts w:hint="default" w:ascii="Times New Roman" w:hAnsi="Times New Roman" w:eastAsia="方正仿宋_GBK"/>
          <w:color w:val="181818" w:themeColor="background1" w:themeShade="19"/>
          <w:sz w:val="32"/>
          <w:szCs w:val="32"/>
          <w:highlight w:val="none"/>
          <w:shd w:val="clear" w:color="auto" w:fill="FFFFFF"/>
        </w:rPr>
        <w:t>加1.77万元，增长59.0%，主要原因是接待专家组。较上年支出数增加2.64万元，增长123.9%，主要原因是公共卫生公务接待增加。</w:t>
      </w:r>
    </w:p>
    <w:p w14:paraId="2CD29572">
      <w:pPr>
        <w:pStyle w:val="14"/>
        <w:keepNext w:val="0"/>
        <w:keepLines w:val="0"/>
        <w:pageBreakBefore w:val="0"/>
        <w:kinsoku/>
        <w:wordWrap/>
        <w:overflowPunct/>
        <w:topLinePunct w:val="0"/>
        <w:autoSpaceDE w:val="0"/>
        <w:autoSpaceDN/>
        <w:bidi w:val="0"/>
        <w:adjustRightInd/>
        <w:spacing w:line="594" w:lineRule="exact"/>
        <w:ind w:firstLine="643"/>
        <w:textAlignment w:val="auto"/>
        <w:rPr>
          <w:rFonts w:hint="eastAsia" w:ascii="方正楷体_GBK" w:hAnsi="方正楷体_GBK" w:eastAsia="方正楷体_GBK" w:cs="方正楷体_GBK"/>
          <w:b w:val="0"/>
          <w:bCs w:val="0"/>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（三）“三公”经费实物量情况</w:t>
      </w:r>
    </w:p>
    <w:p w14:paraId="58A76C03">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181818" w:themeColor="background1" w:themeShade="19"/>
          <w:sz w:val="32"/>
          <w:szCs w:val="32"/>
          <w:highlight w:val="none"/>
        </w:rPr>
      </w:pPr>
      <w:r>
        <w:rPr>
          <w:rFonts w:hint="default" w:ascii="Times New Roman" w:hAnsi="Times New Roman" w:eastAsia="方正仿宋_GBK"/>
          <w:color w:val="181818" w:themeColor="background1" w:themeShade="19"/>
          <w:sz w:val="32"/>
          <w:szCs w:val="32"/>
          <w:highlight w:val="none"/>
          <w:shd w:val="clear" w:color="auto" w:fill="FFFFFF"/>
        </w:rPr>
        <w:t>2024</w:t>
      </w:r>
      <w:r>
        <w:rPr>
          <w:rFonts w:ascii="方正仿宋_GBK" w:hAnsi="方正仿宋_GBK" w:eastAsia="方正仿宋_GBK" w:cs="方正仿宋_GBK"/>
          <w:color w:val="181818" w:themeColor="background1" w:themeShade="19"/>
          <w:sz w:val="32"/>
          <w:szCs w:val="32"/>
          <w:highlight w:val="none"/>
          <w:shd w:val="clear" w:color="auto" w:fill="FFFFFF"/>
        </w:rPr>
        <w:t>年度本单位因公出国（境）共计</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个团组，</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人；公务用车购置</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辆，公务车保有量为</w:t>
      </w:r>
      <w:r>
        <w:rPr>
          <w:rFonts w:hint="default" w:ascii="Times New Roman" w:hAnsi="Times New Roman" w:eastAsia="方正仿宋_GBK"/>
          <w:color w:val="181818" w:themeColor="background1" w:themeShade="19"/>
          <w:sz w:val="32"/>
          <w:szCs w:val="32"/>
          <w:highlight w:val="none"/>
          <w:shd w:val="clear" w:color="auto" w:fill="FFFFFF"/>
        </w:rPr>
        <w:t>4</w:t>
      </w:r>
      <w:r>
        <w:rPr>
          <w:rFonts w:ascii="方正仿宋_GBK" w:hAnsi="方正仿宋_GBK" w:eastAsia="方正仿宋_GBK" w:cs="方正仿宋_GBK"/>
          <w:color w:val="181818" w:themeColor="background1" w:themeShade="19"/>
          <w:sz w:val="32"/>
          <w:szCs w:val="32"/>
          <w:highlight w:val="none"/>
          <w:shd w:val="clear" w:color="auto" w:fill="FFFFFF"/>
        </w:rPr>
        <w:t>辆；国内公务接待</w:t>
      </w:r>
      <w:r>
        <w:rPr>
          <w:rFonts w:hint="default" w:ascii="Times New Roman" w:hAnsi="Times New Roman" w:eastAsia="方正仿宋_GBK"/>
          <w:color w:val="181818" w:themeColor="background1" w:themeShade="19"/>
          <w:sz w:val="32"/>
          <w:szCs w:val="32"/>
          <w:highlight w:val="none"/>
          <w:shd w:val="clear" w:color="auto" w:fill="FFFFFF"/>
        </w:rPr>
        <w:t>20</w:t>
      </w:r>
      <w:r>
        <w:rPr>
          <w:rFonts w:ascii="方正仿宋_GBK" w:hAnsi="方正仿宋_GBK" w:eastAsia="方正仿宋_GBK" w:cs="方正仿宋_GBK"/>
          <w:color w:val="181818" w:themeColor="background1" w:themeShade="19"/>
          <w:sz w:val="32"/>
          <w:szCs w:val="32"/>
          <w:highlight w:val="none"/>
          <w:shd w:val="clear" w:color="auto" w:fill="FFFFFF"/>
        </w:rPr>
        <w:t>批次</w:t>
      </w:r>
      <w:r>
        <w:rPr>
          <w:rFonts w:hint="default" w:ascii="Times New Roman" w:hAnsi="Times New Roman" w:eastAsia="方正仿宋_GBK"/>
          <w:color w:val="181818" w:themeColor="background1" w:themeShade="19"/>
          <w:sz w:val="32"/>
          <w:szCs w:val="32"/>
          <w:highlight w:val="none"/>
          <w:shd w:val="clear" w:color="auto" w:fill="FFFFFF"/>
        </w:rPr>
        <w:t>1123</w:t>
      </w:r>
      <w:r>
        <w:rPr>
          <w:rFonts w:ascii="方正仿宋_GBK" w:hAnsi="方正仿宋_GBK" w:eastAsia="方正仿宋_GBK" w:cs="方正仿宋_GBK"/>
          <w:color w:val="181818" w:themeColor="background1" w:themeShade="19"/>
          <w:sz w:val="32"/>
          <w:szCs w:val="32"/>
          <w:highlight w:val="none"/>
          <w:shd w:val="clear" w:color="auto" w:fill="FFFFFF"/>
        </w:rPr>
        <w:t>人，其中：国内外事接待</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批次，</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人；国（境）外公务接待</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批次，</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人。</w:t>
      </w:r>
      <w:r>
        <w:rPr>
          <w:rFonts w:hint="default" w:ascii="Times New Roman" w:hAnsi="Times New Roman" w:eastAsia="方正仿宋_GBK"/>
          <w:color w:val="181818" w:themeColor="background1" w:themeShade="19"/>
          <w:sz w:val="32"/>
          <w:szCs w:val="32"/>
          <w:highlight w:val="none"/>
          <w:shd w:val="clear" w:color="auto" w:fill="FFFFFF"/>
        </w:rPr>
        <w:t>2024</w:t>
      </w:r>
      <w:r>
        <w:rPr>
          <w:rFonts w:ascii="方正仿宋_GBK" w:hAnsi="方正仿宋_GBK" w:eastAsia="方正仿宋_GBK" w:cs="方正仿宋_GBK"/>
          <w:color w:val="181818" w:themeColor="background1" w:themeShade="19"/>
          <w:sz w:val="32"/>
          <w:szCs w:val="32"/>
          <w:highlight w:val="none"/>
          <w:shd w:val="clear" w:color="auto" w:fill="FFFFFF"/>
        </w:rPr>
        <w:t>年本单位人均接待费</w:t>
      </w:r>
      <w:r>
        <w:rPr>
          <w:rFonts w:hint="default" w:ascii="Times New Roman" w:hAnsi="Times New Roman" w:eastAsia="方正仿宋_GBK"/>
          <w:color w:val="181818" w:themeColor="background1" w:themeShade="19"/>
          <w:sz w:val="32"/>
          <w:szCs w:val="32"/>
          <w:highlight w:val="none"/>
          <w:shd w:val="clear" w:color="auto" w:fill="FFFFFF"/>
        </w:rPr>
        <w:t>42.44</w:t>
      </w:r>
      <w:r>
        <w:rPr>
          <w:rFonts w:ascii="方正仿宋_GBK" w:hAnsi="方正仿宋_GBK" w:eastAsia="方正仿宋_GBK" w:cs="方正仿宋_GBK"/>
          <w:color w:val="181818" w:themeColor="background1" w:themeShade="19"/>
          <w:sz w:val="32"/>
          <w:szCs w:val="32"/>
          <w:highlight w:val="none"/>
          <w:shd w:val="clear" w:color="auto" w:fill="FFFFFF"/>
        </w:rPr>
        <w:t>元，车均购置费</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万元，车均维护费</w:t>
      </w:r>
      <w:r>
        <w:rPr>
          <w:rFonts w:hint="default" w:ascii="Times New Roman" w:hAnsi="Times New Roman" w:eastAsia="方正仿宋_GBK"/>
          <w:color w:val="181818" w:themeColor="background1" w:themeShade="19"/>
          <w:sz w:val="32"/>
          <w:szCs w:val="32"/>
          <w:highlight w:val="none"/>
          <w:shd w:val="clear" w:color="auto" w:fill="FFFFFF"/>
        </w:rPr>
        <w:t>0.68</w:t>
      </w:r>
      <w:r>
        <w:rPr>
          <w:rFonts w:ascii="方正仿宋_GBK" w:hAnsi="方正仿宋_GBK" w:eastAsia="方正仿宋_GBK" w:cs="方正仿宋_GBK"/>
          <w:color w:val="181818" w:themeColor="background1" w:themeShade="19"/>
          <w:sz w:val="32"/>
          <w:szCs w:val="32"/>
          <w:highlight w:val="none"/>
          <w:shd w:val="clear" w:color="auto" w:fill="FFFFFF"/>
        </w:rPr>
        <w:t>万元。</w:t>
      </w:r>
    </w:p>
    <w:p w14:paraId="11E5CB27">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Style w:val="13"/>
          <w:rFonts w:hint="eastAsia" w:ascii="方正黑体_GBK" w:hAnsi="方正黑体_GBK" w:eastAsia="方正黑体_GBK" w:cs="方正黑体_GBK"/>
          <w:b/>
          <w:bCs w:val="0"/>
          <w:color w:val="181818" w:themeColor="background1" w:themeShade="19"/>
          <w:sz w:val="32"/>
          <w:szCs w:val="32"/>
          <w:highlight w:val="none"/>
          <w:shd w:val="clear" w:color="auto" w:fill="FFFFFF"/>
        </w:rPr>
      </w:pPr>
      <w:r>
        <w:rPr>
          <w:rStyle w:val="13"/>
          <w:rFonts w:hint="eastAsia" w:ascii="方正黑体_GBK" w:hAnsi="方正黑体_GBK" w:eastAsia="方正黑体_GBK" w:cs="方正黑体_GBK"/>
          <w:b/>
          <w:bCs w:val="0"/>
          <w:color w:val="181818" w:themeColor="background1" w:themeShade="19"/>
          <w:sz w:val="32"/>
          <w:szCs w:val="32"/>
          <w:highlight w:val="none"/>
          <w:shd w:val="clear" w:color="auto" w:fill="FFFFFF"/>
        </w:rPr>
        <w:t>四、其他需要说明的事项</w:t>
      </w:r>
    </w:p>
    <w:p w14:paraId="1B818AC1">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eastAsia" w:ascii="方正楷体_GBK" w:hAnsi="方正楷体_GBK" w:eastAsia="方正楷体_GBK" w:cs="方正楷体_GBK"/>
          <w:b/>
          <w:bCs w:val="0"/>
          <w:color w:val="181818" w:themeColor="background1" w:themeShade="19"/>
          <w:sz w:val="32"/>
          <w:szCs w:val="32"/>
          <w:highlight w:val="none"/>
          <w:shd w:val="clear" w:color="auto" w:fill="FFFFFF"/>
        </w:rPr>
      </w:pPr>
      <w:r>
        <w:rPr>
          <w:rFonts w:hint="eastAsia" w:ascii="方正楷体_GBK" w:hAnsi="方正楷体_GBK" w:eastAsia="方正楷体_GBK" w:cs="方正楷体_GBK"/>
          <w:b/>
          <w:bCs w:val="0"/>
          <w:color w:val="181818" w:themeColor="background1" w:themeShade="19"/>
          <w:sz w:val="32"/>
          <w:szCs w:val="32"/>
          <w:highlight w:val="none"/>
          <w:shd w:val="clear" w:color="auto" w:fill="FFFFFF"/>
        </w:rPr>
        <w:t>（一）财政拨款会议费、培训费和差旅费情况说明</w:t>
      </w:r>
    </w:p>
    <w:p w14:paraId="7ACCDCCD">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181818" w:themeColor="background1" w:themeShade="19"/>
          <w:sz w:val="32"/>
          <w:szCs w:val="32"/>
          <w:highlight w:val="none"/>
        </w:rPr>
      </w:pPr>
      <w:r>
        <w:rPr>
          <w:rFonts w:ascii="方正仿宋_GBK" w:hAnsi="方正仿宋_GBK" w:eastAsia="方正仿宋_GBK" w:cs="方正仿宋_GBK"/>
          <w:color w:val="181818" w:themeColor="background1" w:themeShade="19"/>
          <w:sz w:val="32"/>
          <w:szCs w:val="32"/>
          <w:highlight w:val="none"/>
          <w:shd w:val="clear" w:color="auto" w:fill="FFFFFF"/>
        </w:rPr>
        <w:t>本年度会议费支出</w:t>
      </w:r>
      <w:r>
        <w:rPr>
          <w:rFonts w:hint="default" w:ascii="Times New Roman" w:hAnsi="Times New Roman" w:eastAsia="方正仿宋_GBK"/>
          <w:color w:val="181818" w:themeColor="background1" w:themeShade="19"/>
          <w:sz w:val="32"/>
          <w:szCs w:val="32"/>
          <w:highlight w:val="none"/>
          <w:shd w:val="clear" w:color="auto" w:fill="FFFFFF"/>
        </w:rPr>
        <w:t>0.14</w:t>
      </w:r>
      <w:r>
        <w:rPr>
          <w:rFonts w:ascii="方正仿宋_GBK" w:hAnsi="方正仿宋_GBK" w:eastAsia="方正仿宋_GBK" w:cs="方正仿宋_GBK"/>
          <w:color w:val="181818" w:themeColor="background1" w:themeShade="19"/>
          <w:sz w:val="32"/>
          <w:szCs w:val="32"/>
          <w:highlight w:val="none"/>
          <w:shd w:val="clear" w:color="auto" w:fill="FFFFFF"/>
        </w:rPr>
        <w:t>万元，</w:t>
      </w:r>
      <w:r>
        <w:rPr>
          <w:rFonts w:hint="default" w:ascii="Times New Roman" w:hAnsi="Times New Roman" w:eastAsia="方正仿宋_GBK"/>
          <w:color w:val="181818" w:themeColor="background1" w:themeShade="19"/>
          <w:sz w:val="32"/>
          <w:szCs w:val="32"/>
          <w:highlight w:val="none"/>
          <w:shd w:val="clear" w:color="auto" w:fill="FFFFFF"/>
        </w:rPr>
        <w:t>与2023年度相比，减少0.38万元，下降73.1%</w:t>
      </w:r>
      <w:r>
        <w:rPr>
          <w:rFonts w:ascii="方正仿宋_GBK" w:hAnsi="方正仿宋_GBK" w:eastAsia="方正仿宋_GBK" w:cs="方正仿宋_GBK"/>
          <w:color w:val="181818" w:themeColor="background1" w:themeShade="19"/>
          <w:sz w:val="32"/>
          <w:szCs w:val="32"/>
          <w:highlight w:val="none"/>
          <w:shd w:val="clear" w:color="auto" w:fill="FFFFFF"/>
        </w:rPr>
        <w:t>，主要原因是本年参加会议减少。本年度培训费支出</w:t>
      </w:r>
      <w:r>
        <w:rPr>
          <w:rFonts w:hint="default" w:ascii="Times New Roman" w:hAnsi="Times New Roman" w:eastAsia="方正仿宋_GBK"/>
          <w:color w:val="181818" w:themeColor="background1" w:themeShade="19"/>
          <w:sz w:val="32"/>
          <w:szCs w:val="32"/>
          <w:highlight w:val="none"/>
          <w:shd w:val="clear" w:color="auto" w:fill="FFFFFF"/>
        </w:rPr>
        <w:t>3.26</w:t>
      </w:r>
      <w:r>
        <w:rPr>
          <w:rFonts w:ascii="方正仿宋_GBK" w:hAnsi="方正仿宋_GBK" w:eastAsia="方正仿宋_GBK" w:cs="方正仿宋_GBK"/>
          <w:color w:val="181818" w:themeColor="background1" w:themeShade="19"/>
          <w:sz w:val="32"/>
          <w:szCs w:val="32"/>
          <w:highlight w:val="none"/>
          <w:shd w:val="clear" w:color="auto" w:fill="FFFFFF"/>
        </w:rPr>
        <w:t>万元，</w:t>
      </w:r>
      <w:r>
        <w:rPr>
          <w:rFonts w:hint="default" w:ascii="Times New Roman" w:hAnsi="Times New Roman" w:eastAsia="方正仿宋_GBK"/>
          <w:color w:val="181818" w:themeColor="background1" w:themeShade="19"/>
          <w:sz w:val="32"/>
          <w:szCs w:val="32"/>
          <w:highlight w:val="none"/>
          <w:shd w:val="clear" w:color="auto" w:fill="FFFFFF"/>
        </w:rPr>
        <w:t>与2023年度相比，增加0.45万元，增长16.0%</w:t>
      </w:r>
      <w:r>
        <w:rPr>
          <w:rFonts w:ascii="方正仿宋_GBK" w:hAnsi="方正仿宋_GBK" w:eastAsia="方正仿宋_GBK" w:cs="方正仿宋_GBK"/>
          <w:color w:val="181818" w:themeColor="background1" w:themeShade="19"/>
          <w:sz w:val="32"/>
          <w:szCs w:val="32"/>
          <w:highlight w:val="none"/>
          <w:shd w:val="clear" w:color="auto" w:fill="FFFFFF"/>
        </w:rPr>
        <w:t>，主要原因是加强人员培训。本年度差旅费支出</w:t>
      </w:r>
      <w:r>
        <w:rPr>
          <w:rFonts w:hint="default" w:ascii="Times New Roman" w:hAnsi="Times New Roman" w:eastAsia="方正仿宋_GBK"/>
          <w:color w:val="181818" w:themeColor="background1" w:themeShade="19"/>
          <w:sz w:val="32"/>
          <w:szCs w:val="32"/>
          <w:highlight w:val="none"/>
          <w:shd w:val="clear" w:color="auto" w:fill="FFFFFF"/>
        </w:rPr>
        <w:t>22.40</w:t>
      </w:r>
      <w:r>
        <w:rPr>
          <w:rFonts w:ascii="方正仿宋_GBK" w:hAnsi="方正仿宋_GBK" w:eastAsia="方正仿宋_GBK" w:cs="方正仿宋_GBK"/>
          <w:color w:val="181818" w:themeColor="background1" w:themeShade="19"/>
          <w:sz w:val="32"/>
          <w:szCs w:val="32"/>
          <w:highlight w:val="none"/>
        </w:rPr>
        <w:t>万元，</w:t>
      </w:r>
      <w:r>
        <w:rPr>
          <w:rFonts w:hint="default" w:ascii="Times New Roman" w:hAnsi="Times New Roman" w:eastAsia="方正仿宋_GBK"/>
          <w:color w:val="181818" w:themeColor="background1" w:themeShade="19"/>
          <w:sz w:val="32"/>
          <w:szCs w:val="32"/>
          <w:highlight w:val="none"/>
          <w:shd w:val="clear" w:color="auto" w:fill="FFFFFF"/>
        </w:rPr>
        <w:t>与2023年度相比，减少0.50万元，下降2.2%</w:t>
      </w:r>
      <w:r>
        <w:rPr>
          <w:rFonts w:ascii="方正仿宋_GBK" w:hAnsi="方正仿宋_GBK" w:eastAsia="方正仿宋_GBK" w:cs="方正仿宋_GBK"/>
          <w:color w:val="181818" w:themeColor="background1" w:themeShade="19"/>
          <w:sz w:val="32"/>
          <w:szCs w:val="32"/>
          <w:highlight w:val="none"/>
          <w:shd w:val="clear" w:color="auto" w:fill="FFFFFF"/>
        </w:rPr>
        <w:t>，主要原因是严格出差审批，减少非必要出差人次。</w:t>
      </w:r>
    </w:p>
    <w:p w14:paraId="1B8975AF">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eastAsia" w:ascii="方正楷体_GBK" w:hAnsi="方正楷体_GBK" w:eastAsia="方正楷体_GBK" w:cs="方正楷体_GBK"/>
          <w:b/>
          <w:bCs/>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（二）机关运行经费情况说明</w:t>
      </w:r>
    </w:p>
    <w:p w14:paraId="6523AF83">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181818" w:themeColor="background1" w:themeShade="19"/>
          <w:sz w:val="32"/>
          <w:szCs w:val="32"/>
          <w:highlight w:val="none"/>
        </w:rPr>
      </w:pPr>
      <w:r>
        <w:rPr>
          <w:rFonts w:ascii="Times New Roman" w:hAnsi="Times New Roman" w:eastAsia="方正仿宋_GBK"/>
          <w:color w:val="181818" w:themeColor="background1" w:themeShade="19"/>
          <w:sz w:val="32"/>
          <w:szCs w:val="32"/>
          <w:highlight w:val="none"/>
          <w:shd w:val="clear" w:color="auto" w:fill="FFFFFF"/>
        </w:rPr>
        <w:t>按照</w:t>
      </w:r>
      <w:r>
        <w:rPr>
          <w:rFonts w:hint="eastAsia" w:ascii="Times New Roman" w:hAnsi="Times New Roman" w:eastAsia="方正仿宋_GBK"/>
          <w:color w:val="181818" w:themeColor="background1" w:themeShade="19"/>
          <w:sz w:val="32"/>
          <w:szCs w:val="32"/>
          <w:highlight w:val="none"/>
          <w:shd w:val="clear" w:color="auto" w:fill="FFFFFF"/>
          <w:lang w:val="en-US" w:eastAsia="zh-CN"/>
        </w:rPr>
        <w:t>单位</w:t>
      </w:r>
      <w:r>
        <w:rPr>
          <w:rFonts w:ascii="Times New Roman" w:hAnsi="Times New Roman" w:eastAsia="方正仿宋_GBK"/>
          <w:color w:val="181818" w:themeColor="background1" w:themeShade="19"/>
          <w:sz w:val="32"/>
          <w:szCs w:val="32"/>
          <w:highlight w:val="none"/>
          <w:shd w:val="clear" w:color="auto" w:fill="FFFFFF"/>
        </w:rPr>
        <w:t>决算列报口径，我单位不在机关运行费统计范围之内。</w:t>
      </w:r>
    </w:p>
    <w:p w14:paraId="7B4C2116">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eastAsia" w:ascii="方正楷体_GBK" w:hAnsi="方正楷体_GBK" w:eastAsia="方正楷体_GBK" w:cs="方正楷体_GBK"/>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（三）国有资产占用情况说明</w:t>
      </w:r>
    </w:p>
    <w:p w14:paraId="45CBF242">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181818" w:themeColor="background1" w:themeShade="19"/>
          <w:sz w:val="32"/>
          <w:szCs w:val="32"/>
          <w:highlight w:val="none"/>
        </w:rPr>
      </w:pPr>
      <w:r>
        <w:rPr>
          <w:rFonts w:ascii="方正仿宋_GBK" w:hAnsi="方正仿宋_GBK" w:eastAsia="方正仿宋_GBK" w:cs="方正仿宋_GBK"/>
          <w:color w:val="181818" w:themeColor="background1" w:themeShade="19"/>
          <w:sz w:val="32"/>
          <w:szCs w:val="32"/>
          <w:highlight w:val="none"/>
          <w:shd w:val="clear" w:color="auto" w:fill="FFFFFF"/>
        </w:rPr>
        <w:t>截至</w:t>
      </w:r>
      <w:r>
        <w:rPr>
          <w:rFonts w:hint="default" w:ascii="Times New Roman" w:hAnsi="Times New Roman" w:eastAsia="方正仿宋_GBK"/>
          <w:color w:val="181818" w:themeColor="background1" w:themeShade="19"/>
          <w:sz w:val="32"/>
          <w:szCs w:val="32"/>
          <w:highlight w:val="none"/>
          <w:shd w:val="clear" w:color="auto" w:fill="FFFFFF"/>
        </w:rPr>
        <w:t>2024</w:t>
      </w:r>
      <w:r>
        <w:rPr>
          <w:rFonts w:ascii="方正仿宋_GBK" w:hAnsi="方正仿宋_GBK" w:eastAsia="方正仿宋_GBK" w:cs="方正仿宋_GBK"/>
          <w:color w:val="181818" w:themeColor="background1" w:themeShade="19"/>
          <w:sz w:val="32"/>
          <w:szCs w:val="32"/>
          <w:highlight w:val="none"/>
          <w:shd w:val="clear" w:color="auto" w:fill="FFFFFF"/>
        </w:rPr>
        <w:t>年</w:t>
      </w:r>
      <w:r>
        <w:rPr>
          <w:rFonts w:hint="default" w:ascii="Times New Roman" w:hAnsi="Times New Roman" w:eastAsia="方正仿宋_GBK"/>
          <w:color w:val="181818" w:themeColor="background1" w:themeShade="19"/>
          <w:sz w:val="32"/>
          <w:szCs w:val="32"/>
          <w:highlight w:val="none"/>
          <w:shd w:val="clear" w:color="auto" w:fill="FFFFFF"/>
        </w:rPr>
        <w:t>12</w:t>
      </w:r>
      <w:r>
        <w:rPr>
          <w:rFonts w:ascii="方正仿宋_GBK" w:hAnsi="方正仿宋_GBK" w:eastAsia="方正仿宋_GBK" w:cs="方正仿宋_GBK"/>
          <w:color w:val="181818" w:themeColor="background1" w:themeShade="19"/>
          <w:sz w:val="32"/>
          <w:szCs w:val="32"/>
          <w:highlight w:val="none"/>
          <w:shd w:val="clear" w:color="auto" w:fill="FFFFFF"/>
        </w:rPr>
        <w:t>月</w:t>
      </w:r>
      <w:r>
        <w:rPr>
          <w:rFonts w:hint="default" w:ascii="Times New Roman" w:hAnsi="Times New Roman" w:eastAsia="方正仿宋_GBK"/>
          <w:color w:val="181818" w:themeColor="background1" w:themeShade="19"/>
          <w:sz w:val="32"/>
          <w:szCs w:val="32"/>
          <w:highlight w:val="none"/>
          <w:shd w:val="clear" w:color="auto" w:fill="FFFFFF"/>
        </w:rPr>
        <w:t>31</w:t>
      </w:r>
      <w:r>
        <w:rPr>
          <w:rFonts w:ascii="方正仿宋_GBK" w:hAnsi="方正仿宋_GBK" w:eastAsia="方正仿宋_GBK" w:cs="方正仿宋_GBK"/>
          <w:color w:val="181818" w:themeColor="background1" w:themeShade="19"/>
          <w:sz w:val="32"/>
          <w:szCs w:val="32"/>
          <w:highlight w:val="none"/>
          <w:shd w:val="clear" w:color="auto" w:fill="FFFFFF"/>
        </w:rPr>
        <w:t>日，本单位共有车辆</w:t>
      </w:r>
      <w:r>
        <w:rPr>
          <w:rFonts w:hint="default" w:ascii="Times New Roman" w:hAnsi="Times New Roman" w:eastAsia="方正仿宋_GBK"/>
          <w:color w:val="181818" w:themeColor="background1" w:themeShade="19"/>
          <w:sz w:val="32"/>
          <w:szCs w:val="32"/>
          <w:highlight w:val="none"/>
          <w:shd w:val="clear" w:color="auto" w:fill="FFFFFF"/>
        </w:rPr>
        <w:t>4</w:t>
      </w:r>
      <w:r>
        <w:rPr>
          <w:rFonts w:ascii="方正仿宋_GBK" w:hAnsi="方正仿宋_GBK" w:eastAsia="方正仿宋_GBK" w:cs="方正仿宋_GBK"/>
          <w:color w:val="181818" w:themeColor="background1" w:themeShade="19"/>
          <w:sz w:val="32"/>
          <w:szCs w:val="32"/>
          <w:highlight w:val="none"/>
          <w:shd w:val="clear" w:color="auto" w:fill="FFFFFF"/>
        </w:rPr>
        <w:t>辆，其中，副部（省）级及以上领导用车</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辆、主要负责人用车</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辆、机要通信用车</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辆、应急保障用车</w:t>
      </w:r>
      <w:r>
        <w:rPr>
          <w:rFonts w:hint="default" w:ascii="Times New Roman" w:hAnsi="Times New Roman" w:eastAsia="方正仿宋_GBK"/>
          <w:color w:val="181818" w:themeColor="background1" w:themeShade="19"/>
          <w:sz w:val="32"/>
          <w:szCs w:val="32"/>
          <w:highlight w:val="none"/>
          <w:shd w:val="clear" w:color="auto" w:fill="FFFFFF"/>
        </w:rPr>
        <w:t>1</w:t>
      </w:r>
      <w:r>
        <w:rPr>
          <w:rFonts w:ascii="方正仿宋_GBK" w:hAnsi="方正仿宋_GBK" w:eastAsia="方正仿宋_GBK" w:cs="方正仿宋_GBK"/>
          <w:color w:val="181818" w:themeColor="background1" w:themeShade="19"/>
          <w:sz w:val="32"/>
          <w:szCs w:val="32"/>
          <w:highlight w:val="none"/>
          <w:shd w:val="clear" w:color="auto" w:fill="FFFFFF"/>
        </w:rPr>
        <w:t>辆、执法执勤用车</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辆，特种专业技术用车</w:t>
      </w:r>
      <w:r>
        <w:rPr>
          <w:rFonts w:hint="default" w:ascii="Times New Roman" w:hAnsi="Times New Roman" w:eastAsia="方正仿宋_GBK"/>
          <w:color w:val="181818" w:themeColor="background1" w:themeShade="19"/>
          <w:sz w:val="32"/>
          <w:szCs w:val="32"/>
          <w:highlight w:val="none"/>
          <w:shd w:val="clear" w:color="auto" w:fill="FFFFFF"/>
        </w:rPr>
        <w:t>3</w:t>
      </w:r>
      <w:r>
        <w:rPr>
          <w:rFonts w:ascii="方正仿宋_GBK" w:hAnsi="方正仿宋_GBK" w:eastAsia="方正仿宋_GBK" w:cs="方正仿宋_GBK"/>
          <w:color w:val="181818" w:themeColor="background1" w:themeShade="19"/>
          <w:sz w:val="32"/>
          <w:szCs w:val="32"/>
          <w:highlight w:val="none"/>
          <w:shd w:val="clear" w:color="auto" w:fill="FFFFFF"/>
        </w:rPr>
        <w:t>辆，离退休干部用车</w:t>
      </w:r>
      <w:r>
        <w:rPr>
          <w:rFonts w:hint="default" w:ascii="Times New Roman" w:hAnsi="Times New Roman" w:eastAsia="方正仿宋_GBK"/>
          <w:color w:val="181818" w:themeColor="background1" w:themeShade="19"/>
          <w:sz w:val="32"/>
          <w:szCs w:val="32"/>
          <w:highlight w:val="none"/>
          <w:shd w:val="clear" w:color="auto" w:fill="FFFFFF"/>
        </w:rPr>
        <w:t>0</w:t>
      </w:r>
      <w:r>
        <w:rPr>
          <w:rFonts w:ascii="方正仿宋_GBK" w:hAnsi="方正仿宋_GBK" w:eastAsia="方正仿宋_GBK" w:cs="方正仿宋_GBK"/>
          <w:color w:val="181818" w:themeColor="background1" w:themeShade="19"/>
          <w:sz w:val="32"/>
          <w:szCs w:val="32"/>
          <w:highlight w:val="none"/>
          <w:shd w:val="clear" w:color="auto" w:fill="FFFFFF"/>
        </w:rPr>
        <w:t>辆。单价</w:t>
      </w:r>
      <w:r>
        <w:rPr>
          <w:rFonts w:hint="default" w:ascii="Times New Roman" w:hAnsi="Times New Roman" w:eastAsia="方正仿宋_GBK"/>
          <w:color w:val="181818" w:themeColor="background1" w:themeShade="19"/>
          <w:sz w:val="32"/>
          <w:szCs w:val="32"/>
          <w:highlight w:val="none"/>
          <w:shd w:val="clear" w:color="auto" w:fill="FFFFFF"/>
        </w:rPr>
        <w:t>100</w:t>
      </w:r>
      <w:r>
        <w:rPr>
          <w:rFonts w:ascii="方正仿宋_GBK" w:hAnsi="方正仿宋_GBK" w:eastAsia="方正仿宋_GBK" w:cs="方正仿宋_GBK"/>
          <w:color w:val="181818" w:themeColor="background1" w:themeShade="19"/>
          <w:sz w:val="32"/>
          <w:szCs w:val="32"/>
          <w:highlight w:val="none"/>
          <w:shd w:val="clear" w:color="auto" w:fill="FFFFFF"/>
        </w:rPr>
        <w:t>万元（含）以上专用设备</w:t>
      </w:r>
      <w:r>
        <w:rPr>
          <w:rFonts w:hint="default" w:ascii="Times New Roman" w:hAnsi="Times New Roman" w:eastAsia="方正仿宋_GBK"/>
          <w:color w:val="181818" w:themeColor="background1" w:themeShade="19"/>
          <w:sz w:val="32"/>
          <w:szCs w:val="32"/>
          <w:highlight w:val="none"/>
          <w:shd w:val="clear" w:color="auto" w:fill="FFFFFF"/>
        </w:rPr>
        <w:t>3</w:t>
      </w:r>
      <w:r>
        <w:rPr>
          <w:rFonts w:ascii="方正仿宋_GBK" w:hAnsi="方正仿宋_GBK" w:eastAsia="方正仿宋_GBK" w:cs="方正仿宋_GBK"/>
          <w:color w:val="181818" w:themeColor="background1" w:themeShade="19"/>
          <w:sz w:val="32"/>
          <w:szCs w:val="32"/>
          <w:highlight w:val="none"/>
          <w:shd w:val="clear" w:color="auto" w:fill="FFFFFF"/>
        </w:rPr>
        <w:t>台（套）。</w:t>
      </w:r>
    </w:p>
    <w:p w14:paraId="76909301">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eastAsia" w:ascii="方正楷体_GBK" w:hAnsi="方正楷体_GBK" w:eastAsia="方正楷体_GBK" w:cs="方正楷体_GBK"/>
          <w:b/>
          <w:bCs/>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（四）政府采购支出情况说明</w:t>
      </w:r>
    </w:p>
    <w:p w14:paraId="20535909">
      <w:pPr>
        <w:pStyle w:val="9"/>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181818" w:themeColor="background1" w:themeShade="19"/>
          <w:sz w:val="32"/>
          <w:szCs w:val="32"/>
          <w:highlight w:val="none"/>
        </w:rPr>
      </w:pPr>
      <w:r>
        <w:rPr>
          <w:rFonts w:ascii="Times New Roman" w:hAnsi="Times New Roman" w:eastAsia="方正仿宋_GBK"/>
          <w:color w:val="181818" w:themeColor="background1" w:themeShade="19"/>
          <w:sz w:val="32"/>
          <w:szCs w:val="32"/>
          <w:highlight w:val="none"/>
          <w:shd w:val="clear" w:color="auto" w:fill="FFFFFF"/>
        </w:rPr>
        <w:t>2024年度我单位未发生政府采购事项，无相关经费支出。</w:t>
      </w:r>
    </w:p>
    <w:p w14:paraId="0F6F0487">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Style w:val="13"/>
          <w:rFonts w:hint="eastAsia" w:ascii="方正黑体_GBK" w:hAnsi="方正黑体_GBK" w:eastAsia="方正黑体_GBK" w:cs="方正黑体_GBK"/>
          <w:b/>
          <w:bCs w:val="0"/>
          <w:color w:val="181818" w:themeColor="background1" w:themeShade="19"/>
          <w:sz w:val="32"/>
          <w:szCs w:val="32"/>
          <w:highlight w:val="none"/>
          <w:shd w:val="clear" w:color="auto" w:fill="FFFFFF"/>
        </w:rPr>
      </w:pPr>
      <w:r>
        <w:rPr>
          <w:rStyle w:val="13"/>
          <w:rFonts w:hint="eastAsia" w:ascii="方正黑体_GBK" w:hAnsi="方正黑体_GBK" w:eastAsia="方正黑体_GBK" w:cs="方正黑体_GBK"/>
          <w:b/>
          <w:bCs w:val="0"/>
          <w:color w:val="181818" w:themeColor="background1" w:themeShade="19"/>
          <w:sz w:val="32"/>
          <w:szCs w:val="32"/>
          <w:highlight w:val="none"/>
          <w:shd w:val="clear" w:color="auto" w:fill="FFFFFF"/>
        </w:rPr>
        <w:t>五、</w:t>
      </w:r>
      <w:r>
        <w:rPr>
          <w:rStyle w:val="13"/>
          <w:rFonts w:hint="default" w:ascii="Times New Roman" w:hAnsi="Times New Roman" w:eastAsia="方正黑体_GBK" w:cs="Times New Roman"/>
          <w:b/>
          <w:bCs w:val="0"/>
          <w:color w:val="181818" w:themeColor="background1" w:themeShade="19"/>
          <w:sz w:val="32"/>
          <w:szCs w:val="32"/>
          <w:highlight w:val="none"/>
          <w:shd w:val="clear" w:color="auto" w:fill="FFFFFF"/>
        </w:rPr>
        <w:t>2024</w:t>
      </w:r>
      <w:r>
        <w:rPr>
          <w:rStyle w:val="13"/>
          <w:rFonts w:hint="eastAsia" w:ascii="方正黑体_GBK" w:hAnsi="方正黑体_GBK" w:eastAsia="方正黑体_GBK" w:cs="方正黑体_GBK"/>
          <w:b/>
          <w:bCs w:val="0"/>
          <w:color w:val="181818" w:themeColor="background1" w:themeShade="19"/>
          <w:sz w:val="32"/>
          <w:szCs w:val="32"/>
          <w:highlight w:val="none"/>
          <w:shd w:val="clear" w:color="auto" w:fill="FFFFFF"/>
        </w:rPr>
        <w:t>年度预算绩效管理情况说明</w:t>
      </w:r>
    </w:p>
    <w:p w14:paraId="22AE1C09">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eastAsia" w:ascii="方正楷体_GBK" w:hAnsi="方正楷体_GBK" w:eastAsia="方正楷体_GBK" w:cs="方正楷体_GBK"/>
          <w:color w:val="181818" w:themeColor="background1" w:themeShade="19"/>
          <w:sz w:val="32"/>
          <w:szCs w:val="32"/>
          <w:highlight w:val="none"/>
          <w:shd w:val="clear" w:color="auto" w:fill="FFFFFF"/>
        </w:rPr>
      </w:pPr>
      <w:r>
        <w:rPr>
          <w:rFonts w:hint="eastAsia" w:ascii="方正楷体_GBK" w:hAnsi="方正楷体_GBK" w:eastAsia="方正楷体_GBK" w:cs="方正楷体_GBK"/>
          <w:b/>
          <w:bCs w:val="0"/>
          <w:color w:val="181818" w:themeColor="background1" w:themeShade="19"/>
          <w:sz w:val="32"/>
          <w:szCs w:val="32"/>
          <w:highlight w:val="none"/>
          <w:shd w:val="clear" w:color="auto" w:fill="FFFFFF"/>
        </w:rPr>
        <w:t>（一）单位自评情况</w:t>
      </w:r>
    </w:p>
    <w:p w14:paraId="6603B465">
      <w:pPr>
        <w:pStyle w:val="15"/>
        <w:keepNext w:val="0"/>
        <w:keepLines w:val="0"/>
        <w:pageBreakBefore w:val="0"/>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ascii="楷体" w:hAnsi="楷体" w:eastAsia="楷体" w:cs="楷体"/>
          <w:b/>
          <w:bCs/>
          <w:color w:val="181818" w:themeColor="background1" w:themeShade="19"/>
          <w:sz w:val="32"/>
          <w:szCs w:val="32"/>
          <w:highlight w:val="none"/>
          <w:shd w:val="clear" w:color="auto" w:fill="FFFFFF"/>
        </w:rPr>
      </w:pPr>
      <w:r>
        <w:rPr>
          <w:rFonts w:hint="eastAsia" w:ascii="Times New Roman" w:hAnsi="Times New Roman" w:eastAsia="方正仿宋_GBK"/>
          <w:color w:val="181818" w:themeColor="background1" w:themeShade="19"/>
          <w:kern w:val="2"/>
          <w:sz w:val="32"/>
          <w:szCs w:val="32"/>
          <w:highlight w:val="none"/>
        </w:rPr>
        <w:t>根据预算绩效管理要求，我单位对4个二级项目开展了绩效自评，涉及财政拨款项目支出资金693.65万元。详见附件。</w:t>
      </w:r>
    </w:p>
    <w:p w14:paraId="77238E9C">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eastAsia" w:ascii="方正楷体_GBK" w:hAnsi="方正楷体_GBK" w:eastAsia="方正楷体_GBK" w:cs="方正楷体_GBK"/>
          <w:b/>
          <w:bCs/>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（二）部门绩效评价情况</w:t>
      </w:r>
    </w:p>
    <w:p w14:paraId="5019AEFE">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eastAsia" w:ascii="Times New Roman" w:hAnsi="Times New Roman" w:eastAsia="方正仿宋_GBK"/>
          <w:color w:val="181818" w:themeColor="background1" w:themeShade="19"/>
          <w:kern w:val="2"/>
          <w:sz w:val="32"/>
          <w:szCs w:val="32"/>
          <w:highlight w:val="none"/>
        </w:rPr>
      </w:pPr>
      <w:r>
        <w:rPr>
          <w:rFonts w:hint="eastAsia" w:ascii="Times New Roman" w:hAnsi="Times New Roman" w:eastAsia="方正仿宋_GBK"/>
          <w:color w:val="181818" w:themeColor="background1" w:themeShade="19"/>
          <w:kern w:val="2"/>
          <w:sz w:val="32"/>
          <w:szCs w:val="32"/>
          <w:highlight w:val="none"/>
        </w:rPr>
        <w:t>我单位未组织开展绩效评价。</w:t>
      </w:r>
    </w:p>
    <w:p w14:paraId="4FD23EB6">
      <w:pPr>
        <w:pStyle w:val="14"/>
        <w:keepNext w:val="0"/>
        <w:keepLines w:val="0"/>
        <w:pageBreakBefore w:val="0"/>
        <w:kinsoku/>
        <w:wordWrap/>
        <w:overflowPunct/>
        <w:topLinePunct w:val="0"/>
        <w:autoSpaceDE w:val="0"/>
        <w:autoSpaceDN/>
        <w:bidi w:val="0"/>
        <w:adjustRightInd/>
        <w:spacing w:line="594" w:lineRule="exact"/>
        <w:ind w:firstLine="640"/>
        <w:textAlignment w:val="auto"/>
        <w:rPr>
          <w:rFonts w:hint="eastAsia" w:ascii="方正楷体_GBK" w:hAnsi="方正楷体_GBK" w:eastAsia="方正楷体_GBK" w:cs="方正楷体_GBK"/>
          <w:color w:val="181818" w:themeColor="background1" w:themeShade="19"/>
          <w:sz w:val="32"/>
          <w:szCs w:val="32"/>
          <w:highlight w:val="none"/>
          <w:shd w:val="clear" w:color="auto" w:fill="FFFFFF"/>
        </w:rPr>
      </w:pPr>
      <w:r>
        <w:rPr>
          <w:rFonts w:hint="eastAsia" w:ascii="方正楷体_GBK" w:hAnsi="方正楷体_GBK" w:eastAsia="方正楷体_GBK" w:cs="方正楷体_GBK"/>
          <w:b/>
          <w:bCs/>
          <w:color w:val="181818" w:themeColor="background1" w:themeShade="19"/>
          <w:sz w:val="32"/>
          <w:szCs w:val="32"/>
          <w:highlight w:val="none"/>
          <w:shd w:val="clear" w:color="auto" w:fill="FFFFFF"/>
        </w:rPr>
        <w:t>（三）财政绩效评价情况</w:t>
      </w:r>
    </w:p>
    <w:p w14:paraId="6280132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Times New Roman" w:hAnsi="Times New Roman" w:eastAsia="方正仿宋_GBK"/>
          <w:color w:val="181818" w:themeColor="background1" w:themeShade="19"/>
          <w:kern w:val="2"/>
          <w:sz w:val="32"/>
          <w:szCs w:val="32"/>
          <w:highlight w:val="none"/>
        </w:rPr>
      </w:pPr>
      <w:r>
        <w:rPr>
          <w:rFonts w:ascii="Times New Roman" w:hAnsi="Times New Roman" w:eastAsia="方正仿宋_GBK"/>
          <w:color w:val="181818" w:themeColor="background1" w:themeShade="19"/>
          <w:kern w:val="2"/>
          <w:sz w:val="32"/>
          <w:szCs w:val="32"/>
          <w:highlight w:val="none"/>
        </w:rPr>
        <w:t>县财政局未委托第三方对我单位开展绩效评价。</w:t>
      </w:r>
    </w:p>
    <w:p w14:paraId="61EA01A1">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Style w:val="13"/>
          <w:rFonts w:hint="eastAsia" w:ascii="方正黑体_GBK" w:hAnsi="方正黑体_GBK" w:eastAsia="方正黑体_GBK" w:cs="方正黑体_GBK"/>
          <w:b w:val="0"/>
          <w:bCs/>
          <w:color w:val="181818" w:themeColor="background1" w:themeShade="19"/>
          <w:sz w:val="32"/>
          <w:szCs w:val="32"/>
          <w:highlight w:val="none"/>
          <w:shd w:val="clear" w:color="auto" w:fill="FFFFFF"/>
        </w:rPr>
      </w:pPr>
      <w:r>
        <w:rPr>
          <w:rStyle w:val="13"/>
          <w:rFonts w:hint="eastAsia" w:ascii="方正黑体_GBK" w:hAnsi="方正黑体_GBK" w:eastAsia="方正黑体_GBK" w:cs="方正黑体_GBK"/>
          <w:b/>
          <w:bCs w:val="0"/>
          <w:color w:val="181818" w:themeColor="background1" w:themeShade="19"/>
          <w:sz w:val="32"/>
          <w:szCs w:val="32"/>
          <w:highlight w:val="none"/>
          <w:shd w:val="clear" w:color="auto" w:fill="FFFFFF"/>
        </w:rPr>
        <w:t>六、专业名词解释</w:t>
      </w:r>
    </w:p>
    <w:p w14:paraId="4806BC28">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（一）财政拨款收入：</w:t>
      </w:r>
      <w:r>
        <w:rPr>
          <w:rFonts w:hint="eastAsia" w:ascii="方正仿宋_GBK" w:hAnsi="方正仿宋_GBK" w:eastAsia="方正仿宋_GBK" w:cs="方正仿宋_GBK"/>
          <w:color w:val="181818" w:themeColor="background1" w:themeShade="19"/>
          <w:sz w:val="32"/>
          <w:szCs w:val="32"/>
          <w:highlight w:val="none"/>
          <w:shd w:val="clear" w:color="auto" w:fill="FFFFFF"/>
        </w:rPr>
        <w:t>指本年度从本级财政部门取得的财政拨款，包括一般公共预算财政拨款和政府性基金预算财政拨款。</w:t>
      </w:r>
    </w:p>
    <w:p w14:paraId="051BE375">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（二）事业收入：</w:t>
      </w:r>
      <w:r>
        <w:rPr>
          <w:rFonts w:hint="eastAsia" w:ascii="方正仿宋_GBK" w:hAnsi="方正仿宋_GBK" w:eastAsia="方正仿宋_GBK" w:cs="方正仿宋_GBK"/>
          <w:color w:val="181818" w:themeColor="background1" w:themeShade="19"/>
          <w:sz w:val="32"/>
          <w:szCs w:val="32"/>
          <w:highlight w:val="none"/>
          <w:shd w:val="clear" w:color="auto" w:fill="FFFFFF"/>
        </w:rPr>
        <w:t>指事业单位开展专业业务活动及其辅助活动取得的现金流入；事业单位收到的财政专户实际核拨的教育收费等资金在此反映。</w:t>
      </w:r>
    </w:p>
    <w:p w14:paraId="7877B77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（三）经营收入：</w:t>
      </w:r>
      <w:r>
        <w:rPr>
          <w:rFonts w:hint="eastAsia" w:ascii="方正仿宋_GBK" w:hAnsi="方正仿宋_GBK" w:eastAsia="方正仿宋_GBK" w:cs="方正仿宋_GBK"/>
          <w:color w:val="181818" w:themeColor="background1" w:themeShade="19"/>
          <w:sz w:val="32"/>
          <w:szCs w:val="32"/>
          <w:highlight w:val="none"/>
          <w:shd w:val="clear" w:color="auto" w:fill="FFFFFF"/>
        </w:rPr>
        <w:t>指事业单位在专业业务活动及其辅助活动之外开展非独立核算经营活动取得的现金流入。</w:t>
      </w:r>
    </w:p>
    <w:p w14:paraId="01F4A88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（四）其他收入：</w:t>
      </w:r>
      <w:r>
        <w:rPr>
          <w:rFonts w:hint="eastAsia" w:ascii="方正仿宋_GBK" w:hAnsi="方正仿宋_GBK" w:eastAsia="方正仿宋_GBK" w:cs="方正仿宋_GBK"/>
          <w:color w:val="181818" w:themeColor="background1" w:themeShade="19"/>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06DC7C6">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（五）使用非财政拨款结余（含专用结余）：</w:t>
      </w:r>
      <w:r>
        <w:rPr>
          <w:rFonts w:hint="eastAsia" w:ascii="方正仿宋_GBK" w:hAnsi="方正仿宋_GBK" w:eastAsia="方正仿宋_GBK" w:cs="方正仿宋_GBK"/>
          <w:color w:val="181818" w:themeColor="background1" w:themeShade="19"/>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14:paraId="343CC27E">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（六）年初结转和结余：</w:t>
      </w:r>
      <w:r>
        <w:rPr>
          <w:rFonts w:hint="eastAsia" w:ascii="方正仿宋_GBK" w:hAnsi="方正仿宋_GBK" w:eastAsia="方正仿宋_GBK" w:cs="方正仿宋_GBK"/>
          <w:color w:val="181818" w:themeColor="background1" w:themeShade="19"/>
          <w:sz w:val="32"/>
          <w:szCs w:val="32"/>
          <w:highlight w:val="none"/>
          <w:shd w:val="clear" w:color="auto" w:fill="FFFFFF"/>
        </w:rPr>
        <w:t>指单位上年结转本年使用的基本支出结转、项目支出结转和结余、经营结余。</w:t>
      </w:r>
    </w:p>
    <w:p w14:paraId="62533525">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（七）结余分配：</w:t>
      </w:r>
      <w:r>
        <w:rPr>
          <w:rFonts w:hint="eastAsia" w:ascii="方正仿宋_GBK" w:hAnsi="方正仿宋_GBK" w:eastAsia="方正仿宋_GBK" w:cs="方正仿宋_GBK"/>
          <w:color w:val="181818" w:themeColor="background1" w:themeShade="19"/>
          <w:sz w:val="32"/>
          <w:szCs w:val="32"/>
          <w:highlight w:val="none"/>
          <w:shd w:val="clear" w:color="auto" w:fill="FFFFFF"/>
        </w:rPr>
        <w:t>指单位按照国家有关规定，缴纳所得税、提取专用基金、转入非财政拨款结余等当年结余的分配情况。</w:t>
      </w:r>
    </w:p>
    <w:p w14:paraId="03A8F548">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（八）年末结转和结余：</w:t>
      </w:r>
      <w:r>
        <w:rPr>
          <w:rFonts w:hint="eastAsia" w:ascii="方正仿宋_GBK" w:hAnsi="方正仿宋_GBK" w:eastAsia="方正仿宋_GBK" w:cs="方正仿宋_GBK"/>
          <w:color w:val="181818" w:themeColor="background1" w:themeShade="19"/>
          <w:sz w:val="32"/>
          <w:szCs w:val="32"/>
          <w:highlight w:val="none"/>
          <w:shd w:val="clear" w:color="auto" w:fill="FFFFFF"/>
        </w:rPr>
        <w:t>指单位结转下年的基本支出结转、项目支出结转和结余、经营结余。</w:t>
      </w:r>
    </w:p>
    <w:p w14:paraId="68B99EE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（九）基本支出：</w:t>
      </w:r>
      <w:r>
        <w:rPr>
          <w:rFonts w:hint="eastAsia" w:ascii="方正仿宋_GBK" w:hAnsi="方正仿宋_GBK" w:eastAsia="方正仿宋_GBK" w:cs="方正仿宋_GBK"/>
          <w:color w:val="181818" w:themeColor="background1" w:themeShade="19"/>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8B926A2">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（十）项目支出：</w:t>
      </w:r>
      <w:r>
        <w:rPr>
          <w:rFonts w:hint="eastAsia" w:ascii="方正仿宋_GBK" w:hAnsi="方正仿宋_GBK" w:eastAsia="方正仿宋_GBK" w:cs="方正仿宋_GBK"/>
          <w:color w:val="181818" w:themeColor="background1" w:themeShade="19"/>
          <w:sz w:val="32"/>
          <w:szCs w:val="32"/>
          <w:highlight w:val="none"/>
          <w:shd w:val="clear" w:color="auto" w:fill="FFFFFF"/>
        </w:rPr>
        <w:t>指在基本支出之外为完成特定行政任务和事业发展目标所发生的支出。</w:t>
      </w:r>
    </w:p>
    <w:p w14:paraId="57BE441E">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（十一）经营支出：</w:t>
      </w:r>
      <w:r>
        <w:rPr>
          <w:rFonts w:hint="eastAsia" w:ascii="方正仿宋_GBK" w:hAnsi="方正仿宋_GBK" w:eastAsia="方正仿宋_GBK" w:cs="方正仿宋_GBK"/>
          <w:color w:val="181818" w:themeColor="background1" w:themeShade="19"/>
          <w:sz w:val="32"/>
          <w:szCs w:val="32"/>
          <w:highlight w:val="none"/>
          <w:shd w:val="clear" w:color="auto" w:fill="FFFFFF"/>
        </w:rPr>
        <w:t>指事业单位在专业业务活动及其辅助活动之外开展非独立核算经营活动发生的支出。</w:t>
      </w:r>
    </w:p>
    <w:p w14:paraId="26B301DB">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（十二）“三公”经费：</w:t>
      </w:r>
      <w:r>
        <w:rPr>
          <w:rFonts w:hint="eastAsia" w:ascii="方正仿宋_GBK" w:hAnsi="方正仿宋_GBK" w:eastAsia="方正仿宋_GBK" w:cs="方正仿宋_GBK"/>
          <w:color w:val="181818" w:themeColor="background1" w:themeShade="19"/>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F1892D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（十三）机关运行经费：</w:t>
      </w:r>
      <w:r>
        <w:rPr>
          <w:rFonts w:hint="eastAsia" w:ascii="方正仿宋_GBK" w:hAnsi="方正仿宋_GBK" w:eastAsia="方正仿宋_GBK" w:cs="方正仿宋_GBK"/>
          <w:color w:val="181818" w:themeColor="background1" w:themeShade="19"/>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7A9E4A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（十四）工资福利支出（支出经济分类科目类级）：</w:t>
      </w:r>
      <w:r>
        <w:rPr>
          <w:rFonts w:hint="eastAsia" w:ascii="方正仿宋_GBK" w:hAnsi="方正仿宋_GBK" w:eastAsia="方正仿宋_GBK" w:cs="方正仿宋_GBK"/>
          <w:color w:val="181818" w:themeColor="background1" w:themeShade="19"/>
          <w:sz w:val="32"/>
          <w:szCs w:val="32"/>
          <w:highlight w:val="none"/>
          <w:shd w:val="clear" w:color="auto" w:fill="FFFFFF"/>
        </w:rPr>
        <w:t>反映单位开支的在职职工和编制外长期聘用人员的各类劳动报酬，以及为上述人员缴纳的各项社会保险费等。</w:t>
      </w:r>
    </w:p>
    <w:p w14:paraId="3D07675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（十五）商品和服务支出（支出经济分类科目类级）：</w:t>
      </w:r>
      <w:r>
        <w:rPr>
          <w:rFonts w:hint="eastAsia" w:ascii="方正仿宋_GBK" w:hAnsi="方正仿宋_GBK" w:eastAsia="方正仿宋_GBK" w:cs="方正仿宋_GBK"/>
          <w:color w:val="181818" w:themeColor="background1" w:themeShade="19"/>
          <w:sz w:val="32"/>
          <w:szCs w:val="32"/>
          <w:highlight w:val="none"/>
          <w:shd w:val="clear" w:color="auto" w:fill="FFFFFF"/>
        </w:rPr>
        <w:t>反映单位购买商品和服务的支出（不包括用于购置固定资产的支出、战略性和应急储备支出）。</w:t>
      </w:r>
    </w:p>
    <w:p w14:paraId="69CBAD9A">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（十六）对个人和家庭的补助（支出经济分类科目类级）：</w:t>
      </w:r>
      <w:r>
        <w:rPr>
          <w:rFonts w:hint="eastAsia" w:ascii="方正仿宋_GBK" w:hAnsi="方正仿宋_GBK" w:eastAsia="方正仿宋_GBK" w:cs="方正仿宋_GBK"/>
          <w:color w:val="181818" w:themeColor="background1" w:themeShade="19"/>
          <w:sz w:val="32"/>
          <w:szCs w:val="32"/>
          <w:highlight w:val="none"/>
          <w:shd w:val="clear" w:color="auto" w:fill="FFFFFF"/>
        </w:rPr>
        <w:t>反映用于对个人和家庭的补助支出。</w:t>
      </w:r>
    </w:p>
    <w:p w14:paraId="60CA2FED">
      <w:pPr>
        <w:pStyle w:val="15"/>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color w:val="181818" w:themeColor="background1" w:themeShade="19"/>
          <w:sz w:val="32"/>
          <w:szCs w:val="32"/>
          <w:highlight w:val="none"/>
        </w:rPr>
      </w:pPr>
      <w:r>
        <w:rPr>
          <w:rStyle w:val="13"/>
          <w:rFonts w:hint="eastAsia" w:ascii="方正楷体_GBK" w:hAnsi="方正楷体_GBK" w:eastAsia="方正楷体_GBK" w:cs="方正楷体_GBK"/>
          <w:b/>
          <w:bCs w:val="0"/>
          <w:color w:val="181818" w:themeColor="background1" w:themeShade="19"/>
          <w:sz w:val="32"/>
          <w:szCs w:val="32"/>
          <w:highlight w:val="none"/>
          <w:shd w:val="clear" w:color="auto" w:fill="FFFFFF"/>
        </w:rPr>
        <w:t>（十七）其他资本性支出（支出经济分类科目类级）：</w:t>
      </w:r>
      <w:r>
        <w:rPr>
          <w:rFonts w:hint="eastAsia" w:ascii="方正仿宋_GBK" w:hAnsi="方正仿宋_GBK" w:eastAsia="方正仿宋_GBK" w:cs="方正仿宋_GBK"/>
          <w:color w:val="181818" w:themeColor="background1" w:themeShade="19"/>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5A82E9AB">
      <w:pPr>
        <w:pStyle w:val="15"/>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color w:val="181818" w:themeColor="background1" w:themeShade="19"/>
          <w:sz w:val="32"/>
          <w:szCs w:val="32"/>
          <w:highlight w:val="none"/>
        </w:rPr>
      </w:pPr>
      <w:r>
        <w:rPr>
          <w:rStyle w:val="13"/>
          <w:rFonts w:hint="eastAsia" w:ascii="方正黑体_GBK" w:hAnsi="方正黑体_GBK" w:eastAsia="方正黑体_GBK" w:cs="方正黑体_GBK"/>
          <w:b w:val="0"/>
          <w:bCs/>
          <w:color w:val="181818" w:themeColor="background1" w:themeShade="19"/>
          <w:sz w:val="32"/>
          <w:szCs w:val="32"/>
          <w:highlight w:val="none"/>
          <w:shd w:val="clear" w:color="auto" w:fill="FFFFFF"/>
        </w:rPr>
        <w:t>七、决算公开联系方式及信息反馈渠道</w:t>
      </w:r>
    </w:p>
    <w:p w14:paraId="69F3ACF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181818" w:themeColor="background1" w:themeShade="19"/>
          <w:sz w:val="32"/>
          <w:szCs w:val="32"/>
          <w:highlight w:val="none"/>
          <w:shd w:val="clear" w:color="auto" w:fill="FFFFFF"/>
        </w:rPr>
      </w:pPr>
      <w:r>
        <w:rPr>
          <w:rFonts w:hint="eastAsia" w:ascii="方正仿宋_GBK" w:hAnsi="方正仿宋_GBK" w:eastAsia="方正仿宋_GBK" w:cs="方正仿宋_GBK"/>
          <w:color w:val="181818" w:themeColor="background1" w:themeShade="19"/>
          <w:sz w:val="32"/>
          <w:szCs w:val="32"/>
          <w:highlight w:val="none"/>
          <w:shd w:val="clear" w:color="auto" w:fill="FFFFFF"/>
        </w:rPr>
        <w:t>本单位决算公开信息反馈和联系方式：</w:t>
      </w:r>
    </w:p>
    <w:p w14:paraId="0BFDF4F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3"/>
          <w:rFonts w:ascii="Times New Roman" w:hAnsi="Times New Roman" w:eastAsia="方正仿宋_GBK"/>
          <w:b w:val="0"/>
          <w:color w:val="181818" w:themeColor="background1" w:themeShade="19"/>
          <w:kern w:val="2"/>
          <w:sz w:val="32"/>
          <w:szCs w:val="32"/>
          <w:highlight w:val="none"/>
        </w:rPr>
        <w:sectPr>
          <w:footerReference r:id="rId3" w:type="default"/>
          <w:pgSz w:w="11915" w:h="16840"/>
          <w:pgMar w:top="2098" w:right="1474" w:bottom="1984" w:left="1587" w:header="851" w:footer="992" w:gutter="0"/>
          <w:pgNumType w:fmt="numberInDash"/>
          <w:cols w:space="0" w:num="1"/>
          <w:rtlGutter w:val="0"/>
          <w:docGrid w:type="lines" w:linePitch="327" w:charSpace="0"/>
        </w:sectPr>
      </w:pPr>
      <w:r>
        <w:rPr>
          <w:rFonts w:hint="eastAsia" w:ascii="Times New Roman" w:hAnsi="Times New Roman" w:eastAsia="方正仿宋_GBK"/>
          <w:color w:val="181818" w:themeColor="background1" w:themeShade="19"/>
          <w:kern w:val="2"/>
          <w:sz w:val="32"/>
          <w:szCs w:val="32"/>
          <w:highlight w:val="none"/>
        </w:rPr>
        <w:t>陶攀波</w:t>
      </w:r>
      <w:r>
        <w:rPr>
          <w:rFonts w:hint="eastAsia" w:ascii="Times New Roman" w:hAnsi="Times New Roman" w:eastAsia="方正仿宋_GBK"/>
          <w:color w:val="181818" w:themeColor="background1" w:themeShade="19"/>
          <w:kern w:val="2"/>
          <w:sz w:val="32"/>
          <w:szCs w:val="32"/>
          <w:highlight w:val="none"/>
          <w:lang w:val="en-US" w:eastAsia="zh-CN"/>
        </w:rPr>
        <w:t xml:space="preserve">   023-</w:t>
      </w:r>
      <w:r>
        <w:rPr>
          <w:rFonts w:hint="eastAsia" w:ascii="Times New Roman" w:hAnsi="Times New Roman" w:eastAsia="方正仿宋_GBK"/>
          <w:color w:val="181818" w:themeColor="background1" w:themeShade="19"/>
          <w:kern w:val="2"/>
          <w:sz w:val="32"/>
          <w:szCs w:val="32"/>
          <w:highlight w:val="none"/>
        </w:rPr>
        <w:t>70608122</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184E67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272617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CA7431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2A7357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79610B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3A7782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54F719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813B92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354E005">
            <w:pPr>
              <w:spacing w:line="280" w:lineRule="exact"/>
              <w:rPr>
                <w:rFonts w:hint="default" w:ascii="Arial" w:hAnsi="Arial" w:cs="Arial"/>
                <w:color w:val="000000"/>
                <w:sz w:val="22"/>
                <w:szCs w:val="22"/>
              </w:rPr>
            </w:pPr>
            <w:r>
              <w:rPr>
                <w:rFonts w:cs="宋体"/>
                <w:sz w:val="20"/>
                <w:szCs w:val="20"/>
              </w:rPr>
              <w:t>单位：</w:t>
            </w:r>
            <w:r>
              <w:rPr>
                <w:sz w:val="20"/>
              </w:rPr>
              <w:t>丰都县妇幼保健院</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49E163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0D76CC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3363F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95F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D0811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44711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696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D61E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7158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AFA3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AA9FB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E8B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C31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1,581.08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2FE0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6E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CA33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28C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36E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F08A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34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71C9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980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970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B71D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81C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9351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D4B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29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FA4C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6E7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A009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E01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78E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3,139.92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4A0E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ED3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DEC7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8B4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2DB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23E9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83D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9E17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D7E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F9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764B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021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2B40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2AF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63D71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316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D5A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250.56</w:t>
            </w:r>
            <w:r>
              <w:rPr>
                <w:rFonts w:ascii="Times New Roman" w:hAnsi="Times New Roman"/>
                <w:color w:val="000000"/>
                <w:sz w:val="20"/>
              </w:rPr>
              <w:t xml:space="preserve"> </w:t>
            </w:r>
          </w:p>
        </w:tc>
      </w:tr>
      <w:tr w14:paraId="6A9B23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D19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BBA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A63F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985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4,432.14</w:t>
            </w:r>
            <w:r>
              <w:rPr>
                <w:rFonts w:ascii="Times New Roman" w:hAnsi="Times New Roman"/>
                <w:color w:val="000000"/>
                <w:sz w:val="20"/>
              </w:rPr>
              <w:t xml:space="preserve"> </w:t>
            </w:r>
          </w:p>
        </w:tc>
      </w:tr>
      <w:tr w14:paraId="66867E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5C6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6855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7EF7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8A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BE1F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510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29E0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016C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C94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7758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C6F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3250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8DD2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F71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23DC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073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6E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1644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1DC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CE20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38A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241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53E4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86E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7BA2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5B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BC4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1DC2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745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3C54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D5C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BBC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88E0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11A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9497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BC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ACB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6571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B4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0F2F7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1C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216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9346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DFE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9AE0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D83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1D5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5C88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4C9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43.24</w:t>
            </w:r>
            <w:r>
              <w:rPr>
                <w:rFonts w:ascii="Times New Roman" w:hAnsi="Times New Roman"/>
                <w:color w:val="000000"/>
                <w:sz w:val="20"/>
              </w:rPr>
              <w:t xml:space="preserve"> </w:t>
            </w:r>
          </w:p>
        </w:tc>
      </w:tr>
      <w:tr w14:paraId="33FF1A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0F1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386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AF97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B93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09BE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B10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FCF4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EE29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C84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83DD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415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E44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0D8C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9F1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3122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A09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2404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C5B6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027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CE45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6CF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7126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5A75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08C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4B6D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B30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353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4AC3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D87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C891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35A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7ED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A7BD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BAE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11DB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FC6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EFF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4,725.94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5F98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4DF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4,725.94</w:t>
            </w:r>
            <w:r>
              <w:rPr>
                <w:rFonts w:ascii="Times New Roman" w:hAnsi="Times New Roman"/>
                <w:color w:val="000000"/>
                <w:sz w:val="20"/>
              </w:rPr>
              <w:t xml:space="preserve"> </w:t>
            </w:r>
          </w:p>
        </w:tc>
      </w:tr>
      <w:tr w14:paraId="38EC12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A57A">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C7F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9CB2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12A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6002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5C7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EF3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6A71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74421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1BDEF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E1D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5F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4,725.94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3A217B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B08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4,725.94</w:t>
            </w:r>
            <w:r>
              <w:rPr>
                <w:rFonts w:ascii="Times New Roman" w:hAnsi="Times New Roman"/>
                <w:color w:val="000000"/>
                <w:sz w:val="20"/>
              </w:rPr>
              <w:t xml:space="preserve"> </w:t>
            </w:r>
          </w:p>
        </w:tc>
      </w:tr>
    </w:tbl>
    <w:p w14:paraId="059DCBD0">
      <w:pPr>
        <w:rPr>
          <w:rFonts w:hint="default" w:cs="宋体"/>
          <w:sz w:val="21"/>
          <w:szCs w:val="21"/>
        </w:rPr>
      </w:pPr>
    </w:p>
    <w:p w14:paraId="0C070AF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4979" w:type="pct"/>
        <w:tblInd w:w="0" w:type="dxa"/>
        <w:tblLayout w:type="fixed"/>
        <w:tblCellMar>
          <w:top w:w="0" w:type="dxa"/>
          <w:left w:w="0" w:type="dxa"/>
          <w:bottom w:w="0" w:type="dxa"/>
          <w:right w:w="0" w:type="dxa"/>
        </w:tblCellMar>
      </w:tblPr>
      <w:tblGrid>
        <w:gridCol w:w="1405"/>
        <w:gridCol w:w="2872"/>
        <w:gridCol w:w="1557"/>
        <w:gridCol w:w="1424"/>
        <w:gridCol w:w="1234"/>
        <w:gridCol w:w="1412"/>
        <w:gridCol w:w="1436"/>
        <w:gridCol w:w="1271"/>
        <w:gridCol w:w="1326"/>
        <w:gridCol w:w="1323"/>
      </w:tblGrid>
      <w:tr w14:paraId="236D8773">
        <w:tblPrEx>
          <w:tblCellMar>
            <w:top w:w="0" w:type="dxa"/>
            <w:left w:w="0" w:type="dxa"/>
            <w:bottom w:w="0" w:type="dxa"/>
            <w:right w:w="0" w:type="dxa"/>
          </w:tblCellMar>
        </w:tblPrEx>
        <w:trPr>
          <w:trHeight w:val="9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B541B77">
            <w:pPr>
              <w:jc w:val="center"/>
              <w:textAlignment w:val="bottom"/>
              <w:rPr>
                <w:rFonts w:hint="default" w:cs="宋体"/>
                <w:b/>
                <w:color w:val="000000"/>
                <w:sz w:val="32"/>
                <w:szCs w:val="32"/>
              </w:rPr>
            </w:pPr>
            <w:r>
              <w:rPr>
                <w:rFonts w:cs="宋体"/>
                <w:b/>
                <w:color w:val="000000"/>
                <w:sz w:val="32"/>
                <w:szCs w:val="32"/>
              </w:rPr>
              <w:t>收入决算表</w:t>
            </w:r>
          </w:p>
        </w:tc>
      </w:tr>
      <w:tr w14:paraId="58C43AE3">
        <w:tblPrEx>
          <w:tblCellMar>
            <w:top w:w="0" w:type="dxa"/>
            <w:left w:w="0" w:type="dxa"/>
            <w:bottom w:w="0" w:type="dxa"/>
            <w:right w:w="0" w:type="dxa"/>
          </w:tblCellMar>
        </w:tblPrEx>
        <w:trPr>
          <w:trHeight w:val="90" w:hRule="atLeast"/>
        </w:trPr>
        <w:tc>
          <w:tcPr>
            <w:tcW w:w="1911" w:type="pct"/>
            <w:gridSpan w:val="3"/>
            <w:vMerge w:val="restart"/>
            <w:tcBorders>
              <w:top w:val="nil"/>
              <w:left w:val="nil"/>
              <w:right w:val="nil"/>
            </w:tcBorders>
            <w:shd w:val="clear" w:color="auto" w:fill="auto"/>
            <w:noWrap/>
            <w:tcMar>
              <w:top w:w="15" w:type="dxa"/>
              <w:left w:w="15" w:type="dxa"/>
              <w:right w:w="15" w:type="dxa"/>
            </w:tcMar>
            <w:vAlign w:val="bottom"/>
          </w:tcPr>
          <w:p w14:paraId="027DD247">
            <w:pPr>
              <w:spacing w:line="280" w:lineRule="exact"/>
              <w:rPr>
                <w:rFonts w:hint="default" w:cs="宋体"/>
                <w:color w:val="000000"/>
                <w:sz w:val="20"/>
                <w:szCs w:val="20"/>
              </w:rPr>
            </w:pPr>
            <w:r>
              <w:rPr>
                <w:rFonts w:cs="宋体"/>
                <w:sz w:val="20"/>
                <w:szCs w:val="20"/>
              </w:rPr>
              <w:t>单位：</w:t>
            </w:r>
            <w:r>
              <w:rPr>
                <w:sz w:val="20"/>
              </w:rPr>
              <w:t>丰都县妇幼保健院</w:t>
            </w:r>
          </w:p>
        </w:tc>
        <w:tc>
          <w:tcPr>
            <w:tcW w:w="466" w:type="pct"/>
            <w:tcBorders>
              <w:top w:val="nil"/>
              <w:left w:val="nil"/>
              <w:bottom w:val="nil"/>
              <w:right w:val="nil"/>
            </w:tcBorders>
            <w:shd w:val="clear" w:color="auto" w:fill="auto"/>
            <w:noWrap/>
            <w:tcMar>
              <w:top w:w="15" w:type="dxa"/>
              <w:left w:w="15" w:type="dxa"/>
              <w:right w:w="15" w:type="dxa"/>
            </w:tcMar>
            <w:vAlign w:val="bottom"/>
          </w:tcPr>
          <w:p w14:paraId="4243F1A1">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02C6023F">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A6164C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BCF436B">
            <w:pPr>
              <w:rPr>
                <w:rFonts w:hint="default" w:cs="宋体"/>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6038F995">
            <w:pPr>
              <w:rPr>
                <w:rFonts w:hint="default" w:cs="宋体"/>
                <w:color w:val="000000"/>
                <w:sz w:val="20"/>
                <w:szCs w:val="20"/>
              </w:rPr>
            </w:pPr>
          </w:p>
        </w:tc>
        <w:tc>
          <w:tcPr>
            <w:tcW w:w="434" w:type="pct"/>
            <w:tcBorders>
              <w:top w:val="nil"/>
              <w:left w:val="nil"/>
              <w:bottom w:val="nil"/>
              <w:right w:val="nil"/>
            </w:tcBorders>
            <w:shd w:val="clear" w:color="auto" w:fill="auto"/>
            <w:noWrap/>
            <w:tcMar>
              <w:top w:w="15" w:type="dxa"/>
              <w:left w:w="15" w:type="dxa"/>
              <w:right w:w="15" w:type="dxa"/>
            </w:tcMar>
            <w:vAlign w:val="bottom"/>
          </w:tcPr>
          <w:p w14:paraId="63D05282">
            <w:pPr>
              <w:rPr>
                <w:rFonts w:hint="default" w:cs="宋体"/>
                <w:color w:val="000000"/>
                <w:sz w:val="20"/>
                <w:szCs w:val="20"/>
              </w:rPr>
            </w:pPr>
          </w:p>
        </w:tc>
        <w:tc>
          <w:tcPr>
            <w:tcW w:w="433" w:type="pct"/>
            <w:tcBorders>
              <w:top w:val="nil"/>
              <w:left w:val="nil"/>
              <w:bottom w:val="nil"/>
              <w:right w:val="nil"/>
            </w:tcBorders>
            <w:shd w:val="clear" w:color="auto" w:fill="auto"/>
            <w:noWrap/>
            <w:tcMar>
              <w:top w:w="15" w:type="dxa"/>
              <w:left w:w="15" w:type="dxa"/>
              <w:right w:w="15" w:type="dxa"/>
            </w:tcMar>
            <w:vAlign w:val="bottom"/>
          </w:tcPr>
          <w:p w14:paraId="7AF9858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28BF2CD">
        <w:tblPrEx>
          <w:tblCellMar>
            <w:top w:w="0" w:type="dxa"/>
            <w:left w:w="0" w:type="dxa"/>
            <w:bottom w:w="0" w:type="dxa"/>
            <w:right w:w="0" w:type="dxa"/>
          </w:tblCellMar>
        </w:tblPrEx>
        <w:trPr>
          <w:trHeight w:val="90" w:hRule="atLeast"/>
        </w:trPr>
        <w:tc>
          <w:tcPr>
            <w:tcW w:w="1911" w:type="pct"/>
            <w:gridSpan w:val="3"/>
            <w:vMerge w:val="continue"/>
            <w:tcBorders>
              <w:left w:val="nil"/>
              <w:bottom w:val="nil"/>
              <w:right w:val="nil"/>
            </w:tcBorders>
            <w:shd w:val="clear" w:color="auto" w:fill="auto"/>
            <w:noWrap/>
            <w:tcMar>
              <w:top w:w="15" w:type="dxa"/>
              <w:left w:w="15" w:type="dxa"/>
              <w:right w:w="15" w:type="dxa"/>
            </w:tcMar>
            <w:vAlign w:val="bottom"/>
          </w:tcPr>
          <w:p w14:paraId="3D463ED8">
            <w:pPr>
              <w:rPr>
                <w:rFonts w:hint="default" w:cs="宋体"/>
                <w:color w:val="000000"/>
                <w:sz w:val="20"/>
                <w:szCs w:val="20"/>
              </w:rPr>
            </w:pPr>
          </w:p>
        </w:tc>
        <w:tc>
          <w:tcPr>
            <w:tcW w:w="466" w:type="pct"/>
            <w:tcBorders>
              <w:top w:val="nil"/>
              <w:left w:val="nil"/>
              <w:bottom w:val="nil"/>
              <w:right w:val="nil"/>
            </w:tcBorders>
            <w:shd w:val="clear" w:color="auto" w:fill="auto"/>
            <w:noWrap/>
            <w:tcMar>
              <w:top w:w="15" w:type="dxa"/>
              <w:left w:w="15" w:type="dxa"/>
              <w:right w:w="15" w:type="dxa"/>
            </w:tcMar>
            <w:vAlign w:val="bottom"/>
          </w:tcPr>
          <w:p w14:paraId="0614F9BF">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0C6B9D39">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08BAFB7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A077256">
            <w:pPr>
              <w:rPr>
                <w:rFonts w:hint="default" w:cs="宋体"/>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2A0A6CBE">
            <w:pPr>
              <w:rPr>
                <w:rFonts w:hint="default" w:cs="宋体"/>
                <w:color w:val="000000"/>
                <w:sz w:val="20"/>
                <w:szCs w:val="20"/>
              </w:rPr>
            </w:pPr>
          </w:p>
        </w:tc>
        <w:tc>
          <w:tcPr>
            <w:tcW w:w="434" w:type="pct"/>
            <w:tcBorders>
              <w:top w:val="nil"/>
              <w:left w:val="nil"/>
              <w:bottom w:val="nil"/>
              <w:right w:val="nil"/>
            </w:tcBorders>
            <w:shd w:val="clear" w:color="auto" w:fill="auto"/>
            <w:noWrap/>
            <w:tcMar>
              <w:top w:w="15" w:type="dxa"/>
              <w:left w:w="15" w:type="dxa"/>
              <w:right w:w="15" w:type="dxa"/>
            </w:tcMar>
            <w:vAlign w:val="bottom"/>
          </w:tcPr>
          <w:p w14:paraId="6CBB1CFE">
            <w:pPr>
              <w:rPr>
                <w:rFonts w:hint="default" w:cs="宋体"/>
                <w:color w:val="000000"/>
                <w:sz w:val="20"/>
                <w:szCs w:val="20"/>
              </w:rPr>
            </w:pPr>
          </w:p>
        </w:tc>
        <w:tc>
          <w:tcPr>
            <w:tcW w:w="433" w:type="pct"/>
            <w:tcBorders>
              <w:top w:val="nil"/>
              <w:left w:val="nil"/>
              <w:bottom w:val="nil"/>
              <w:right w:val="nil"/>
            </w:tcBorders>
            <w:shd w:val="clear" w:color="auto" w:fill="auto"/>
            <w:noWrap/>
            <w:tcMar>
              <w:top w:w="15" w:type="dxa"/>
              <w:left w:w="15" w:type="dxa"/>
              <w:right w:w="15" w:type="dxa"/>
            </w:tcMar>
            <w:vAlign w:val="bottom"/>
          </w:tcPr>
          <w:p w14:paraId="115E9D7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B05BF0">
        <w:tblPrEx>
          <w:tblCellMar>
            <w:top w:w="0" w:type="dxa"/>
            <w:left w:w="0" w:type="dxa"/>
            <w:bottom w:w="0" w:type="dxa"/>
            <w:right w:w="0" w:type="dxa"/>
          </w:tblCellMar>
        </w:tblPrEx>
        <w:trPr>
          <w:trHeight w:val="90" w:hRule="atLeast"/>
        </w:trPr>
        <w:tc>
          <w:tcPr>
            <w:tcW w:w="140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7B46217">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FE1A">
            <w:pPr>
              <w:jc w:val="center"/>
              <w:textAlignment w:val="center"/>
              <w:rPr>
                <w:rFonts w:hint="default" w:cs="宋体"/>
                <w:b/>
                <w:color w:val="000000"/>
                <w:sz w:val="20"/>
                <w:szCs w:val="20"/>
              </w:rPr>
            </w:pPr>
            <w:r>
              <w:rPr>
                <w:rFonts w:cs="宋体"/>
                <w:b/>
                <w:color w:val="000000"/>
                <w:sz w:val="20"/>
                <w:szCs w:val="20"/>
              </w:rPr>
              <w:t>本年收入合计</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9958">
            <w:pPr>
              <w:jc w:val="center"/>
              <w:textAlignment w:val="center"/>
              <w:rPr>
                <w:rFonts w:hint="default" w:cs="宋体"/>
                <w:b/>
                <w:color w:val="000000"/>
                <w:sz w:val="20"/>
                <w:szCs w:val="20"/>
              </w:rPr>
            </w:pPr>
            <w:r>
              <w:rPr>
                <w:rFonts w:cs="宋体"/>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07AC1">
            <w:pPr>
              <w:jc w:val="center"/>
              <w:textAlignment w:val="center"/>
              <w:rPr>
                <w:rFonts w:hint="default" w:cs="宋体"/>
                <w:b/>
                <w:color w:val="000000"/>
                <w:sz w:val="20"/>
                <w:szCs w:val="20"/>
              </w:rPr>
            </w:pPr>
            <w:r>
              <w:rPr>
                <w:rFonts w:cs="宋体"/>
                <w:b/>
                <w:color w:val="000000"/>
                <w:sz w:val="20"/>
                <w:szCs w:val="20"/>
              </w:rPr>
              <w:t>上级补助收入</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86A98F">
            <w:pPr>
              <w:jc w:val="center"/>
              <w:textAlignment w:val="bottom"/>
              <w:rPr>
                <w:rFonts w:hint="default" w:cs="宋体"/>
                <w:b/>
                <w:color w:val="000000"/>
                <w:sz w:val="20"/>
                <w:szCs w:val="20"/>
              </w:rPr>
            </w:pPr>
            <w:r>
              <w:rPr>
                <w:rFonts w:cs="宋体"/>
                <w:b/>
                <w:color w:val="000000"/>
                <w:sz w:val="20"/>
                <w:szCs w:val="20"/>
              </w:rPr>
              <w:t>事业收入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33E79">
            <w:pPr>
              <w:jc w:val="center"/>
              <w:textAlignment w:val="center"/>
              <w:rPr>
                <w:rFonts w:hint="default" w:cs="宋体"/>
                <w:b/>
                <w:color w:val="000000"/>
                <w:sz w:val="20"/>
                <w:szCs w:val="20"/>
              </w:rPr>
            </w:pPr>
            <w:r>
              <w:rPr>
                <w:rFonts w:cs="宋体"/>
                <w:b/>
                <w:color w:val="000000"/>
                <w:sz w:val="20"/>
                <w:szCs w:val="20"/>
              </w:rPr>
              <w:t>经营收入</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921D6">
            <w:pPr>
              <w:jc w:val="center"/>
              <w:textAlignment w:val="center"/>
              <w:rPr>
                <w:rFonts w:hint="default" w:cs="宋体"/>
                <w:b/>
                <w:color w:val="000000"/>
                <w:sz w:val="20"/>
                <w:szCs w:val="20"/>
              </w:rPr>
            </w:pPr>
            <w:r>
              <w:rPr>
                <w:rFonts w:cs="宋体"/>
                <w:b/>
                <w:color w:val="000000"/>
                <w:sz w:val="20"/>
                <w:szCs w:val="20"/>
              </w:rPr>
              <w:t>附属单位上缴收入</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1C26B">
            <w:pPr>
              <w:jc w:val="center"/>
              <w:textAlignment w:val="center"/>
              <w:rPr>
                <w:rFonts w:hint="default" w:cs="宋体"/>
                <w:b/>
                <w:color w:val="000000"/>
                <w:sz w:val="20"/>
                <w:szCs w:val="20"/>
              </w:rPr>
            </w:pPr>
            <w:r>
              <w:rPr>
                <w:rFonts w:cs="宋体"/>
                <w:b/>
                <w:color w:val="000000"/>
                <w:sz w:val="20"/>
                <w:szCs w:val="20"/>
              </w:rPr>
              <w:t>其他收入</w:t>
            </w:r>
          </w:p>
        </w:tc>
      </w:tr>
      <w:tr w14:paraId="3805219B">
        <w:tblPrEx>
          <w:tblCellMar>
            <w:top w:w="0" w:type="dxa"/>
            <w:left w:w="0" w:type="dxa"/>
            <w:bottom w:w="0" w:type="dxa"/>
            <w:right w:w="0" w:type="dxa"/>
          </w:tblCellMar>
        </w:tblPrEx>
        <w:trPr>
          <w:trHeight w:val="312" w:hRule="atLeast"/>
        </w:trPr>
        <w:tc>
          <w:tcPr>
            <w:tcW w:w="46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7D77">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41B779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5436">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50A3">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A0E23">
            <w:pPr>
              <w:jc w:val="center"/>
              <w:rPr>
                <w:rFonts w:hint="default" w:cs="宋体"/>
                <w:b/>
                <w:color w:val="000000"/>
                <w:sz w:val="20"/>
                <w:szCs w:val="20"/>
              </w:rPr>
            </w:pP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323BB">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BC31">
            <w:pPr>
              <w:jc w:val="center"/>
              <w:textAlignment w:val="center"/>
              <w:rPr>
                <w:rFonts w:hint="default" w:cs="宋体"/>
                <w:b/>
                <w:color w:val="000000"/>
                <w:sz w:val="20"/>
                <w:szCs w:val="20"/>
              </w:rPr>
            </w:pPr>
            <w:r>
              <w:rPr>
                <w:rFonts w:cs="宋体"/>
                <w:b/>
                <w:color w:val="000000"/>
                <w:sz w:val="20"/>
                <w:szCs w:val="20"/>
              </w:rPr>
              <w:t>其中：教育收费</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7885">
            <w:pPr>
              <w:jc w:val="center"/>
              <w:rPr>
                <w:rFonts w:hint="default" w:cs="宋体"/>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971C3">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FF1BB">
            <w:pPr>
              <w:jc w:val="center"/>
              <w:rPr>
                <w:rFonts w:hint="default" w:cs="宋体"/>
                <w:b/>
                <w:color w:val="000000"/>
                <w:sz w:val="20"/>
                <w:szCs w:val="20"/>
              </w:rPr>
            </w:pPr>
          </w:p>
        </w:tc>
      </w:tr>
      <w:tr w14:paraId="69AAAE0F">
        <w:tblPrEx>
          <w:tblCellMar>
            <w:top w:w="0" w:type="dxa"/>
            <w:left w:w="0" w:type="dxa"/>
            <w:bottom w:w="0" w:type="dxa"/>
            <w:right w:w="0" w:type="dxa"/>
          </w:tblCellMar>
        </w:tblPrEx>
        <w:trPr>
          <w:trHeight w:val="312"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A92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22DBD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16BD5">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6398">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692B">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C097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200B">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8C2F0">
            <w:pPr>
              <w:jc w:val="center"/>
              <w:rPr>
                <w:rFonts w:hint="default" w:cs="宋体"/>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55F35">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4A5B4">
            <w:pPr>
              <w:jc w:val="center"/>
              <w:rPr>
                <w:rFonts w:hint="default" w:cs="宋体"/>
                <w:b/>
                <w:color w:val="000000"/>
                <w:sz w:val="20"/>
                <w:szCs w:val="20"/>
              </w:rPr>
            </w:pPr>
          </w:p>
        </w:tc>
      </w:tr>
      <w:tr w14:paraId="2A750BC3">
        <w:tblPrEx>
          <w:tblCellMar>
            <w:top w:w="0" w:type="dxa"/>
            <w:left w:w="0" w:type="dxa"/>
            <w:bottom w:w="0" w:type="dxa"/>
            <w:right w:w="0" w:type="dxa"/>
          </w:tblCellMar>
        </w:tblPrEx>
        <w:trPr>
          <w:trHeight w:val="312"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773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9B0E0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652C">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79E7A">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120C">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A94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1B4C">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85FE">
            <w:pPr>
              <w:jc w:val="center"/>
              <w:rPr>
                <w:rFonts w:hint="default" w:cs="宋体"/>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9C23">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560B">
            <w:pPr>
              <w:jc w:val="center"/>
              <w:rPr>
                <w:rFonts w:hint="default" w:cs="宋体"/>
                <w:b/>
                <w:color w:val="000000"/>
                <w:sz w:val="20"/>
                <w:szCs w:val="20"/>
              </w:rPr>
            </w:pPr>
          </w:p>
        </w:tc>
      </w:tr>
      <w:tr w14:paraId="7C8A9FD4">
        <w:tblPrEx>
          <w:tblCellMar>
            <w:top w:w="0" w:type="dxa"/>
            <w:left w:w="0" w:type="dxa"/>
            <w:bottom w:w="0" w:type="dxa"/>
            <w:right w:w="0" w:type="dxa"/>
          </w:tblCellMar>
        </w:tblPrEx>
        <w:trPr>
          <w:trHeight w:val="312"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9CB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166E9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B8DE9">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F88D">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27F6B">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980F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A44AF">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0EE8F">
            <w:pPr>
              <w:jc w:val="center"/>
              <w:rPr>
                <w:rFonts w:hint="default" w:cs="宋体"/>
                <w:b/>
                <w:color w:val="000000"/>
                <w:sz w:val="20"/>
                <w:szCs w:val="20"/>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2C6E">
            <w:pPr>
              <w:jc w:val="center"/>
              <w:rPr>
                <w:rFonts w:hint="default"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DDFDE">
            <w:pPr>
              <w:jc w:val="center"/>
              <w:rPr>
                <w:rFonts w:hint="default" w:cs="宋体"/>
                <w:b/>
                <w:color w:val="000000"/>
                <w:sz w:val="20"/>
                <w:szCs w:val="20"/>
              </w:rPr>
            </w:pPr>
          </w:p>
        </w:tc>
      </w:tr>
      <w:tr w14:paraId="1C4B01FB">
        <w:tblPrEx>
          <w:tblCellMar>
            <w:top w:w="0" w:type="dxa"/>
            <w:left w:w="0" w:type="dxa"/>
            <w:bottom w:w="0" w:type="dxa"/>
            <w:right w:w="0" w:type="dxa"/>
          </w:tblCellMar>
        </w:tblPrEx>
        <w:trPr>
          <w:trHeight w:val="90" w:hRule="atLeast"/>
        </w:trPr>
        <w:tc>
          <w:tcPr>
            <w:tcW w:w="14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4A7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404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4,725.94</w:t>
            </w:r>
            <w:r>
              <w:rPr>
                <w:rFonts w:ascii="Times New Roman" w:hAnsi="Times New Roman"/>
                <w:b/>
                <w:color w:val="000000"/>
                <w:sz w:val="20"/>
              </w:rPr>
              <w:t xml:space="preserve"> </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E2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1,581.08</w:t>
            </w:r>
            <w:r>
              <w:rPr>
                <w:rFonts w:ascii="Times New Roman" w:hAnsi="Times New Roman"/>
                <w:b/>
                <w:color w:val="000000"/>
                <w:sz w:val="20"/>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041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445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3,139.92</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E46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67F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B2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DE2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4.94</w:t>
            </w:r>
            <w:r>
              <w:rPr>
                <w:rFonts w:ascii="Times New Roman" w:hAnsi="Times New Roman"/>
                <w:b/>
                <w:color w:val="000000"/>
                <w:sz w:val="20"/>
              </w:rPr>
              <w:t xml:space="preserve"> </w:t>
            </w:r>
          </w:p>
        </w:tc>
      </w:tr>
      <w:tr w14:paraId="4B1EA142">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0F8C">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76989">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7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B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8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7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D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9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1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0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B7E895">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31A2">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02AEF">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8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A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4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9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A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E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A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E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6D14B0">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BB40">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84412">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A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4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3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A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3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E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A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C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ACC19C">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6F26">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4A350">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9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87.34</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E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87.34</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E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7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3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D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0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3A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A9D7F0">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F5CD">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4B5D2">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6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1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B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0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8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B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3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0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DE1A00">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61EF">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FF557">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4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120.10</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E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120.10</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1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0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9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2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8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5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4B4799">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FD1F">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D7E07">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7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4,432.14</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8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1,287.28</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C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1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3,139.92</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3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A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F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C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rPr>
              <w:t xml:space="preserve"> </w:t>
            </w:r>
          </w:p>
        </w:tc>
      </w:tr>
      <w:tr w14:paraId="7BE0CCBA">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791F">
            <w:pPr>
              <w:textAlignment w:val="center"/>
              <w:rPr>
                <w:rFonts w:hint="default"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90F11">
            <w:pPr>
              <w:textAlignment w:val="center"/>
              <w:rPr>
                <w:rFonts w:hint="default"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C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4,377.66</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5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1,232.80</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1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4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3,139.92</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8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D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F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9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rPr>
              <w:t xml:space="preserve"> </w:t>
            </w:r>
          </w:p>
        </w:tc>
      </w:tr>
      <w:tr w14:paraId="01287EDB">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8AE3">
            <w:pPr>
              <w:textAlignment w:val="center"/>
              <w:rPr>
                <w:rFonts w:hint="default" w:cs="宋体"/>
                <w:color w:val="000000"/>
                <w:sz w:val="20"/>
                <w:szCs w:val="20"/>
              </w:rPr>
            </w:pPr>
            <w:r>
              <w:rPr>
                <w:rFonts w:cs="宋体"/>
                <w:color w:val="000000"/>
                <w:sz w:val="20"/>
                <w:szCs w:val="20"/>
              </w:rPr>
              <w:t>2100403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08EA0">
            <w:pPr>
              <w:textAlignment w:val="center"/>
              <w:rPr>
                <w:rFonts w:hint="default" w:cs="宋体"/>
                <w:color w:val="000000"/>
                <w:sz w:val="20"/>
                <w:szCs w:val="20"/>
              </w:rPr>
            </w:pPr>
            <w:r>
              <w:rPr>
                <w:rFonts w:cs="宋体"/>
                <w:color w:val="000000"/>
                <w:sz w:val="20"/>
                <w:szCs w:val="20"/>
              </w:rPr>
              <w:t>妇幼保健机构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4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3,642.91</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E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498.05</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9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5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3,139.92</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6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6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B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E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rPr>
              <w:t xml:space="preserve"> </w:t>
            </w:r>
          </w:p>
        </w:tc>
      </w:tr>
      <w:tr w14:paraId="6003C1D8">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76BC">
            <w:pPr>
              <w:textAlignment w:val="center"/>
              <w:rPr>
                <w:rFonts w:hint="default" w:cs="宋体"/>
                <w:color w:val="000000"/>
                <w:sz w:val="20"/>
                <w:szCs w:val="20"/>
              </w:rPr>
            </w:pPr>
            <w:r>
              <w:rPr>
                <w:rFonts w:cs="宋体"/>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948D5">
            <w:pPr>
              <w:textAlignment w:val="center"/>
              <w:rPr>
                <w:rFonts w:hint="default" w:cs="宋体"/>
                <w:color w:val="000000"/>
                <w:sz w:val="20"/>
                <w:szCs w:val="20"/>
              </w:rPr>
            </w:pPr>
            <w:r>
              <w:rPr>
                <w:rFonts w:cs="宋体"/>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E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700.75</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C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700.75</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4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1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D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F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B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8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26215C">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E4A9">
            <w:pPr>
              <w:textAlignment w:val="center"/>
              <w:rPr>
                <w:rFonts w:hint="default" w:cs="宋体"/>
                <w:color w:val="000000"/>
                <w:sz w:val="20"/>
                <w:szCs w:val="20"/>
              </w:rPr>
            </w:pPr>
            <w:r>
              <w:rPr>
                <w:rFonts w:cs="宋体"/>
                <w:color w:val="000000"/>
                <w:sz w:val="20"/>
                <w:szCs w:val="20"/>
              </w:rPr>
              <w:t>2100409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C35D6">
            <w:pPr>
              <w:textAlignment w:val="center"/>
              <w:rPr>
                <w:rFonts w:hint="default" w:cs="宋体"/>
                <w:color w:val="000000"/>
                <w:sz w:val="20"/>
                <w:szCs w:val="20"/>
              </w:rPr>
            </w:pPr>
            <w:r>
              <w:rPr>
                <w:rFonts w:cs="宋体"/>
                <w:color w:val="000000"/>
                <w:sz w:val="20"/>
                <w:szCs w:val="20"/>
              </w:rPr>
              <w:t>重大公共卫生服务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7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C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E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7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D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3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1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1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8E7F66">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48D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9B61">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0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54.48</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F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54.48</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1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B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C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E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B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B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774828">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1AC2">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D3BA5">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F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30.63</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6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30.63</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A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2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3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67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9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5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B3971A">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2257">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77A91">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4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D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7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E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C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C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2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0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675214">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3677">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A1912">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C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D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5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2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1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2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7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5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3A8ADD">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E3DE">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C564E">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6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E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2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5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A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D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4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2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39C574">
        <w:tblPrEx>
          <w:tblCellMar>
            <w:top w:w="0" w:type="dxa"/>
            <w:left w:w="0" w:type="dxa"/>
            <w:bottom w:w="0" w:type="dxa"/>
            <w:right w:w="0" w:type="dxa"/>
          </w:tblCellMar>
        </w:tblPrEx>
        <w:trPr>
          <w:trHeight w:val="90" w:hRule="atLeas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EBE8">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2EFE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7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43.24</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7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43.24</w:t>
            </w:r>
            <w:r>
              <w:rPr>
                <w:rFonts w:ascii="Times New Roman" w:hAnsi="Times New Roman"/>
                <w:color w:val="000000"/>
                <w:sz w:val="20"/>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3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2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8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C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D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1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206A17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331E7545">
      <w:pPr>
        <w:rPr>
          <w:rFonts w:hint="default" w:cs="宋体"/>
          <w:sz w:val="20"/>
          <w:szCs w:val="20"/>
        </w:rPr>
      </w:pPr>
      <w:r>
        <w:rPr>
          <w:rFonts w:cs="宋体"/>
          <w:sz w:val="20"/>
          <w:szCs w:val="20"/>
        </w:rPr>
        <w:br w:type="page"/>
      </w:r>
    </w:p>
    <w:tbl>
      <w:tblPr>
        <w:tblStyle w:val="10"/>
        <w:tblW w:w="5005" w:type="pct"/>
        <w:tblInd w:w="0" w:type="dxa"/>
        <w:tblLayout w:type="fixed"/>
        <w:tblCellMar>
          <w:top w:w="0" w:type="dxa"/>
          <w:left w:w="0" w:type="dxa"/>
          <w:bottom w:w="0" w:type="dxa"/>
          <w:right w:w="0" w:type="dxa"/>
        </w:tblCellMar>
      </w:tblPr>
      <w:tblGrid>
        <w:gridCol w:w="1290"/>
        <w:gridCol w:w="3606"/>
        <w:gridCol w:w="1841"/>
        <w:gridCol w:w="1763"/>
        <w:gridCol w:w="1622"/>
        <w:gridCol w:w="1558"/>
        <w:gridCol w:w="1693"/>
        <w:gridCol w:w="1966"/>
      </w:tblGrid>
      <w:tr w14:paraId="254AE832">
        <w:tblPrEx>
          <w:tblCellMar>
            <w:top w:w="0" w:type="dxa"/>
            <w:left w:w="0" w:type="dxa"/>
            <w:bottom w:w="0" w:type="dxa"/>
            <w:right w:w="0" w:type="dxa"/>
          </w:tblCellMar>
        </w:tblPrEx>
        <w:trPr>
          <w:trHeight w:val="547"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4E309C8">
            <w:pPr>
              <w:jc w:val="center"/>
              <w:textAlignment w:val="bottom"/>
              <w:rPr>
                <w:rFonts w:hint="default" w:cs="宋体"/>
                <w:b/>
                <w:color w:val="000000"/>
                <w:sz w:val="32"/>
                <w:szCs w:val="32"/>
              </w:rPr>
            </w:pPr>
            <w:r>
              <w:rPr>
                <w:rFonts w:cs="宋体"/>
                <w:b/>
                <w:color w:val="000000"/>
                <w:sz w:val="32"/>
                <w:szCs w:val="32"/>
              </w:rPr>
              <w:t>支出决算表</w:t>
            </w:r>
          </w:p>
        </w:tc>
      </w:tr>
      <w:tr w14:paraId="00D66448">
        <w:tblPrEx>
          <w:tblCellMar>
            <w:top w:w="0" w:type="dxa"/>
            <w:left w:w="0" w:type="dxa"/>
            <w:bottom w:w="0" w:type="dxa"/>
            <w:right w:w="0" w:type="dxa"/>
          </w:tblCellMar>
        </w:tblPrEx>
        <w:trPr>
          <w:trHeight w:val="280" w:hRule="atLeast"/>
        </w:trPr>
        <w:tc>
          <w:tcPr>
            <w:tcW w:w="2196" w:type="pct"/>
            <w:gridSpan w:val="3"/>
            <w:vMerge w:val="restart"/>
            <w:tcBorders>
              <w:top w:val="nil"/>
              <w:left w:val="nil"/>
              <w:right w:val="nil"/>
            </w:tcBorders>
            <w:shd w:val="clear" w:color="auto" w:fill="auto"/>
            <w:noWrap/>
            <w:tcMar>
              <w:top w:w="15" w:type="dxa"/>
              <w:left w:w="15" w:type="dxa"/>
              <w:right w:w="15" w:type="dxa"/>
            </w:tcMar>
            <w:vAlign w:val="bottom"/>
          </w:tcPr>
          <w:p w14:paraId="3C5038F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丰都县妇幼保健院 </w:t>
            </w:r>
          </w:p>
        </w:tc>
        <w:tc>
          <w:tcPr>
            <w:tcW w:w="574" w:type="pct"/>
            <w:tcBorders>
              <w:top w:val="nil"/>
              <w:left w:val="nil"/>
              <w:bottom w:val="nil"/>
              <w:right w:val="nil"/>
            </w:tcBorders>
            <w:shd w:val="clear" w:color="auto" w:fill="auto"/>
            <w:noWrap/>
            <w:tcMar>
              <w:top w:w="15" w:type="dxa"/>
              <w:left w:w="15" w:type="dxa"/>
              <w:right w:w="15" w:type="dxa"/>
            </w:tcMar>
            <w:vAlign w:val="bottom"/>
          </w:tcPr>
          <w:p w14:paraId="0AFDE360">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E3A4B52">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454775FB">
            <w:pPr>
              <w:rPr>
                <w:rFonts w:hint="default" w:cs="宋体"/>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01C8E28A">
            <w:pPr>
              <w:rPr>
                <w:rFonts w:hint="default" w:cs="宋体"/>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14:paraId="30CAEAC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36CC504">
        <w:tblPrEx>
          <w:tblCellMar>
            <w:top w:w="0" w:type="dxa"/>
            <w:left w:w="0" w:type="dxa"/>
            <w:bottom w:w="0" w:type="dxa"/>
            <w:right w:w="0" w:type="dxa"/>
          </w:tblCellMar>
        </w:tblPrEx>
        <w:trPr>
          <w:trHeight w:val="280" w:hRule="atLeast"/>
        </w:trPr>
        <w:tc>
          <w:tcPr>
            <w:tcW w:w="2196" w:type="pct"/>
            <w:gridSpan w:val="3"/>
            <w:vMerge w:val="continue"/>
            <w:tcBorders>
              <w:left w:val="nil"/>
              <w:bottom w:val="nil"/>
              <w:right w:val="nil"/>
            </w:tcBorders>
            <w:shd w:val="clear" w:color="auto" w:fill="auto"/>
            <w:noWrap/>
            <w:tcMar>
              <w:top w:w="15" w:type="dxa"/>
              <w:left w:w="15" w:type="dxa"/>
              <w:right w:w="15" w:type="dxa"/>
            </w:tcMar>
            <w:vAlign w:val="bottom"/>
          </w:tcPr>
          <w:p w14:paraId="0F85CF5A">
            <w:pPr>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29473EC7">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C0DA417">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7457FF18">
            <w:pPr>
              <w:rPr>
                <w:rFonts w:hint="default" w:cs="宋体"/>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5C2918E0">
            <w:pPr>
              <w:rPr>
                <w:rFonts w:hint="default" w:cs="宋体"/>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14:paraId="3A80438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485682">
        <w:tblPrEx>
          <w:tblCellMar>
            <w:top w:w="0" w:type="dxa"/>
            <w:left w:w="0" w:type="dxa"/>
            <w:bottom w:w="0" w:type="dxa"/>
            <w:right w:w="0" w:type="dxa"/>
          </w:tblCellMar>
        </w:tblPrEx>
        <w:trPr>
          <w:trHeight w:val="310"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03729E">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21FF9">
            <w:pPr>
              <w:jc w:val="center"/>
              <w:textAlignment w:val="center"/>
              <w:rPr>
                <w:rFonts w:hint="default" w:cs="宋体"/>
                <w:b/>
                <w:color w:val="000000"/>
                <w:sz w:val="20"/>
                <w:szCs w:val="20"/>
              </w:rPr>
            </w:pPr>
            <w:r>
              <w:rPr>
                <w:rFonts w:cs="宋体"/>
                <w:b/>
                <w:color w:val="000000"/>
                <w:sz w:val="20"/>
                <w:szCs w:val="20"/>
              </w:rPr>
              <w:t>本年支出合计</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0F498">
            <w:pPr>
              <w:jc w:val="center"/>
              <w:textAlignment w:val="center"/>
              <w:rPr>
                <w:rFonts w:hint="default" w:cs="宋体"/>
                <w:b/>
                <w:color w:val="000000"/>
                <w:sz w:val="20"/>
                <w:szCs w:val="20"/>
              </w:rPr>
            </w:pPr>
            <w:r>
              <w:rPr>
                <w:rFonts w:cs="宋体"/>
                <w:b/>
                <w:color w:val="000000"/>
                <w:sz w:val="20"/>
                <w:szCs w:val="20"/>
              </w:rPr>
              <w:t>基本支出</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C11D">
            <w:pPr>
              <w:jc w:val="center"/>
              <w:textAlignment w:val="center"/>
              <w:rPr>
                <w:rFonts w:hint="default" w:cs="宋体"/>
                <w:b/>
                <w:color w:val="000000"/>
                <w:sz w:val="20"/>
                <w:szCs w:val="20"/>
              </w:rPr>
            </w:pPr>
            <w:r>
              <w:rPr>
                <w:rFonts w:cs="宋体"/>
                <w:b/>
                <w:color w:val="000000"/>
                <w:sz w:val="20"/>
                <w:szCs w:val="20"/>
              </w:rPr>
              <w:t>项目支出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60A6A">
            <w:pPr>
              <w:jc w:val="center"/>
              <w:textAlignment w:val="center"/>
              <w:rPr>
                <w:rFonts w:hint="default" w:cs="宋体"/>
                <w:b/>
                <w:color w:val="000000"/>
                <w:sz w:val="20"/>
                <w:szCs w:val="20"/>
              </w:rPr>
            </w:pPr>
            <w:r>
              <w:rPr>
                <w:rFonts w:cs="宋体"/>
                <w:b/>
                <w:color w:val="000000"/>
                <w:sz w:val="20"/>
                <w:szCs w:val="20"/>
              </w:rPr>
              <w:t>上缴上级支出</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482E4">
            <w:pPr>
              <w:jc w:val="center"/>
              <w:textAlignment w:val="center"/>
              <w:rPr>
                <w:rFonts w:hint="default" w:cs="宋体"/>
                <w:b/>
                <w:color w:val="000000"/>
                <w:sz w:val="20"/>
                <w:szCs w:val="20"/>
              </w:rPr>
            </w:pPr>
            <w:r>
              <w:rPr>
                <w:rFonts w:cs="宋体"/>
                <w:b/>
                <w:color w:val="000000"/>
                <w:sz w:val="20"/>
                <w:szCs w:val="20"/>
              </w:rPr>
              <w:t>经营支出</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B926B">
            <w:pPr>
              <w:jc w:val="center"/>
              <w:textAlignment w:val="center"/>
              <w:rPr>
                <w:rFonts w:hint="default" w:cs="宋体"/>
                <w:b/>
                <w:color w:val="000000"/>
                <w:sz w:val="20"/>
                <w:szCs w:val="20"/>
              </w:rPr>
            </w:pPr>
            <w:r>
              <w:rPr>
                <w:rFonts w:cs="宋体"/>
                <w:b/>
                <w:color w:val="000000"/>
                <w:sz w:val="20"/>
                <w:szCs w:val="20"/>
              </w:rPr>
              <w:t>对附属单位补助支出</w:t>
            </w:r>
          </w:p>
        </w:tc>
      </w:tr>
      <w:tr w14:paraId="12B1EFFA">
        <w:tblPrEx>
          <w:tblCellMar>
            <w:top w:w="0" w:type="dxa"/>
            <w:left w:w="0" w:type="dxa"/>
            <w:bottom w:w="0" w:type="dxa"/>
            <w:right w:w="0" w:type="dxa"/>
          </w:tblCellMar>
        </w:tblPrEx>
        <w:trPr>
          <w:trHeight w:val="312" w:hRule="atLeast"/>
        </w:trPr>
        <w:tc>
          <w:tcPr>
            <w:tcW w:w="42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698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725093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09C1">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290F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1BC16">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8E62">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BB43">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43A96">
            <w:pPr>
              <w:jc w:val="center"/>
              <w:rPr>
                <w:rFonts w:hint="default" w:cs="宋体"/>
                <w:b/>
                <w:color w:val="000000"/>
                <w:sz w:val="20"/>
                <w:szCs w:val="20"/>
              </w:rPr>
            </w:pPr>
          </w:p>
        </w:tc>
      </w:tr>
      <w:tr w14:paraId="723BB6B4">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367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D8713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7AD5F">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0457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B818D">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3A7F8">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97A58">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09A9D">
            <w:pPr>
              <w:jc w:val="center"/>
              <w:rPr>
                <w:rFonts w:hint="default" w:cs="宋体"/>
                <w:b/>
                <w:color w:val="000000"/>
                <w:sz w:val="20"/>
                <w:szCs w:val="20"/>
              </w:rPr>
            </w:pPr>
          </w:p>
        </w:tc>
      </w:tr>
      <w:tr w14:paraId="6D35E50E">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037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6A1B6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F6E74">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0FB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6F400">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3CB56">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A7CB4">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3A2E5">
            <w:pPr>
              <w:jc w:val="center"/>
              <w:rPr>
                <w:rFonts w:hint="default" w:cs="宋体"/>
                <w:b/>
                <w:color w:val="000000"/>
                <w:sz w:val="20"/>
                <w:szCs w:val="20"/>
              </w:rPr>
            </w:pPr>
          </w:p>
        </w:tc>
      </w:tr>
      <w:tr w14:paraId="6F5B6996">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51F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C3F18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E882">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108D2">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B916">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1147B">
            <w:pPr>
              <w:jc w:val="center"/>
              <w:rPr>
                <w:rFonts w:hint="default" w:cs="宋体"/>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4E9CA">
            <w:pPr>
              <w:jc w:val="center"/>
              <w:rPr>
                <w:rFonts w:hint="default" w:cs="宋体"/>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E8ED">
            <w:pPr>
              <w:jc w:val="center"/>
              <w:rPr>
                <w:rFonts w:hint="default" w:cs="宋体"/>
                <w:b/>
                <w:color w:val="000000"/>
                <w:sz w:val="20"/>
                <w:szCs w:val="20"/>
              </w:rPr>
            </w:pPr>
          </w:p>
        </w:tc>
      </w:tr>
      <w:tr w14:paraId="4D496396">
        <w:tblPrEx>
          <w:tblCellMar>
            <w:top w:w="0" w:type="dxa"/>
            <w:left w:w="0" w:type="dxa"/>
            <w:bottom w:w="0" w:type="dxa"/>
            <w:right w:w="0" w:type="dxa"/>
          </w:tblCellMar>
        </w:tblPrEx>
        <w:trPr>
          <w:trHeight w:val="310"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9D15">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19C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4,725.94</w:t>
            </w:r>
            <w:r>
              <w:rPr>
                <w:rFonts w:ascii="Times New Roman" w:hAnsi="Times New Roman"/>
                <w:b/>
                <w:color w:val="000000"/>
                <w:sz w:val="20"/>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12B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3,812.98</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A5D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912.97</w:t>
            </w:r>
            <w:r>
              <w:rPr>
                <w:rFonts w:ascii="Times New Roman" w:hAnsi="Times New Roman"/>
                <w:b/>
                <w:color w:val="000000"/>
                <w:sz w:val="20"/>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4D2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72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FF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D2C641E">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9AB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0A8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5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6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5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6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5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C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FE15E1">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83E0">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E8B7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9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E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E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8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2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8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24A5D6">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E949">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8D946">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3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5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B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2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3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7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883EF1">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58E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1593D">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3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87.34</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F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87.34</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5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E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3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E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E2306B">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494B">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01D9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0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8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D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B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6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5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7B86B7">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AAC5">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C7072">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8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120.10</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5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4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6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2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E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01E338">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9D5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39FE6">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B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4,432.14</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A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3,519.17</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5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912.97</w:t>
            </w:r>
            <w:r>
              <w:rPr>
                <w:rFonts w:ascii="Times New Roman" w:hAnsi="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0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9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A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E22484">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7E29">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DB543">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2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4,377.66</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B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3,464.70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C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912.97</w:t>
            </w:r>
            <w:r>
              <w:rPr>
                <w:rFonts w:ascii="Times New Roman" w:hAnsi="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5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3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8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4D40C4">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DC3A">
            <w:pPr>
              <w:textAlignment w:val="center"/>
              <w:rPr>
                <w:rFonts w:hint="default" w:cs="宋体"/>
                <w:color w:val="000000"/>
                <w:sz w:val="20"/>
                <w:szCs w:val="20"/>
              </w:rPr>
            </w:pPr>
            <w:r>
              <w:rPr>
                <w:rFonts w:cs="宋体"/>
                <w:color w:val="000000"/>
                <w:sz w:val="20"/>
                <w:szCs w:val="20"/>
              </w:rPr>
              <w:t>2100403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7BAED">
            <w:pPr>
              <w:textAlignment w:val="center"/>
              <w:rPr>
                <w:rFonts w:hint="default" w:cs="宋体"/>
                <w:color w:val="000000"/>
                <w:sz w:val="20"/>
                <w:szCs w:val="20"/>
              </w:rPr>
            </w:pPr>
            <w:r>
              <w:rPr>
                <w:rFonts w:cs="宋体"/>
                <w:color w:val="000000"/>
                <w:sz w:val="20"/>
                <w:szCs w:val="20"/>
              </w:rPr>
              <w:t>妇幼保健机构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4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3,642.91</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C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3,464.70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F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178.22</w:t>
            </w:r>
            <w:r>
              <w:rPr>
                <w:rFonts w:ascii="Times New Roman" w:hAnsi="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2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4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6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F02126">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EA8D">
            <w:pPr>
              <w:textAlignment w:val="center"/>
              <w:rPr>
                <w:rFonts w:hint="default"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65382">
            <w:pPr>
              <w:textAlignment w:val="center"/>
              <w:rPr>
                <w:rFonts w:hint="default"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5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700.75</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AE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2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700.75</w:t>
            </w:r>
            <w:r>
              <w:rPr>
                <w:rFonts w:ascii="Times New Roman" w:hAnsi="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B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7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A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DFBB1B">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8A75">
            <w:pPr>
              <w:textAlignment w:val="center"/>
              <w:rPr>
                <w:rFonts w:hint="default" w:cs="宋体"/>
                <w:color w:val="000000"/>
                <w:sz w:val="20"/>
                <w:szCs w:val="20"/>
              </w:rPr>
            </w:pPr>
            <w:r>
              <w:rPr>
                <w:rFonts w:cs="宋体"/>
                <w:color w:val="000000"/>
                <w:sz w:val="20"/>
                <w:szCs w:val="20"/>
              </w:rPr>
              <w:t>2100409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19280">
            <w:pPr>
              <w:textAlignment w:val="center"/>
              <w:rPr>
                <w:rFonts w:hint="default" w:cs="宋体"/>
                <w:color w:val="000000"/>
                <w:sz w:val="20"/>
                <w:szCs w:val="20"/>
              </w:rPr>
            </w:pPr>
            <w:r>
              <w:rPr>
                <w:rFonts w:cs="宋体"/>
                <w:color w:val="000000"/>
                <w:sz w:val="20"/>
                <w:szCs w:val="20"/>
              </w:rPr>
              <w:t>重大公共卫生服务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A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1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A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3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E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8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447554">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923C">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A538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4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54.48</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D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54.48</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9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3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6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7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CD06A1">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8EBD">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F504F">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A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30.63</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B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30.63</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8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C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D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C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D21DD3">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F493">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C2AE1">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9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D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A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3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7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7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AC7978">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7ECB">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7D8AE">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2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D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D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E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6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D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B2181F">
        <w:tblPrEx>
          <w:tblCellMar>
            <w:top w:w="0" w:type="dxa"/>
            <w:left w:w="0" w:type="dxa"/>
            <w:bottom w:w="0" w:type="dxa"/>
            <w:right w:w="0" w:type="dxa"/>
          </w:tblCellMar>
        </w:tblPrEx>
        <w:trPr>
          <w:trHeight w:val="3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1EB0">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B60A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D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F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5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7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C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8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1EA5EC">
        <w:tblPrEx>
          <w:tblCellMar>
            <w:top w:w="0" w:type="dxa"/>
            <w:left w:w="0" w:type="dxa"/>
            <w:bottom w:w="0" w:type="dxa"/>
            <w:right w:w="0" w:type="dxa"/>
          </w:tblCellMar>
        </w:tblPrEx>
        <w:trPr>
          <w:trHeight w:val="347"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44DE">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ED3F3">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A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43.24</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B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43.24</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4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0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2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8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D46FD8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323A77">
      <w:pPr>
        <w:rPr>
          <w:rFonts w:hint="default" w:cs="宋体"/>
          <w:sz w:val="21"/>
          <w:szCs w:val="21"/>
        </w:rPr>
      </w:pPr>
      <w:r>
        <w:rPr>
          <w:rFonts w:cs="宋体"/>
          <w:sz w:val="21"/>
          <w:szCs w:val="21"/>
        </w:rPr>
        <w:br w:type="page"/>
      </w:r>
    </w:p>
    <w:tbl>
      <w:tblPr>
        <w:tblStyle w:val="10"/>
        <w:tblW w:w="4907" w:type="pct"/>
        <w:tblInd w:w="0" w:type="dxa"/>
        <w:tblLayout w:type="autofit"/>
        <w:tblCellMar>
          <w:top w:w="0" w:type="dxa"/>
          <w:left w:w="0" w:type="dxa"/>
          <w:bottom w:w="0" w:type="dxa"/>
          <w:right w:w="0" w:type="dxa"/>
        </w:tblCellMar>
      </w:tblPr>
      <w:tblGrid>
        <w:gridCol w:w="3028"/>
        <w:gridCol w:w="1558"/>
        <w:gridCol w:w="3257"/>
        <w:gridCol w:w="1726"/>
        <w:gridCol w:w="1726"/>
        <w:gridCol w:w="1726"/>
        <w:gridCol w:w="2016"/>
      </w:tblGrid>
      <w:tr w14:paraId="46583391">
        <w:tblPrEx>
          <w:tblCellMar>
            <w:top w:w="0" w:type="dxa"/>
            <w:left w:w="0" w:type="dxa"/>
            <w:bottom w:w="0" w:type="dxa"/>
            <w:right w:w="0" w:type="dxa"/>
          </w:tblCellMar>
        </w:tblPrEx>
        <w:trPr>
          <w:trHeight w:val="365"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3E1D77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CA61360">
        <w:tblPrEx>
          <w:tblCellMar>
            <w:top w:w="0" w:type="dxa"/>
            <w:left w:w="0" w:type="dxa"/>
            <w:bottom w:w="0" w:type="dxa"/>
            <w:right w:w="0" w:type="dxa"/>
          </w:tblCellMar>
        </w:tblPrEx>
        <w:trPr>
          <w:trHeight w:val="242" w:hRule="atLeast"/>
        </w:trPr>
        <w:tc>
          <w:tcPr>
            <w:tcW w:w="2608" w:type="pct"/>
            <w:gridSpan w:val="3"/>
            <w:vMerge w:val="restart"/>
            <w:tcBorders>
              <w:top w:val="nil"/>
              <w:left w:val="nil"/>
              <w:right w:val="nil"/>
            </w:tcBorders>
            <w:shd w:val="clear" w:color="auto" w:fill="auto"/>
            <w:noWrap/>
            <w:tcMar>
              <w:top w:w="15" w:type="dxa"/>
              <w:left w:w="15" w:type="dxa"/>
              <w:right w:w="15" w:type="dxa"/>
            </w:tcMar>
            <w:vAlign w:val="bottom"/>
          </w:tcPr>
          <w:p w14:paraId="52175F2F">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丰都县妇幼保健院</w:t>
            </w:r>
          </w:p>
        </w:tc>
        <w:tc>
          <w:tcPr>
            <w:tcW w:w="574" w:type="pct"/>
            <w:tcBorders>
              <w:top w:val="nil"/>
              <w:left w:val="nil"/>
              <w:bottom w:val="nil"/>
              <w:right w:val="nil"/>
            </w:tcBorders>
            <w:shd w:val="clear" w:color="auto" w:fill="auto"/>
            <w:noWrap/>
            <w:tcMar>
              <w:top w:w="15" w:type="dxa"/>
              <w:left w:w="15" w:type="dxa"/>
              <w:right w:w="15" w:type="dxa"/>
            </w:tcMar>
            <w:vAlign w:val="bottom"/>
          </w:tcPr>
          <w:p w14:paraId="225A29DE">
            <w:pPr>
              <w:spacing w:line="200" w:lineRule="exact"/>
              <w:rPr>
                <w:rFonts w:hint="default" w:cs="宋体"/>
                <w:color w:val="000000"/>
                <w:sz w:val="18"/>
                <w:szCs w:val="18"/>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06B27FEA">
            <w:pPr>
              <w:spacing w:line="200" w:lineRule="exact"/>
              <w:rPr>
                <w:rFonts w:hint="default" w:cs="宋体"/>
                <w:color w:val="000000"/>
                <w:sz w:val="18"/>
                <w:szCs w:val="18"/>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5EDCB1A3">
            <w:pPr>
              <w:spacing w:line="200" w:lineRule="exact"/>
              <w:rPr>
                <w:rFonts w:hint="default" w:cs="宋体"/>
                <w:color w:val="000000"/>
                <w:sz w:val="18"/>
                <w:szCs w:val="18"/>
              </w:rPr>
            </w:pPr>
          </w:p>
        </w:tc>
        <w:tc>
          <w:tcPr>
            <w:tcW w:w="666" w:type="pct"/>
            <w:tcBorders>
              <w:top w:val="nil"/>
              <w:left w:val="nil"/>
              <w:bottom w:val="nil"/>
              <w:right w:val="nil"/>
            </w:tcBorders>
            <w:shd w:val="clear" w:color="auto" w:fill="auto"/>
            <w:noWrap/>
            <w:tcMar>
              <w:top w:w="15" w:type="dxa"/>
              <w:left w:w="15" w:type="dxa"/>
              <w:right w:w="15" w:type="dxa"/>
            </w:tcMar>
            <w:vAlign w:val="bottom"/>
          </w:tcPr>
          <w:p w14:paraId="6CDC92D8">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4C096F1">
        <w:tblPrEx>
          <w:tblCellMar>
            <w:top w:w="0" w:type="dxa"/>
            <w:left w:w="0" w:type="dxa"/>
            <w:bottom w:w="0" w:type="dxa"/>
            <w:right w:w="0" w:type="dxa"/>
          </w:tblCellMar>
        </w:tblPrEx>
        <w:trPr>
          <w:trHeight w:val="242" w:hRule="atLeast"/>
        </w:trPr>
        <w:tc>
          <w:tcPr>
            <w:tcW w:w="2608" w:type="pct"/>
            <w:gridSpan w:val="3"/>
            <w:vMerge w:val="continue"/>
            <w:tcBorders>
              <w:left w:val="nil"/>
              <w:bottom w:val="nil"/>
              <w:right w:val="nil"/>
            </w:tcBorders>
            <w:shd w:val="clear" w:color="auto" w:fill="auto"/>
            <w:noWrap/>
            <w:tcMar>
              <w:top w:w="15" w:type="dxa"/>
              <w:left w:w="15" w:type="dxa"/>
              <w:right w:w="15" w:type="dxa"/>
            </w:tcMar>
            <w:vAlign w:val="bottom"/>
          </w:tcPr>
          <w:p w14:paraId="0F9B6F1A">
            <w:pPr>
              <w:spacing w:line="200" w:lineRule="exact"/>
              <w:rPr>
                <w:rFonts w:hint="default" w:cs="宋体"/>
                <w:color w:val="000000"/>
                <w:sz w:val="18"/>
                <w:szCs w:val="18"/>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0EB49885">
            <w:pPr>
              <w:spacing w:line="200" w:lineRule="exact"/>
              <w:rPr>
                <w:rFonts w:hint="default" w:cs="宋体"/>
                <w:color w:val="000000"/>
                <w:sz w:val="18"/>
                <w:szCs w:val="18"/>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37D95795">
            <w:pPr>
              <w:spacing w:line="200" w:lineRule="exact"/>
              <w:rPr>
                <w:rFonts w:hint="default" w:cs="宋体"/>
                <w:color w:val="000000"/>
                <w:sz w:val="18"/>
                <w:szCs w:val="18"/>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50399A80">
            <w:pPr>
              <w:spacing w:line="200" w:lineRule="exact"/>
              <w:rPr>
                <w:rFonts w:hint="default" w:cs="宋体"/>
                <w:color w:val="000000"/>
                <w:sz w:val="18"/>
                <w:szCs w:val="18"/>
              </w:rPr>
            </w:pPr>
          </w:p>
        </w:tc>
        <w:tc>
          <w:tcPr>
            <w:tcW w:w="666" w:type="pct"/>
            <w:tcBorders>
              <w:top w:val="nil"/>
              <w:left w:val="nil"/>
              <w:bottom w:val="nil"/>
              <w:right w:val="nil"/>
            </w:tcBorders>
            <w:shd w:val="clear" w:color="auto" w:fill="auto"/>
            <w:noWrap/>
            <w:tcMar>
              <w:top w:w="15" w:type="dxa"/>
              <w:left w:w="15" w:type="dxa"/>
              <w:right w:w="15" w:type="dxa"/>
            </w:tcMar>
            <w:vAlign w:val="bottom"/>
          </w:tcPr>
          <w:p w14:paraId="3DD5E3E2">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D05A04">
        <w:tblPrEx>
          <w:tblCellMar>
            <w:top w:w="0" w:type="dxa"/>
            <w:left w:w="0" w:type="dxa"/>
            <w:bottom w:w="0" w:type="dxa"/>
            <w:right w:w="0" w:type="dxa"/>
          </w:tblCellMar>
        </w:tblPrEx>
        <w:trPr>
          <w:trHeight w:val="218" w:hRule="atLeast"/>
        </w:trPr>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591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3F3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D343BC6">
        <w:tblPrEx>
          <w:tblCellMar>
            <w:top w:w="0" w:type="dxa"/>
            <w:left w:w="0" w:type="dxa"/>
            <w:bottom w:w="0" w:type="dxa"/>
            <w:right w:w="0" w:type="dxa"/>
          </w:tblCellMar>
        </w:tblPrEx>
        <w:trPr>
          <w:trHeight w:val="218" w:hRule="atLeast"/>
        </w:trPr>
        <w:tc>
          <w:tcPr>
            <w:tcW w:w="10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030E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A40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6D61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91"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4D7E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8882D47">
        <w:tblPrEx>
          <w:tblCellMar>
            <w:top w:w="0" w:type="dxa"/>
            <w:left w:w="0" w:type="dxa"/>
            <w:bottom w:w="0" w:type="dxa"/>
            <w:right w:w="0" w:type="dxa"/>
          </w:tblCellMar>
        </w:tblPrEx>
        <w:trPr>
          <w:trHeight w:val="374" w:hRule="atLeast"/>
        </w:trPr>
        <w:tc>
          <w:tcPr>
            <w:tcW w:w="10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1F44">
            <w:pPr>
              <w:spacing w:line="200" w:lineRule="exact"/>
              <w:jc w:val="center"/>
              <w:rPr>
                <w:rFonts w:hint="default" w:cs="宋体"/>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2C4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B4691">
            <w:pPr>
              <w:spacing w:line="200" w:lineRule="exact"/>
              <w:jc w:val="center"/>
              <w:rPr>
                <w:rFonts w:hint="default" w:cs="宋体"/>
                <w:b/>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5C3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519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EA0C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B96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C3C097D">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5DB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D5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594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C6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E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0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62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597979">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2F3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DE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733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A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4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F7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80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5D1996">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E65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DC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344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C7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6E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6F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08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B78256">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E8A6">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24582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DA4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9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4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27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80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95751C">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051B">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70C13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62F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3C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00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7D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9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F38DF2">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BA05">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5F6C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E98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B8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5A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42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2D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34F9D7">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FAD1">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FEF5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39E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9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12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4A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91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D3650A">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E383">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21415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A53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59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250.56</w:t>
            </w: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6E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250.56</w:t>
            </w: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3A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5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3E97DC">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CF12">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02448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054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EF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1,287.28</w:t>
            </w: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5C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1,287.28</w:t>
            </w: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D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3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4500CA">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2082">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20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3FB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A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59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E9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DA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4E3E49">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65B4">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6F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44C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9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1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D4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2C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6A6A24">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130D">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74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695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B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90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FC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3C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3B2668">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B7E0">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2F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922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6B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8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60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B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1E6D1E">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83F0">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48C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F34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28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4F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54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F3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1886DC">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C47C">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8B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D37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8C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ED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6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6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E9CA6D">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A26D">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59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2F2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9D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55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83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E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654B0C">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A637">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4E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A7C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5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5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8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4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97507D">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1742">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AF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A91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C1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17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DB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FB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092EA0">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973E">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2C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E85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27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43.24</w:t>
            </w: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6B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43.24</w:t>
            </w: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25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97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454CC8">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70D8">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E8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86B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C2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B3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A1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AC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03B4A0">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1C92">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25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88A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61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FD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3B2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8D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3AF168">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80BD">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FA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D1D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77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D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01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5F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3E28AC">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91CD">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759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3B1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BF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14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3A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60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5708E0">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E8A4FB">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84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40F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E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6C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F4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69428B">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CA3397">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02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8B4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0E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014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76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1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B8DB7B">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3AC7CF">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E5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D999">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A4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4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30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FB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F33FB0">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E9C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51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008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0F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1,581.08</w:t>
            </w: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E4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1,581.08</w:t>
            </w: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C50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01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254A9F">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A43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2B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4D1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2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44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D4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E0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E27124">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5BB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97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58CE56">
            <w:pPr>
              <w:spacing w:line="200" w:lineRule="exact"/>
              <w:rPr>
                <w:rFonts w:hint="default" w:cs="宋体"/>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8AD84E">
            <w:pPr>
              <w:spacing w:line="200" w:lineRule="exact"/>
              <w:rPr>
                <w:rFonts w:hint="default" w:ascii="Times New Roman" w:hAnsi="Times New Roman"/>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5E9F3">
            <w:pPr>
              <w:spacing w:line="200" w:lineRule="exact"/>
              <w:rPr>
                <w:rFonts w:hint="default" w:ascii="Times New Roman" w:hAnsi="Times New Roman"/>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94114D">
            <w:pPr>
              <w:spacing w:line="200" w:lineRule="exact"/>
              <w:rPr>
                <w:rFonts w:hint="default" w:ascii="Times New Roman" w:hAnsi="Times New Roman"/>
                <w:color w:val="000000"/>
                <w:sz w:val="18"/>
                <w:szCs w:val="18"/>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641F96">
            <w:pPr>
              <w:spacing w:line="200" w:lineRule="exact"/>
              <w:rPr>
                <w:rFonts w:hint="default" w:ascii="Times New Roman" w:hAnsi="Times New Roman"/>
                <w:color w:val="000000"/>
                <w:sz w:val="18"/>
                <w:szCs w:val="18"/>
              </w:rPr>
            </w:pPr>
          </w:p>
        </w:tc>
      </w:tr>
      <w:tr w14:paraId="465650B8">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464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74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78DC">
            <w:pPr>
              <w:spacing w:line="200" w:lineRule="exact"/>
              <w:jc w:val="center"/>
              <w:rPr>
                <w:rFonts w:hint="default" w:cs="宋体"/>
                <w:b/>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9F1B">
            <w:pPr>
              <w:spacing w:line="200" w:lineRule="exact"/>
              <w:jc w:val="right"/>
              <w:rPr>
                <w:rFonts w:hint="default" w:ascii="Times New Roman" w:hAnsi="Times New Roman"/>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622B">
            <w:pPr>
              <w:spacing w:line="200" w:lineRule="exact"/>
              <w:jc w:val="right"/>
              <w:rPr>
                <w:rFonts w:hint="default" w:ascii="Times New Roman" w:hAnsi="Times New Roman"/>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7DC4">
            <w:pPr>
              <w:spacing w:line="200" w:lineRule="exact"/>
              <w:jc w:val="right"/>
              <w:rPr>
                <w:rFonts w:hint="default" w:ascii="Times New Roman" w:hAnsi="Times New Roman"/>
                <w:color w:val="000000"/>
                <w:sz w:val="18"/>
                <w:szCs w:val="18"/>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12E6">
            <w:pPr>
              <w:spacing w:line="200" w:lineRule="exact"/>
              <w:jc w:val="right"/>
              <w:rPr>
                <w:rFonts w:hint="default" w:ascii="Times New Roman" w:hAnsi="Times New Roman"/>
                <w:color w:val="000000"/>
                <w:sz w:val="18"/>
                <w:szCs w:val="18"/>
              </w:rPr>
            </w:pPr>
          </w:p>
        </w:tc>
      </w:tr>
      <w:tr w14:paraId="52354206">
        <w:tblPrEx>
          <w:tblCellMar>
            <w:top w:w="0" w:type="dxa"/>
            <w:left w:w="0" w:type="dxa"/>
            <w:bottom w:w="0" w:type="dxa"/>
            <w:right w:w="0" w:type="dxa"/>
          </w:tblCellMar>
        </w:tblPrEx>
        <w:trPr>
          <w:trHeight w:val="21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F9A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08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7629">
            <w:pPr>
              <w:spacing w:line="200" w:lineRule="exact"/>
              <w:jc w:val="center"/>
              <w:rPr>
                <w:rFonts w:hint="default" w:cs="宋体"/>
                <w:b/>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F20A">
            <w:pPr>
              <w:spacing w:line="200" w:lineRule="exact"/>
              <w:jc w:val="right"/>
              <w:rPr>
                <w:rFonts w:hint="default" w:ascii="Times New Roman" w:hAnsi="Times New Roman"/>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EF32">
            <w:pPr>
              <w:spacing w:line="200" w:lineRule="exact"/>
              <w:jc w:val="right"/>
              <w:rPr>
                <w:rFonts w:hint="default" w:ascii="Times New Roman" w:hAnsi="Times New Roman"/>
                <w:color w:val="000000"/>
                <w:sz w:val="18"/>
                <w:szCs w:val="18"/>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F7F9">
            <w:pPr>
              <w:spacing w:line="200" w:lineRule="exact"/>
              <w:jc w:val="right"/>
              <w:rPr>
                <w:rFonts w:hint="default" w:ascii="Times New Roman" w:hAnsi="Times New Roman"/>
                <w:color w:val="000000"/>
                <w:sz w:val="18"/>
                <w:szCs w:val="18"/>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2C76">
            <w:pPr>
              <w:spacing w:line="200" w:lineRule="exact"/>
              <w:jc w:val="right"/>
              <w:rPr>
                <w:rFonts w:hint="default" w:ascii="Times New Roman" w:hAnsi="Times New Roman"/>
                <w:color w:val="000000"/>
                <w:sz w:val="18"/>
                <w:szCs w:val="18"/>
              </w:rPr>
            </w:pPr>
          </w:p>
        </w:tc>
      </w:tr>
      <w:tr w14:paraId="1F94E30E">
        <w:tblPrEx>
          <w:tblCellMar>
            <w:top w:w="0" w:type="dxa"/>
            <w:left w:w="0" w:type="dxa"/>
            <w:bottom w:w="0" w:type="dxa"/>
            <w:right w:w="0" w:type="dxa"/>
          </w:tblCellMar>
        </w:tblPrEx>
        <w:trPr>
          <w:trHeight w:val="248"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BE3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E1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F11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9A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1,581.08</w:t>
            </w: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57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1,581.08</w:t>
            </w:r>
            <w:r>
              <w:rPr>
                <w:rFonts w:ascii="Times New Roman" w:hAnsi="Times New Roman"/>
                <w:color w:val="000000"/>
                <w:sz w:val="18"/>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FC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E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4FAF92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6305BD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7BC781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41B904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7D8CA9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丰都县妇幼保健院</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BA6C96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AEB890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2B1FCB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9BA4F7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C9EC5F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FE6A37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E98E6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B0E8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CFDA6E">
            <w:pPr>
              <w:jc w:val="center"/>
              <w:textAlignment w:val="center"/>
              <w:rPr>
                <w:rFonts w:hint="default" w:cs="宋体"/>
                <w:b/>
                <w:color w:val="000000"/>
                <w:sz w:val="20"/>
                <w:szCs w:val="20"/>
              </w:rPr>
            </w:pPr>
            <w:r>
              <w:rPr>
                <w:rFonts w:cs="宋体"/>
                <w:b/>
                <w:color w:val="000000"/>
                <w:sz w:val="20"/>
                <w:szCs w:val="20"/>
              </w:rPr>
              <w:t>本年支出</w:t>
            </w:r>
          </w:p>
        </w:tc>
      </w:tr>
      <w:tr w14:paraId="2B29C14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13A4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12A3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5B25D">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DB88A">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9C1E1">
            <w:pPr>
              <w:jc w:val="center"/>
              <w:textAlignment w:val="center"/>
              <w:rPr>
                <w:rFonts w:hint="default" w:cs="宋体"/>
                <w:b/>
                <w:color w:val="000000"/>
                <w:sz w:val="20"/>
                <w:szCs w:val="20"/>
              </w:rPr>
            </w:pPr>
            <w:r>
              <w:rPr>
                <w:rFonts w:cs="宋体"/>
                <w:b/>
                <w:color w:val="000000"/>
                <w:sz w:val="20"/>
                <w:szCs w:val="20"/>
              </w:rPr>
              <w:t>项目支出</w:t>
            </w:r>
          </w:p>
        </w:tc>
      </w:tr>
      <w:tr w14:paraId="7A92BDD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973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F5B8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6E62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A4D9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7806B">
            <w:pPr>
              <w:jc w:val="center"/>
              <w:rPr>
                <w:rFonts w:hint="default" w:cs="宋体"/>
                <w:b/>
                <w:color w:val="000000"/>
                <w:sz w:val="20"/>
                <w:szCs w:val="20"/>
              </w:rPr>
            </w:pPr>
          </w:p>
        </w:tc>
      </w:tr>
      <w:tr w14:paraId="5168025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E66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1E84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E2C3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ACBF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FD8C7">
            <w:pPr>
              <w:jc w:val="center"/>
              <w:rPr>
                <w:rFonts w:hint="default" w:cs="宋体"/>
                <w:b/>
                <w:color w:val="000000"/>
                <w:sz w:val="20"/>
                <w:szCs w:val="20"/>
              </w:rPr>
            </w:pPr>
          </w:p>
        </w:tc>
      </w:tr>
      <w:tr w14:paraId="666B3D4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0C9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834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1,581.08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060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846.33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D7E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734.75</w:t>
            </w:r>
            <w:r>
              <w:rPr>
                <w:rFonts w:ascii="Times New Roman" w:hAnsi="Times New Roman"/>
                <w:b/>
                <w:color w:val="000000"/>
                <w:sz w:val="20"/>
              </w:rPr>
              <w:t xml:space="preserve"> </w:t>
            </w:r>
          </w:p>
        </w:tc>
      </w:tr>
      <w:tr w14:paraId="7FC2D9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8B4E">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8E07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894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E9F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7CF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3B80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151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19FA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69C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4E3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135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15B1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ACC1">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88F2C">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E8F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1A8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A50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EA41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851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C6B3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51C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F20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387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7016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5DE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18CC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AF6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12C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35F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E672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8DB7">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2838B">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E4E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E85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120.10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542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A3BC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1E0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0F7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4C8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1,287.28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559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552.53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44E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734.75</w:t>
            </w:r>
            <w:r>
              <w:rPr>
                <w:rFonts w:ascii="Times New Roman" w:hAnsi="Times New Roman"/>
                <w:b/>
                <w:color w:val="000000"/>
                <w:sz w:val="20"/>
              </w:rPr>
              <w:t xml:space="preserve"> </w:t>
            </w:r>
          </w:p>
        </w:tc>
      </w:tr>
      <w:tr w14:paraId="256F0D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0FA9">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085C3">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A05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287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D84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734.75</w:t>
            </w:r>
            <w:r>
              <w:rPr>
                <w:rFonts w:ascii="Times New Roman" w:hAnsi="Times New Roman"/>
                <w:b/>
                <w:color w:val="000000"/>
                <w:sz w:val="20"/>
              </w:rPr>
              <w:t xml:space="preserve"> </w:t>
            </w:r>
          </w:p>
        </w:tc>
      </w:tr>
      <w:tr w14:paraId="40A575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1DE7">
            <w:pPr>
              <w:textAlignment w:val="center"/>
              <w:rPr>
                <w:rFonts w:hint="default" w:cs="宋体"/>
                <w:color w:val="000000"/>
                <w:sz w:val="20"/>
                <w:szCs w:val="20"/>
              </w:rPr>
            </w:pPr>
            <w:r>
              <w:rPr>
                <w:rFonts w:cs="宋体"/>
                <w:color w:val="000000"/>
                <w:sz w:val="20"/>
                <w:szCs w:val="20"/>
              </w:rPr>
              <w:t>2100403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E2BA5">
            <w:pPr>
              <w:textAlignment w:val="center"/>
              <w:rPr>
                <w:rFonts w:hint="default" w:cs="宋体"/>
                <w:color w:val="000000"/>
                <w:sz w:val="20"/>
                <w:szCs w:val="20"/>
              </w:rPr>
            </w:pPr>
            <w:r>
              <w:rPr>
                <w:rFonts w:cs="宋体"/>
                <w:color w:val="000000"/>
                <w:sz w:val="20"/>
                <w:szCs w:val="20"/>
              </w:rPr>
              <w:t>妇幼保健机构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FC0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154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DD2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433E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D51C">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90EAD">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E1A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A0E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22E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700.75</w:t>
            </w:r>
            <w:r>
              <w:rPr>
                <w:rFonts w:ascii="Times New Roman" w:hAnsi="Times New Roman"/>
                <w:color w:val="000000"/>
                <w:sz w:val="20"/>
              </w:rPr>
              <w:t xml:space="preserve"> </w:t>
            </w:r>
          </w:p>
        </w:tc>
      </w:tr>
      <w:tr w14:paraId="1DD41A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8C9F">
            <w:pPr>
              <w:textAlignment w:val="center"/>
              <w:rPr>
                <w:rFonts w:hint="default" w:cs="宋体"/>
                <w:color w:val="000000"/>
                <w:sz w:val="20"/>
                <w:szCs w:val="20"/>
              </w:rPr>
            </w:pPr>
            <w:r>
              <w:rPr>
                <w:rFonts w:cs="宋体"/>
                <w:color w:val="000000"/>
                <w:sz w:val="20"/>
                <w:szCs w:val="20"/>
              </w:rPr>
              <w:t>2100409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BD37F">
            <w:pPr>
              <w:textAlignment w:val="center"/>
              <w:rPr>
                <w:rFonts w:hint="default" w:cs="宋体"/>
                <w:color w:val="000000"/>
                <w:sz w:val="20"/>
                <w:szCs w:val="20"/>
              </w:rPr>
            </w:pPr>
            <w:r>
              <w:rPr>
                <w:rFonts w:cs="宋体"/>
                <w:color w:val="000000"/>
                <w:sz w:val="20"/>
                <w:szCs w:val="20"/>
              </w:rPr>
              <w:t>重大公共卫生服务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D1B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3CD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633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r>
      <w:tr w14:paraId="275B41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6CA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887E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A40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0B4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4EC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479B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CFEA">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BF94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C3F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30A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D17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9945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B0EC">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0003D">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25A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8A0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1E3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E984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4BC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E96D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B75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650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510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E96A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C36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8EC3D">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06A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D08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5E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5C1D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8474">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106DC">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FC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768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9BF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8C489DE">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625E3E1">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34D8CB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7785DC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FE6D60F">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3A3393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丰都县妇幼保健院</w:t>
            </w:r>
          </w:p>
        </w:tc>
        <w:tc>
          <w:tcPr>
            <w:tcW w:w="463" w:type="pct"/>
            <w:tcBorders>
              <w:top w:val="nil"/>
              <w:left w:val="nil"/>
              <w:bottom w:val="nil"/>
              <w:right w:val="nil"/>
            </w:tcBorders>
            <w:shd w:val="clear" w:color="auto" w:fill="auto"/>
            <w:noWrap/>
            <w:tcMar>
              <w:top w:w="15" w:type="dxa"/>
              <w:left w:w="15" w:type="dxa"/>
              <w:right w:w="15" w:type="dxa"/>
            </w:tcMar>
            <w:vAlign w:val="bottom"/>
          </w:tcPr>
          <w:p w14:paraId="575CC239">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52E32BD">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D25ACDB">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FAB2A9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698D71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7DEFC3B">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240CC57">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0F98401">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45FCEA">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062EAE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AB030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516E">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A0740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BC6B1A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8EEC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C72FE">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88E6B">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9E85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F79E2">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53C0D">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08E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FE1A7">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A94DE">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6BF295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5B1A">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C0540">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1F0B2">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59786">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50E63">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2FA5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4E51A">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C7FA1">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3E4C8">
            <w:pPr>
              <w:spacing w:line="192" w:lineRule="exact"/>
              <w:jc w:val="center"/>
              <w:rPr>
                <w:rFonts w:hint="default" w:cs="宋体"/>
                <w:b/>
                <w:color w:val="000000"/>
                <w:sz w:val="18"/>
                <w:szCs w:val="18"/>
              </w:rPr>
            </w:pPr>
          </w:p>
        </w:tc>
      </w:tr>
      <w:tr w14:paraId="322175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051D">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C449">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FA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289C">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96A3">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DE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C628">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36CD">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88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6F98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56C8">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D6FB">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0E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71CA">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89B2">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20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4910">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833A">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D8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D8D6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55D4">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9E06">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CB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5B03">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6166">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660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AE0C">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CD50">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AC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2AF4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863E">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57C4">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9D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2171">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18BA">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1E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650E">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A42C">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EC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2014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FEF7">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5E6F">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24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0DC8">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4AD5">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B7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E9F2">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C002">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B0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3E52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0431">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7558">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1C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8D00">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A2B6">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32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EEDA">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3705">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0B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C320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275B">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2FFF">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7E5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4D63">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F7FA">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53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A5ED">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EA34">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B4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7C2A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0A8BD">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070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9C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BF19">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C8F5">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4D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F3BB">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7B3F">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A1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5006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0EBE">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A02F">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47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9E32">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5344">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78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3450">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FE36">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DD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610A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7FEF">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7B84">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29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1259">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D773">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05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3B4F">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D108">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AD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659F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2694">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11DB">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647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02FA">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A2CA">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CC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899F">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D53B">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FB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5FEC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1AEA">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9AFF">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A5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AB4A">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753C">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79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F2D7">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8934">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D3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ADFB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F9F5">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B2FF">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70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74E5">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865D">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19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320C">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AF9E">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77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D8DB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FBEB">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E229">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F3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152A">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4173">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D8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194F">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D5BD">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B1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53FB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6268">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35E8">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0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3F41">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A122">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B8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5145">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49D3">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BF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DF37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456B">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E16A8">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8A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FC3C">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A44D">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46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CA5F">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4E5C">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F9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8B4E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E243">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3E6C">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71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9F12">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5560">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80D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9CC5">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9BF2">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5B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DB52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457B">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B383">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C1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4581">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DB83">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DE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19ADC">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3383">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DF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4CDA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F52D">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70B9">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E1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8856">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9E8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55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6792">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8EB0">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67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0763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4C6A">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9DBA">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67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BABB">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2B77">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DA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2415">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A876">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96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02FC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3CF2">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481F">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C7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6157">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0ED5">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F6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D157">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5108">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7A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8023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0B47">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59A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7F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5F29">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C5C7">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E3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D643">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5E72">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1AD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C428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99FF">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A781">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6C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1DA2">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376A">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7D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88E7">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C75C">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79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A421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1B1B">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780D">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BA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C8D1">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CFF0">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7F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BA9F">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349D">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6D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18C0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968A">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411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46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EB86">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58F4">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26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C1E6">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6AF9">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D6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570C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4DAC">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B211">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E7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2FF1">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A9BA">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16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F5E6">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9CA5">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F5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152F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6C22">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943D">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48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7E34">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9E48">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84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5D52">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5790">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18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DE41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316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0E6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2F73D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7746">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C3BC">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75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1C93">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A883">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65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6B26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79A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EB9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0519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91ED">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0CE2">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53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241B">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5C79">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BD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B2C3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2D3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4ED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2CAA0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B76E">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6D2B">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14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47CD">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095B">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BE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55BD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EF7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A30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47E56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223B">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7809">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E6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9915">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96C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215E">
            <w:pPr>
              <w:spacing w:line="192" w:lineRule="exact"/>
              <w:jc w:val="right"/>
              <w:rPr>
                <w:rFonts w:hint="default" w:ascii="Times New Roman" w:hAnsi="Times New Roman"/>
                <w:color w:val="000000"/>
                <w:sz w:val="18"/>
                <w:szCs w:val="18"/>
              </w:rPr>
            </w:pPr>
          </w:p>
        </w:tc>
      </w:tr>
      <w:tr w14:paraId="5897F7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F8B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E7B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E1A3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1675">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C383">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30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FDD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955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F83F">
            <w:pPr>
              <w:spacing w:line="192" w:lineRule="exact"/>
              <w:jc w:val="right"/>
              <w:rPr>
                <w:rFonts w:hint="default" w:ascii="Times New Roman" w:hAnsi="Times New Roman"/>
                <w:color w:val="000000"/>
                <w:sz w:val="18"/>
                <w:szCs w:val="18"/>
              </w:rPr>
            </w:pPr>
          </w:p>
        </w:tc>
      </w:tr>
      <w:tr w14:paraId="028713F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DFB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25D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3D4B5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1A83">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7F06">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B9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7A9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536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8AAD">
            <w:pPr>
              <w:spacing w:line="192" w:lineRule="exact"/>
              <w:jc w:val="right"/>
              <w:rPr>
                <w:rFonts w:hint="default" w:ascii="Times New Roman" w:hAnsi="Times New Roman"/>
                <w:color w:val="000000"/>
                <w:sz w:val="18"/>
                <w:szCs w:val="18"/>
              </w:rPr>
            </w:pPr>
          </w:p>
        </w:tc>
      </w:tr>
      <w:tr w14:paraId="3ABDE6D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2DF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17473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736.40</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518FD">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A10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109.94</w:t>
            </w:r>
            <w:r>
              <w:rPr>
                <w:rFonts w:ascii="Times New Roman" w:hAnsi="Times New Roman"/>
                <w:color w:val="000000"/>
                <w:sz w:val="18"/>
              </w:rPr>
              <w:t xml:space="preserve"> </w:t>
            </w:r>
          </w:p>
        </w:tc>
      </w:tr>
    </w:tbl>
    <w:p w14:paraId="0B5496E1">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A35BE6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C95B6E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6EEEAE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02FAB2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丰都县妇幼保健院</w:t>
            </w:r>
          </w:p>
        </w:tc>
        <w:tc>
          <w:tcPr>
            <w:tcW w:w="555" w:type="pct"/>
            <w:tcBorders>
              <w:top w:val="nil"/>
              <w:left w:val="nil"/>
              <w:bottom w:val="nil"/>
              <w:right w:val="nil"/>
            </w:tcBorders>
            <w:shd w:val="clear" w:color="auto" w:fill="auto"/>
            <w:noWrap/>
            <w:tcMar>
              <w:top w:w="15" w:type="dxa"/>
              <w:left w:w="15" w:type="dxa"/>
              <w:right w:w="15" w:type="dxa"/>
            </w:tcMar>
            <w:vAlign w:val="bottom"/>
          </w:tcPr>
          <w:p w14:paraId="731204C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9A5413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F7637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A0EDBC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3B4BEA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5CC6DC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333FEF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6EF75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16B83F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E2BB7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F82685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7D0A4B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8B156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755A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B51B3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483F2">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40DA8D">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41F89">
            <w:pPr>
              <w:jc w:val="center"/>
              <w:textAlignment w:val="center"/>
              <w:rPr>
                <w:rFonts w:hint="default" w:cs="宋体"/>
                <w:b/>
                <w:color w:val="000000"/>
                <w:sz w:val="20"/>
                <w:szCs w:val="20"/>
              </w:rPr>
            </w:pPr>
            <w:r>
              <w:rPr>
                <w:rFonts w:cs="宋体"/>
                <w:b/>
                <w:color w:val="000000"/>
                <w:sz w:val="20"/>
                <w:szCs w:val="20"/>
              </w:rPr>
              <w:t>年末结转和结余</w:t>
            </w:r>
          </w:p>
        </w:tc>
      </w:tr>
      <w:tr w14:paraId="624600A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17B0">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2701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40C6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3471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E0DC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3633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A30FD">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A9A6">
            <w:pPr>
              <w:jc w:val="center"/>
              <w:rPr>
                <w:rFonts w:hint="default" w:cs="宋体"/>
                <w:b/>
                <w:color w:val="000000"/>
                <w:sz w:val="20"/>
                <w:szCs w:val="20"/>
              </w:rPr>
            </w:pPr>
          </w:p>
        </w:tc>
      </w:tr>
      <w:tr w14:paraId="785E217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ABD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8A24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80851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C7D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3CCF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6908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D193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37105">
            <w:pPr>
              <w:jc w:val="center"/>
              <w:rPr>
                <w:rFonts w:hint="default" w:cs="宋体"/>
                <w:b/>
                <w:color w:val="000000"/>
                <w:sz w:val="20"/>
                <w:szCs w:val="20"/>
              </w:rPr>
            </w:pPr>
          </w:p>
        </w:tc>
      </w:tr>
      <w:tr w14:paraId="26B0A3A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7751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B06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063AD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575E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3C86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732C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6664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D21D">
            <w:pPr>
              <w:jc w:val="center"/>
              <w:rPr>
                <w:rFonts w:hint="default" w:cs="宋体"/>
                <w:b/>
                <w:color w:val="000000"/>
                <w:sz w:val="20"/>
                <w:szCs w:val="20"/>
              </w:rPr>
            </w:pPr>
          </w:p>
        </w:tc>
      </w:tr>
      <w:tr w14:paraId="7B9CDBD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EB9D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4E5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336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71E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0F6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89B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C3C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59CD09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1A9A">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BFE1E">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117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54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47F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CED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BB4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CDC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0683F8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8874BA9">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8A4B3B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6DD197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57F860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178905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丰都县妇幼保健院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8F9661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E0B14D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BFCE29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FB1B63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0BCB88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FC3E5E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F955F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56B60">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51559B">
            <w:pPr>
              <w:jc w:val="center"/>
              <w:textAlignment w:val="bottom"/>
              <w:rPr>
                <w:rFonts w:hint="default" w:cs="宋体"/>
                <w:b/>
                <w:color w:val="000000"/>
                <w:sz w:val="20"/>
                <w:szCs w:val="20"/>
              </w:rPr>
            </w:pPr>
            <w:r>
              <w:rPr>
                <w:rFonts w:cs="宋体"/>
                <w:b/>
                <w:color w:val="000000"/>
                <w:sz w:val="20"/>
                <w:szCs w:val="20"/>
              </w:rPr>
              <w:t>本年支出</w:t>
            </w:r>
          </w:p>
        </w:tc>
      </w:tr>
      <w:tr w14:paraId="71C0118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9FA04">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2E67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D11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E6FF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EE7C5">
            <w:pPr>
              <w:jc w:val="center"/>
              <w:textAlignment w:val="center"/>
              <w:rPr>
                <w:rFonts w:hint="default" w:cs="宋体"/>
                <w:b/>
                <w:color w:val="000000"/>
                <w:sz w:val="20"/>
                <w:szCs w:val="20"/>
              </w:rPr>
            </w:pPr>
            <w:r>
              <w:rPr>
                <w:rFonts w:cs="宋体"/>
                <w:b/>
                <w:color w:val="000000"/>
                <w:sz w:val="20"/>
                <w:szCs w:val="20"/>
              </w:rPr>
              <w:t>项目支出</w:t>
            </w:r>
          </w:p>
        </w:tc>
      </w:tr>
      <w:tr w14:paraId="4ABA288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6C77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33D5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007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B2EC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24D2F">
            <w:pPr>
              <w:jc w:val="center"/>
              <w:rPr>
                <w:rFonts w:hint="default" w:cs="宋体"/>
                <w:b/>
                <w:color w:val="000000"/>
                <w:sz w:val="20"/>
                <w:szCs w:val="20"/>
              </w:rPr>
            </w:pPr>
          </w:p>
        </w:tc>
      </w:tr>
      <w:tr w14:paraId="372D6DA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FFBB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ED54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FD92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5D74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B2312">
            <w:pPr>
              <w:jc w:val="center"/>
              <w:rPr>
                <w:rFonts w:hint="default" w:cs="宋体"/>
                <w:b/>
                <w:color w:val="000000"/>
                <w:sz w:val="20"/>
                <w:szCs w:val="20"/>
              </w:rPr>
            </w:pPr>
          </w:p>
        </w:tc>
      </w:tr>
      <w:tr w14:paraId="1818DC4A">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D33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E5AB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466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9734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28744">
            <w:pPr>
              <w:jc w:val="center"/>
              <w:rPr>
                <w:rFonts w:hint="default" w:cs="宋体"/>
                <w:b/>
                <w:color w:val="000000"/>
                <w:sz w:val="20"/>
                <w:szCs w:val="20"/>
              </w:rPr>
            </w:pPr>
          </w:p>
        </w:tc>
      </w:tr>
      <w:tr w14:paraId="6A0AF52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D8D7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7BB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601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FB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248B25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03FE">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85CC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D63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CF19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321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2D9552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5C1A46C">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F51460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B7BFED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F39D9B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E50E7D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5FA6A9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D98B7C1">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2349D3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F6E1B2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671BA1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1C14D4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丰都县妇幼保健院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EF80283">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C13E7F7">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11E3B4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AA50C2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B150D">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1276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5FF6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2C52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5B3C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1DBFA8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BA28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354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087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994BD">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C5BF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AF7D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F44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323C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7C9BF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F8D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F92E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1BF9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D21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904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5B7F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9F5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9FD63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77C5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2EE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B25C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ED79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15AB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CA75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C56B0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295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935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D771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AC6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26AB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14:paraId="295189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065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C269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10BC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16C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998A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CB0E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CEE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252AA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E863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5DE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E3CA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CB62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BC9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F1C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154F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0E2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9D27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49A2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854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3790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5B06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81F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2DD3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19BB2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585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2D3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469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115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F09A6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69CA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254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F86E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3A920">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300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D7C5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70CA43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8D1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2692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3073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96A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E46BE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ACF2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E53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103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46E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EB1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21DA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F3E2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023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8F0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C7F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CDB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4E87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461E9A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D66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BE92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B1ECA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BEB56">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536A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D5D0E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29C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7A4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5A52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464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158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D836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FA1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2B78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BA25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45B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ACD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3E46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0A4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34F9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2AC3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4E1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493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51F8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ACC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011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3E1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CD8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A36F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E03F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1D8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490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F714B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384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7DB1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0C81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06A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364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5448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26D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D20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10930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36FD2">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FBCA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F644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D75AB">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5EF154">
            <w:pPr>
              <w:spacing w:line="280" w:lineRule="exact"/>
              <w:jc w:val="right"/>
              <w:rPr>
                <w:rFonts w:hint="default" w:cs="宋体"/>
                <w:color w:val="000000"/>
                <w:kern w:val="2"/>
                <w:sz w:val="16"/>
                <w:szCs w:val="16"/>
              </w:rPr>
            </w:pPr>
          </w:p>
        </w:tc>
      </w:tr>
      <w:tr w14:paraId="0FD1E9A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92873">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A4F6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97D9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7A121">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E236AA">
            <w:pPr>
              <w:spacing w:line="280" w:lineRule="exact"/>
              <w:jc w:val="right"/>
              <w:rPr>
                <w:rFonts w:hint="default" w:cs="宋体"/>
                <w:color w:val="000000"/>
                <w:kern w:val="2"/>
                <w:sz w:val="16"/>
                <w:szCs w:val="16"/>
              </w:rPr>
            </w:pPr>
          </w:p>
        </w:tc>
      </w:tr>
      <w:tr w14:paraId="133646D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D09D9">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FBC0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EEBE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22.40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F77D0">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AFB783">
            <w:pPr>
              <w:spacing w:line="280" w:lineRule="exact"/>
              <w:jc w:val="right"/>
              <w:rPr>
                <w:rFonts w:hint="default" w:cs="宋体"/>
                <w:color w:val="000000"/>
                <w:sz w:val="16"/>
                <w:szCs w:val="16"/>
              </w:rPr>
            </w:pPr>
          </w:p>
        </w:tc>
      </w:tr>
    </w:tbl>
    <w:p w14:paraId="66E942F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C37BC">
    <w:pPr>
      <w:pStyle w:val="6"/>
      <w:rPr>
        <w:rFonts w:hint="default"/>
      </w:rPr>
    </w:pPr>
    <w:r>
      <w:rPr>
        <w:rFonts w:hint="default"/>
      </w:rPr>
      <w:pict>
        <v:shape id="_x0000_s1026" o:spid="_x0000_s1026" o:spt="202" type="#_x0000_t202" style="position:absolute;left:0pt;margin-left:201.3pt;margin-top:-12.9pt;height:23.95pt;width:42.1pt;mso-position-horizontal-relative:margin;z-index:251659264;mso-width-relative:page;mso-height-relative:page;" filled="f" stroked="f" coordsize="21600,21600">
          <v:path/>
          <v:fill on="f" focussize="0,0"/>
          <v:stroke on="f" weight="0.5pt"/>
          <v:imagedata o:title=""/>
          <o:lock v:ext="edit" aspectratio="f"/>
          <v:textbox inset="0mm,0mm,0mm,0mm">
            <w:txbxContent>
              <w:p w14:paraId="685CB381">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- 11 -</w:t>
                </w:r>
                <w:r>
                  <w:rPr>
                    <w:rFonts w:hint="eastAsia" w:ascii="方正仿宋_GBK" w:hAnsi="方正仿宋_GBK" w:eastAsia="方正仿宋_GBK" w:cs="方正仿宋_GBK"/>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FF79F">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443F926F">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rPr>
                    <w:rFonts w:hint="default"/>
                  </w:rP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5D91D576">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5EFD7">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4"/>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恞õ~᠀攕ð普通(网站)ꐓdꐔd⑛封Ĥꐓdꐔd⑛封Ĥ+䩃䩏_x000a_䩐_x000a_䩑_x000a_䡟Ё䩡䡭Љ䡮ࠄ⡯猁ै琄шfðddĀāāऀĀāś耀_x000a__x000a__x000a_＀dЉࠄЁ＀＀＀＀_x000a__x000a_+_x000a_%ÿ呄jæ瑈Ë苮/뫲뵵B쀰´䳥^☀å὾­ÿæ呄j㾀츨+칐Ǘǣх팸х캘ؼﰀⳎqࠀࠀ⽠ȬɂĨи쀀횴+ꀀdЀЀdЀЀӌ찚؁"/>
  </w:docVars>
  <w:rsids>
    <w:rsidRoot w:val="00B03CCD"/>
    <w:rsid w:val="000239C6"/>
    <w:rsid w:val="00100646"/>
    <w:rsid w:val="001D09FC"/>
    <w:rsid w:val="001D3BB7"/>
    <w:rsid w:val="002B254B"/>
    <w:rsid w:val="0034050A"/>
    <w:rsid w:val="0044504F"/>
    <w:rsid w:val="00466C9B"/>
    <w:rsid w:val="00486CFC"/>
    <w:rsid w:val="00491DDD"/>
    <w:rsid w:val="00550ABE"/>
    <w:rsid w:val="005F2462"/>
    <w:rsid w:val="00623A85"/>
    <w:rsid w:val="00633CB6"/>
    <w:rsid w:val="00770383"/>
    <w:rsid w:val="007819D4"/>
    <w:rsid w:val="007B419D"/>
    <w:rsid w:val="007B7C4B"/>
    <w:rsid w:val="007D3D39"/>
    <w:rsid w:val="0094534A"/>
    <w:rsid w:val="00984C6A"/>
    <w:rsid w:val="00994AF7"/>
    <w:rsid w:val="009B67B8"/>
    <w:rsid w:val="009C14C9"/>
    <w:rsid w:val="009D2B67"/>
    <w:rsid w:val="009E1452"/>
    <w:rsid w:val="00A566F9"/>
    <w:rsid w:val="00A71482"/>
    <w:rsid w:val="00AF2751"/>
    <w:rsid w:val="00B03CCD"/>
    <w:rsid w:val="00BE2B89"/>
    <w:rsid w:val="00BF0D89"/>
    <w:rsid w:val="00C10E9E"/>
    <w:rsid w:val="00C20C3E"/>
    <w:rsid w:val="00C3004D"/>
    <w:rsid w:val="00C5163E"/>
    <w:rsid w:val="00CF2ACF"/>
    <w:rsid w:val="00D03AAF"/>
    <w:rsid w:val="00DD0539"/>
    <w:rsid w:val="00DE6F08"/>
    <w:rsid w:val="00E07662"/>
    <w:rsid w:val="00E368E9"/>
    <w:rsid w:val="00EE1E33"/>
    <w:rsid w:val="00EF4244"/>
    <w:rsid w:val="00F478E4"/>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75B55"/>
    <w:rsid w:val="13AF1D43"/>
    <w:rsid w:val="13CE1647"/>
    <w:rsid w:val="13FD55AB"/>
    <w:rsid w:val="14200702"/>
    <w:rsid w:val="14370EA1"/>
    <w:rsid w:val="14A96CD7"/>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EA68FD"/>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6E2498"/>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BD5B0D"/>
    <w:rsid w:val="5F2D4A41"/>
    <w:rsid w:val="60C74F6C"/>
    <w:rsid w:val="61015958"/>
    <w:rsid w:val="61025A59"/>
    <w:rsid w:val="613D5BBC"/>
    <w:rsid w:val="61536C39"/>
    <w:rsid w:val="628B26AF"/>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5011</Words>
  <Characters>5615</Characters>
  <Lines>100</Lines>
  <Paragraphs>28</Paragraphs>
  <TotalTime>7</TotalTime>
  <ScaleCrop>false</ScaleCrop>
  <LinksUpToDate>false</LinksUpToDate>
  <CharactersWithSpaces>5666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油菜花儿香</cp:lastModifiedBy>
  <dcterms:modified xsi:type="dcterms:W3CDTF">2025-09-16T09:18:15Z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eyJoZGlkIjoiOTQxNzEzMTExNzZmYTRkMWUxMjM0YTE4YmNjZmFjNTYiLCJ1c2VySWQiOiIzNTg1ODI4NjMifQ==</vt:lpwstr>
  </property>
</Properties>
</file>