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300"/>
        <w:jc w:val="center"/>
        <w:rPr>
          <w:rFonts w:ascii="微软雅黑" w:hAnsi="微软雅黑" w:eastAsia="微软雅黑" w:cs="宋体"/>
          <w:color w:val="333333"/>
          <w:kern w:val="0"/>
          <w:sz w:val="45"/>
          <w:szCs w:val="45"/>
        </w:rPr>
      </w:pPr>
      <w:r>
        <w:rPr>
          <w:rFonts w:hint="eastAsia" w:ascii="微软雅黑" w:hAnsi="微软雅黑" w:eastAsia="微软雅黑" w:cs="宋体"/>
          <w:color w:val="333333"/>
          <w:kern w:val="0"/>
          <w:sz w:val="45"/>
          <w:szCs w:val="45"/>
        </w:rPr>
        <w:t>重庆市丰都县包鸾中心卫生院 2020年度部门决算情况说明</w:t>
      </w:r>
    </w:p>
    <w:p>
      <w:pPr>
        <w:widowControl/>
        <w:shd w:val="clear" w:color="auto" w:fill="FFFFFF"/>
        <w:spacing w:line="420" w:lineRule="atLeast"/>
        <w:jc w:val="center"/>
        <w:rPr>
          <w:rFonts w:hint="eastAsia" w:ascii="宋体" w:hAnsi="宋体" w:eastAsia="宋体" w:cs="宋体"/>
          <w:color w:val="333333"/>
          <w:kern w:val="0"/>
          <w:sz w:val="24"/>
          <w:szCs w:val="24"/>
        </w:rPr>
      </w:pPr>
    </w:p>
    <w:p>
      <w:pPr>
        <w:widowControl/>
        <w:shd w:val="clear" w:color="auto" w:fill="FFFFFF"/>
        <w:spacing w:line="420"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一、部门基本情况</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（一）职能职责</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1.公共卫生服务：负责辖区城乡居民健康档案管理、健康教育、预防接种、儿童健康管理、孕产妇健康管理、老年人健康管理、高血压患者健康管理、2型糖尿病患者健康管理、重性精神疾病患者管理；中医药健康管理和疾病康复；疾病控制、传染病及突发公共卫生事件报告和处理等。负责辖区其他公共卫生服务项目。</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2.基本医疗服务：开展一般常见病、多发病、地方病的基本医疗服务；现场救护和转诊服务；慢性病管理。</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3.计划生育服务：开展优生服务和家庭保健的咨询、指导和技术服务。</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4.协助乡镇政府（街道办事处）制定和组织实施初级卫生保健、卫生事业发展规划和年度计划，开展爱国卫生工作。</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5.指导辖区内诊所、村卫生室业务工作，对村医和村妇幼保健人员进行相关技能培训，做好医疗卫生信息统计报告工作，完整、及时、准确报告相关信息，逐步推进乡村卫生服务一体化管理。</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6.开展城乡居民医疗保险政策法规宣传与咨询，协助做好相应的医疗服务和补偿结算等工作。</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7.负责辖区公共卫生管理；协助开展辖区内卫生监督工作，承担区域内公共卫生信息收集与报告。</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中心卫生院除承担上述职责任务外，还承担协助县级医疗卫生机构开展对辐射区域内的一般卫生院技术指导等工作。</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（二）机构设置</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目前现有在岗职工47人（其中在编职工29人，编外聘用18人）；大学本科学历12人，大学专科学历21人；有执业医师8人、执业助理医师11人，执业护士9人。</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开设科室：医院设有全科（内科、外科、妇科）、中医管（中医、针灸理疗）、检验科、公共卫生科、超声科、放射科、心电图、口腔科（牙科）等科室。能够规范诊治常见病、多发病、急慢性病以及危急重症抢救和部分疑难病症；普外科能开展：腹腔镜胆囊切除、阑尾切除、疝修补、包皮环切、内外痔及混合痔、肛周脓肿、肛瘘、前列腺增生钬激光等手术；妇科能开展：阴道修补、卵巢囊肿切除、安环、取环、人流等手术、子宫全切、次全切手术。口腔科能开展：各种拔牙、种植牙、口腔颌面部囊肿肿瘤切除等手术以及义齿（假牙）修复、正畸等；中医馆能开展：中风偏瘫、面瘫、面肌痉挛、肌肉劳损、风湿关节炎、类风湿关节炎、颈椎</w:t>
      </w:r>
      <w:bookmarkStart w:id="0" w:name="_GoBack"/>
      <w:bookmarkEnd w:id="0"/>
      <w:r>
        <w:rPr>
          <w:rFonts w:hint="eastAsia" w:ascii="宋体" w:hAnsi="宋体" w:eastAsia="宋体" w:cs="宋体"/>
          <w:color w:val="333333"/>
          <w:kern w:val="0"/>
          <w:sz w:val="24"/>
          <w:szCs w:val="24"/>
          <w:shd w:val="clear" w:color="auto" w:fill="FFFFFF"/>
        </w:rPr>
        <w:t>病、腰椎骨质增生、腰椎间盘突出症、闭合骨折中医疗法、关节脱位等中医特色治疗。</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（三）单位构成</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本单位无下级预算单位</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二、部门决算情况说明</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（一）收入支出决算总体情况说明</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shd w:val="clear" w:color="auto" w:fill="FFFFFF"/>
        </w:rPr>
        <w:t>1.总体情况。</w:t>
      </w:r>
      <w:r>
        <w:rPr>
          <w:rFonts w:hint="eastAsia" w:ascii="宋体" w:hAnsi="宋体" w:eastAsia="宋体" w:cs="宋体"/>
          <w:color w:val="333333"/>
          <w:kern w:val="0"/>
          <w:sz w:val="24"/>
          <w:szCs w:val="24"/>
          <w:shd w:val="clear" w:color="auto" w:fill="FFFFFF"/>
        </w:rPr>
        <w:t>2020年度收入总计1,290.03万元，支出总计1,290.03万元。收支较上年决算数增加89.90万元、 增长7.5%，主要原因是事业收入增加9.34万元、一般公共预算财政拨款收入增加28.99万元，年初结转和结余增加51.57万元。</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shd w:val="clear" w:color="auto" w:fill="FFFFFF"/>
        </w:rPr>
        <w:t>2.收入情况。</w:t>
      </w:r>
      <w:r>
        <w:rPr>
          <w:rFonts w:hint="eastAsia" w:ascii="宋体" w:hAnsi="宋体" w:eastAsia="宋体" w:cs="宋体"/>
          <w:color w:val="333333"/>
          <w:kern w:val="0"/>
          <w:sz w:val="24"/>
          <w:szCs w:val="24"/>
          <w:shd w:val="clear" w:color="auto" w:fill="FFFFFF"/>
        </w:rPr>
        <w:t>2020年度收入合计1,234.91万元，较上年决算数增加38.32万元，增长3.2%，主要原因是一般公共预算财政拨款收入增加28.99万元,医疗收入增长9.34万元。其中：财政拨款收入623.55万元，占50.5%；事业收入611.36万元，占49.5%；年初结转和结余55.12万元。</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shd w:val="clear" w:color="auto" w:fill="FFFFFF"/>
        </w:rPr>
        <w:t>3.支出情况。</w:t>
      </w:r>
      <w:r>
        <w:rPr>
          <w:rFonts w:hint="eastAsia" w:ascii="宋体" w:hAnsi="宋体" w:eastAsia="宋体" w:cs="宋体"/>
          <w:color w:val="333333"/>
          <w:kern w:val="0"/>
          <w:sz w:val="24"/>
          <w:szCs w:val="24"/>
          <w:shd w:val="clear" w:color="auto" w:fill="FFFFFF"/>
        </w:rPr>
        <w:t>2020年度支出合计1,157.21万元，较上年决算数减少42.92万元，下降3.6%，主要原因是社会保障和就业支出增加3.52万元、卫生健康支出减少70.39万元、住房保障支出增加23.95万元。其中：基本支出  1,133.73万元，占98%；项目支出23.48万元，占2%；此外，结余分配132.83万元。</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shd w:val="clear" w:color="auto" w:fill="FFFFFF"/>
        </w:rPr>
        <w:t>4.结转结余情况。</w:t>
      </w:r>
      <w:r>
        <w:rPr>
          <w:rFonts w:hint="eastAsia" w:ascii="宋体" w:hAnsi="宋体" w:eastAsia="宋体" w:cs="宋体"/>
          <w:color w:val="333333"/>
          <w:kern w:val="0"/>
          <w:sz w:val="24"/>
          <w:szCs w:val="24"/>
          <w:shd w:val="clear" w:color="auto" w:fill="FFFFFF"/>
        </w:rPr>
        <w:t>2020年度年末结转和结余0.00万元，较上年决算数增加0.00万元，增长0.0%，主要原因是年末结转和结余与上年持平。</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（二）财政拨款收入支出决算总体情况说明</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2020年度财政拨款收、支总计623.55万元。与2019年相比，财政拨款收、支总计各增加25.45万 元，增长4.3%。主要原因是行政事业单位养老支出收入增加6.14万元；卫生健康支出收入增加17.79万元、住房保障支出收入增加1.52万元。</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（三）一般公共预算财政拨款支出决算情况说明</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shd w:val="clear" w:color="auto" w:fill="FFFFFF"/>
        </w:rPr>
        <w:t>1.收入情况。</w:t>
      </w:r>
      <w:r>
        <w:rPr>
          <w:rFonts w:hint="eastAsia" w:ascii="宋体" w:hAnsi="宋体" w:eastAsia="宋体" w:cs="宋体"/>
          <w:color w:val="333333"/>
          <w:kern w:val="0"/>
          <w:sz w:val="24"/>
          <w:szCs w:val="24"/>
          <w:shd w:val="clear" w:color="auto" w:fill="FFFFFF"/>
        </w:rPr>
        <w:t>2020年度一般公共预算财政拨款收入623.55万元，较上年决算数增加28.99万元，增长4.9%。主要原因是行政事业单位养老支出收入增加6.14万元；卫生健康支出收入增加17.79万元、住房保障支出收入增加1.52万元。较年初预算数 增加184.76万元，增长42.1%。主要原因是财政预算政策调整所致。此外，年初财政拨款结转和结余0.00万元。</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shd w:val="clear" w:color="auto" w:fill="FFFFFF"/>
        </w:rPr>
        <w:t>2.支出情况。</w:t>
      </w:r>
      <w:r>
        <w:rPr>
          <w:rFonts w:hint="eastAsia" w:ascii="宋体" w:hAnsi="宋体" w:eastAsia="宋体" w:cs="宋体"/>
          <w:color w:val="333333"/>
          <w:kern w:val="0"/>
          <w:sz w:val="24"/>
          <w:szCs w:val="24"/>
          <w:shd w:val="clear" w:color="auto" w:fill="FFFFFF"/>
        </w:rPr>
        <w:t>2020年度一般公共预算财政拨款支出623.55万元，较上年决算数增加25.45万元，增长4.3%。主要原因是行政事业单位养老支出收入增加6.14万元；卫生健康支出收入增加17.79万元、住房保障支出收入增加1.52万元。较年初预算数 增加184.76万元，增长42.1%。主要原因是财政预算政策调整所致。</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shd w:val="clear" w:color="auto" w:fill="FFFFFF"/>
        </w:rPr>
        <w:t>3.结转结余情况。</w:t>
      </w:r>
      <w:r>
        <w:rPr>
          <w:rFonts w:hint="eastAsia" w:ascii="宋体" w:hAnsi="宋体" w:eastAsia="宋体" w:cs="宋体"/>
          <w:color w:val="333333"/>
          <w:kern w:val="0"/>
          <w:sz w:val="24"/>
          <w:szCs w:val="24"/>
          <w:shd w:val="clear" w:color="auto" w:fill="FFFFFF"/>
        </w:rPr>
        <w:t>2020年度年末一般公共预算财政拨款结转和结余0.00万元，较上年决算数增加0.00万元，增长0.0%，主要原因是年末一般公共预算财政拨款结转和结余与上年持平。</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shd w:val="clear" w:color="auto" w:fill="FFFFFF"/>
        </w:rPr>
        <w:t>4.比较情况。</w:t>
      </w:r>
      <w:r>
        <w:rPr>
          <w:rFonts w:hint="eastAsia" w:ascii="宋体" w:hAnsi="宋体" w:eastAsia="宋体" w:cs="宋体"/>
          <w:color w:val="333333"/>
          <w:kern w:val="0"/>
          <w:sz w:val="24"/>
          <w:szCs w:val="24"/>
          <w:shd w:val="clear" w:color="auto" w:fill="FFFFFF"/>
        </w:rPr>
        <w:t>本部门2020年度一般公共预算财政拨款支出主要用于以下几个方面：</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（1）社会保障与就业支出21.53万元，占3.5%，较年初预算数增加6.53万 元，增长43.5%，主要原因是健康</w:t>
      </w:r>
      <w:r>
        <w:rPr>
          <w:rFonts w:hint="eastAsia" w:ascii="宋体" w:hAnsi="宋体" w:eastAsia="宋体" w:cs="宋体"/>
          <w:color w:val="333333"/>
          <w:kern w:val="0"/>
          <w:sz w:val="24"/>
          <w:szCs w:val="24"/>
          <w:shd w:val="clear" w:color="auto" w:fill="FFFFFF"/>
          <w:lang w:eastAsia="zh-CN"/>
        </w:rPr>
        <w:t>休</w:t>
      </w:r>
      <w:r>
        <w:rPr>
          <w:rFonts w:hint="eastAsia" w:ascii="宋体" w:hAnsi="宋体" w:eastAsia="宋体" w:cs="宋体"/>
          <w:color w:val="333333"/>
          <w:kern w:val="0"/>
          <w:sz w:val="24"/>
          <w:szCs w:val="24"/>
          <w:shd w:val="clear" w:color="auto" w:fill="FFFFFF"/>
        </w:rPr>
        <w:t>养费调及财政政策调整所致。</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（2）卫生健康支出600.51万元，占96.3%，较年初预算数增加176.72万元，增长41.7%，主要原因是财政预算政策调整所致。</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（3）住房保障支出1.51万元，占0.2%，较年初预算数增加1.51万 元，增长100%，主要原因是财政预算政策调整所致。</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（四）一般公共预算财政拨款基本支出决算情况说明</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2020年度一般公共财政拨款基本支出604.80万元。其中：人员经费368.49万元，较上年决算数增加47.76万 元，增长14.9%，主要原因是工资福利支出增加46.35万元、对个人和家庭的补助增加1.41万元。人员经费用途主要包括职工基本工资106.05万元、津贴补贴12.13万元、绩效工资223.11万元、机关事业单位基本养老保险费2.52万元、职业年金缴费1.01万元、职工基本医疗保险缴费1.01万元、住房公积金1.51万元、其他社会保障缴费3.15万元。生活补助18万元。公用经费236.31万元，较上年决算数减少16.07万元，下降6.4%，主要原因是专用材料费减少24.97万元，其他商品服务支出增加8.9万元。公用经费用途主要包括专用材料195.02万元。</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（五）政府性基金预算收支决算情况说明</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本部门2020年度无政府性基金预算财政拨款收支。</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（六）国有资本经营预算财政拨款支出决算情况说明</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本部门2020年度无国有资本经营预算财政拨款支出。</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三、“三公”经费情况说明</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（一）“三公”经费支出总体情况说明</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2020年度“三公”经费支出共计0.00万元，较年初预算数增加0.00万元，增长0.0%，主要原因是本单位2020年度“三公”经费年初预算和本年支出均为0。较上年支出数增加0.00万 元，增长0.0%，主要原因是“三公”经费本年支出和上年支出均为0。</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我单位属于差额拨款事业单位，财政未保障我单位“三公”经费。</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（二）“三公”经费分项支出情况</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2020年度本部门因公出国（境）费用0.00万元，本部门2020年度未发生因公出国（境）费用支出。费用支出较年初预算数增加0.00万元，增长0.0%，主要原因是本单位2020年度因公出国（境）费用年初预算和本年支出均为0。较上年支出数增加0.00万元，增长0.0%，主要原因是因公出国（境）费用本年支出和上年支出均为0。</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公务车购置费0万元。本部门2020年度未发生公务车购置费支出。费用支出较年初预算数增加0万元，增长0.0%，主要原因是本单位2020年度公务车购置费年初预算和本年支出均为0。较上年支出数增加0万元，增长0.0%，主要原因是本单位2020年度公务车购置费本年支出和上年支出均为0。</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公务车运行维护费0万元。本部门2020年度未发生公务车运行维护费支出。费用支出较年初预算数增加0万元，增长0.0%，主要原因是本单位2020年度公务车运行维护费年初预算和本年支出均为0。较上年支出数增加0万元，增长0.0%，主要原因是本单位2020年度公务车运行维护费本年支出和上年支出均为0。</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公务接待费0万元。本部门2020年度未发生公务接待费支出。费用支出较年初预算数增加0万元，增长0.0%，主要原因是本单位2020年度公务接待费年初预算和本年支出均为0。较上年支出数增加0万元，增长0.0%，主要原因是本单位2020年度公务接待费本年支出和上年支出均为0。</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2020年度本部门因公出国（境）共计0个团组，0人；公务用车购置0辆，公务车保有量为0辆；国内公务接待0批次0人，其中：国内外事接待0批次，0人；国（境）外公务接待0批次，0人。2020年本部门人均接待费0元，车均购置费0万元，车均维护费0万元。</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（三）“三公”经费实物量情况</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2020年度本部门因公出国（境）共计0个团组，0人；公务用车购置0辆，公务车保有量为0辆；国内公务接待0批次0人，其中：国内外 事接待0批次，0人；国（境）外公务接待0批次，0人。2020年本部门人均接待费0.00元，车均购置费0.00万元，车均维护费0.00万元。</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四、其他需要说明的事项</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（一）机关运行经费情况说明</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2020年度本部门机关运行经费支出0万元。机关运行经费较上年决算数和年初预算数增加0万元，增长0.0%，主要原因是按照部门决算列报口径，我单位不在机关运行经费统计范围之内。</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本年度会议费支出0万元，较上年决算数增加0万元，增长0.0%，主要原因是本单位2020年度会议费本年支出和上年支出均为0。本年度培训费支出0万元，较上年决算数增加0万元，增长0.0%，主要原因是本单位2020年度会议费本年支出和上年支出均为0。</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（二）国有资产占用情况说明</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截至2020年12月31日，本部门共有车辆1辆，其中，副部（省）级及以上领导用车0辆、主要领导干部用车0辆、机要通信用车0辆、应急保障用车0辆、执法执勤用车0辆，特种专业技术用车1辆，离退休干部用车0辆，其他用车0辆，其他用车主要是用于接送病人。单价50万元（含）以上通用设备0台（套），单价100万元（含）以上专用设备0台（套）。</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（三）政府采购支出情况说明</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2020年度本部门政府采购支出总额0万元，其中：政府采购货物支出0万元、政府采购工程支出0万元、政府采购服务支出0万元。授予中小企业合同金额0万元，占政府采购支出总额的0.0%，其中：授予小微企业合同金额0万元，占政府采购支出总额的0.0%。</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2020年度我单位未发生政府采购事项，无相关经费支出。</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五、预算绩效管理情况说明</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（一）预算绩效管理工作开展情况</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按照预算绩效管理要求，我单位对4个项目开展了绩效自评，其中，以填报目标自评表形式开展自评4项，涉及资金23.48万元；以委托第三方形式开展绩效自评0项，涉及资金0万元。</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（二）绩效自评结果</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1.绩效自评表</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tbl>
      <w:tblPr>
        <w:tblStyle w:val="2"/>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690"/>
        <w:gridCol w:w="562"/>
        <w:gridCol w:w="967"/>
        <w:gridCol w:w="967"/>
        <w:gridCol w:w="214"/>
        <w:gridCol w:w="1148"/>
        <w:gridCol w:w="731"/>
        <w:gridCol w:w="1203"/>
        <w:gridCol w:w="225"/>
        <w:gridCol w:w="807"/>
        <w:gridCol w:w="169"/>
        <w:gridCol w:w="833"/>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600" w:hRule="atLeast"/>
          <w:jc w:val="center"/>
        </w:trPr>
        <w:tc>
          <w:tcPr>
            <w:tcW w:w="9645" w:type="dxa"/>
            <w:gridSpan w:val="12"/>
            <w:tcBorders>
              <w:top w:val="nil"/>
              <w:left w:val="nil"/>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shd w:val="clear" w:color="auto" w:fill="FFFFFF"/>
              </w:rPr>
              <w:t>2020年度项目绩效自评表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480" w:hRule="atLeast"/>
          <w:jc w:val="center"/>
        </w:trPr>
        <w:tc>
          <w:tcPr>
            <w:tcW w:w="67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项目名称</w:t>
            </w:r>
          </w:p>
        </w:tc>
        <w:tc>
          <w:tcPr>
            <w:tcW w:w="4440" w:type="dxa"/>
            <w:gridSpan w:val="5"/>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疫情防控救治体系建设</w:t>
            </w:r>
          </w:p>
        </w:tc>
        <w:tc>
          <w:tcPr>
            <w:tcW w:w="82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自评总分</w:t>
            </w:r>
          </w:p>
        </w:tc>
        <w:tc>
          <w:tcPr>
            <w:tcW w:w="3720" w:type="dxa"/>
            <w:gridSpan w:val="5"/>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98</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600" w:hRule="atLeast"/>
          <w:jc w:val="center"/>
        </w:trPr>
        <w:tc>
          <w:tcPr>
            <w:tcW w:w="67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主管部门</w:t>
            </w:r>
          </w:p>
        </w:tc>
        <w:tc>
          <w:tcPr>
            <w:tcW w:w="4440"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丰都县卫生健康委员会</w:t>
            </w:r>
          </w:p>
        </w:tc>
        <w:tc>
          <w:tcPr>
            <w:tcW w:w="8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实施单位</w:t>
            </w:r>
          </w:p>
        </w:tc>
        <w:tc>
          <w:tcPr>
            <w:tcW w:w="3720"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  丰都县包鸾中心卫生院</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600" w:hRule="atLeast"/>
          <w:jc w:val="center"/>
        </w:trPr>
        <w:tc>
          <w:tcPr>
            <w:tcW w:w="67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项目资金（万元）</w:t>
            </w:r>
          </w:p>
        </w:tc>
        <w:tc>
          <w:tcPr>
            <w:tcW w:w="174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年初预算数</w:t>
            </w:r>
          </w:p>
        </w:tc>
        <w:tc>
          <w:tcPr>
            <w:tcW w:w="156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全年预算数</w:t>
            </w:r>
          </w:p>
        </w:tc>
        <w:tc>
          <w:tcPr>
            <w:tcW w:w="82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全年执行数</w:t>
            </w:r>
          </w:p>
        </w:tc>
        <w:tc>
          <w:tcPr>
            <w:tcW w:w="145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分值</w:t>
            </w:r>
          </w:p>
        </w:tc>
        <w:tc>
          <w:tcPr>
            <w:tcW w:w="1080"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执行率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w:t>
            </w:r>
          </w:p>
        </w:tc>
        <w:tc>
          <w:tcPr>
            <w:tcW w:w="1185"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执行率得分</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510"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174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年度总金额</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6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3</w:t>
            </w:r>
          </w:p>
        </w:tc>
        <w:tc>
          <w:tcPr>
            <w:tcW w:w="8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3</w:t>
            </w:r>
          </w:p>
        </w:tc>
        <w:tc>
          <w:tcPr>
            <w:tcW w:w="14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10</w:t>
            </w:r>
          </w:p>
        </w:tc>
        <w:tc>
          <w:tcPr>
            <w:tcW w:w="108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100%</w:t>
            </w:r>
          </w:p>
        </w:tc>
        <w:tc>
          <w:tcPr>
            <w:tcW w:w="118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10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405"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174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其中：财政拨款</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6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3</w:t>
            </w:r>
          </w:p>
        </w:tc>
        <w:tc>
          <w:tcPr>
            <w:tcW w:w="8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3</w:t>
            </w:r>
          </w:p>
        </w:tc>
        <w:tc>
          <w:tcPr>
            <w:tcW w:w="14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10</w:t>
            </w:r>
          </w:p>
        </w:tc>
        <w:tc>
          <w:tcPr>
            <w:tcW w:w="108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100%</w:t>
            </w:r>
          </w:p>
        </w:tc>
        <w:tc>
          <w:tcPr>
            <w:tcW w:w="118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10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330"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174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上年结转结余</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6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4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08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525"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174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其他资金</w:t>
            </w:r>
          </w:p>
        </w:tc>
        <w:tc>
          <w:tcPr>
            <w:tcW w:w="114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56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4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080"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5"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420" w:hRule="atLeast"/>
          <w:jc w:val="center"/>
        </w:trPr>
        <w:tc>
          <w:tcPr>
            <w:tcW w:w="67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年度总体目标</w:t>
            </w:r>
          </w:p>
        </w:tc>
        <w:tc>
          <w:tcPr>
            <w:tcW w:w="4440"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预期目标</w:t>
            </w:r>
          </w:p>
        </w:tc>
        <w:tc>
          <w:tcPr>
            <w:tcW w:w="4545" w:type="dxa"/>
            <w:gridSpan w:val="6"/>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全年完成情况</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705"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4440"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提升单位开展肺功能检查评估的能力，加强院感防控管理，提升疫情防控能力。</w:t>
            </w:r>
          </w:p>
        </w:tc>
        <w:tc>
          <w:tcPr>
            <w:tcW w:w="4545" w:type="dxa"/>
            <w:gridSpan w:val="6"/>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完成</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600" w:hRule="atLeast"/>
          <w:jc w:val="center"/>
        </w:trPr>
        <w:tc>
          <w:tcPr>
            <w:tcW w:w="67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绩效指标</w:t>
            </w:r>
          </w:p>
        </w:tc>
        <w:tc>
          <w:tcPr>
            <w:tcW w:w="600" w:type="dxa"/>
            <w:tcBorders>
              <w:top w:val="nil"/>
              <w:left w:val="nil"/>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一级指标</w:t>
            </w:r>
          </w:p>
        </w:tc>
        <w:tc>
          <w:tcPr>
            <w:tcW w:w="11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二级指标</w:t>
            </w:r>
          </w:p>
        </w:tc>
        <w:tc>
          <w:tcPr>
            <w:tcW w:w="1425"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三级指标</w:t>
            </w:r>
          </w:p>
        </w:tc>
        <w:tc>
          <w:tcPr>
            <w:tcW w:w="127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年度指标值</w:t>
            </w:r>
          </w:p>
        </w:tc>
        <w:tc>
          <w:tcPr>
            <w:tcW w:w="2505"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实际</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完成值</w:t>
            </w:r>
          </w:p>
        </w:tc>
        <w:tc>
          <w:tcPr>
            <w:tcW w:w="1080" w:type="dxa"/>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分值</w:t>
            </w:r>
          </w:p>
        </w:tc>
        <w:tc>
          <w:tcPr>
            <w:tcW w:w="94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得分</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585"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600" w:type="dxa"/>
            <w:vMerge w:val="restart"/>
            <w:tcBorders>
              <w:top w:val="nil"/>
              <w:left w:val="nil"/>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产出指标</w:t>
            </w:r>
          </w:p>
        </w:tc>
        <w:tc>
          <w:tcPr>
            <w:tcW w:w="1140" w:type="dxa"/>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数量指标</w:t>
            </w:r>
          </w:p>
        </w:tc>
        <w:tc>
          <w:tcPr>
            <w:tcW w:w="1425" w:type="dxa"/>
            <w:gridSpan w:val="2"/>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配备肺功能仪数量</w:t>
            </w:r>
          </w:p>
        </w:tc>
        <w:tc>
          <w:tcPr>
            <w:tcW w:w="1275" w:type="dxa"/>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1台</w:t>
            </w:r>
          </w:p>
        </w:tc>
        <w:tc>
          <w:tcPr>
            <w:tcW w:w="2505" w:type="dxa"/>
            <w:gridSpan w:val="3"/>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1台</w:t>
            </w:r>
          </w:p>
        </w:tc>
        <w:tc>
          <w:tcPr>
            <w:tcW w:w="1080" w:type="dxa"/>
            <w:gridSpan w:val="2"/>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20</w:t>
            </w:r>
          </w:p>
        </w:tc>
        <w:tc>
          <w:tcPr>
            <w:tcW w:w="9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20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570"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nil"/>
            </w:tcBorders>
            <w:vAlign w:val="center"/>
          </w:tcPr>
          <w:p>
            <w:pPr>
              <w:widowControl/>
              <w:jc w:val="left"/>
              <w:rPr>
                <w:rFonts w:ascii="宋体" w:hAnsi="宋体" w:eastAsia="宋体" w:cs="宋体"/>
                <w:kern w:val="0"/>
                <w:sz w:val="24"/>
                <w:szCs w:val="24"/>
              </w:rPr>
            </w:pPr>
          </w:p>
        </w:tc>
        <w:tc>
          <w:tcPr>
            <w:tcW w:w="1140" w:type="dxa"/>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数量指标</w:t>
            </w:r>
          </w:p>
        </w:tc>
        <w:tc>
          <w:tcPr>
            <w:tcW w:w="1425" w:type="dxa"/>
            <w:gridSpan w:val="2"/>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购买肺功能仪设备成本</w:t>
            </w:r>
          </w:p>
        </w:tc>
        <w:tc>
          <w:tcPr>
            <w:tcW w:w="1275" w:type="dxa"/>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≤3万元</w:t>
            </w:r>
          </w:p>
        </w:tc>
        <w:tc>
          <w:tcPr>
            <w:tcW w:w="2505" w:type="dxa"/>
            <w:gridSpan w:val="3"/>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2.96万元</w:t>
            </w:r>
          </w:p>
        </w:tc>
        <w:tc>
          <w:tcPr>
            <w:tcW w:w="1080" w:type="dxa"/>
            <w:gridSpan w:val="2"/>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20</w:t>
            </w:r>
          </w:p>
        </w:tc>
        <w:tc>
          <w:tcPr>
            <w:tcW w:w="9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20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990"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600" w:type="dxa"/>
            <w:vMerge w:val="restart"/>
            <w:tcBorders>
              <w:top w:val="nil"/>
              <w:left w:val="nil"/>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效益指标</w:t>
            </w:r>
          </w:p>
        </w:tc>
        <w:tc>
          <w:tcPr>
            <w:tcW w:w="1140" w:type="dxa"/>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可持续影响目标</w:t>
            </w:r>
          </w:p>
        </w:tc>
        <w:tc>
          <w:tcPr>
            <w:tcW w:w="1425" w:type="dxa"/>
            <w:gridSpan w:val="2"/>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提升疫情防控能力</w:t>
            </w:r>
          </w:p>
        </w:tc>
        <w:tc>
          <w:tcPr>
            <w:tcW w:w="1275" w:type="dxa"/>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≥95%</w:t>
            </w:r>
          </w:p>
        </w:tc>
        <w:tc>
          <w:tcPr>
            <w:tcW w:w="2505" w:type="dxa"/>
            <w:gridSpan w:val="3"/>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97%</w:t>
            </w:r>
          </w:p>
        </w:tc>
        <w:tc>
          <w:tcPr>
            <w:tcW w:w="1080" w:type="dxa"/>
            <w:gridSpan w:val="2"/>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20</w:t>
            </w:r>
          </w:p>
        </w:tc>
        <w:tc>
          <w:tcPr>
            <w:tcW w:w="9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20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570"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nil"/>
            </w:tcBorders>
            <w:vAlign w:val="center"/>
          </w:tcPr>
          <w:p>
            <w:pPr>
              <w:widowControl/>
              <w:jc w:val="left"/>
              <w:rPr>
                <w:rFonts w:ascii="宋体" w:hAnsi="宋体" w:eastAsia="宋体" w:cs="宋体"/>
                <w:kern w:val="0"/>
                <w:sz w:val="24"/>
                <w:szCs w:val="24"/>
              </w:rPr>
            </w:pPr>
          </w:p>
        </w:tc>
        <w:tc>
          <w:tcPr>
            <w:tcW w:w="1140" w:type="dxa"/>
            <w:tcBorders>
              <w:top w:val="nil"/>
              <w:left w:val="single" w:color="auto" w:sz="6" w:space="0"/>
              <w:bottom w:val="single" w:color="auto" w:sz="6" w:space="0"/>
              <w:right w:val="nil"/>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425" w:type="dxa"/>
            <w:gridSpan w:val="2"/>
            <w:tcBorders>
              <w:top w:val="nil"/>
              <w:left w:val="single" w:color="auto" w:sz="6" w:space="0"/>
              <w:bottom w:val="single" w:color="auto" w:sz="6" w:space="0"/>
              <w:right w:val="nil"/>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75" w:type="dxa"/>
            <w:tcBorders>
              <w:top w:val="nil"/>
              <w:left w:val="single" w:color="auto" w:sz="6" w:space="0"/>
              <w:bottom w:val="single" w:color="auto" w:sz="6" w:space="0"/>
              <w:right w:val="nil"/>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505" w:type="dxa"/>
            <w:gridSpan w:val="3"/>
            <w:tcBorders>
              <w:top w:val="nil"/>
              <w:left w:val="single" w:color="auto" w:sz="6" w:space="0"/>
              <w:bottom w:val="single" w:color="auto" w:sz="6" w:space="0"/>
              <w:right w:val="nil"/>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080" w:type="dxa"/>
            <w:gridSpan w:val="2"/>
            <w:tcBorders>
              <w:top w:val="nil"/>
              <w:left w:val="single" w:color="auto" w:sz="6" w:space="0"/>
              <w:bottom w:val="single" w:color="auto" w:sz="6" w:space="0"/>
              <w:right w:val="nil"/>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570"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600" w:type="dxa"/>
            <w:vMerge w:val="restart"/>
            <w:tcBorders>
              <w:top w:val="nil"/>
              <w:left w:val="nil"/>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满意度指标</w:t>
            </w:r>
          </w:p>
        </w:tc>
        <w:tc>
          <w:tcPr>
            <w:tcW w:w="1140" w:type="dxa"/>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服务对象满意度目标</w:t>
            </w:r>
          </w:p>
        </w:tc>
        <w:tc>
          <w:tcPr>
            <w:tcW w:w="1425" w:type="dxa"/>
            <w:gridSpan w:val="2"/>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政府满意度</w:t>
            </w:r>
          </w:p>
        </w:tc>
        <w:tc>
          <w:tcPr>
            <w:tcW w:w="1275" w:type="dxa"/>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100%</w:t>
            </w:r>
          </w:p>
        </w:tc>
        <w:tc>
          <w:tcPr>
            <w:tcW w:w="2505" w:type="dxa"/>
            <w:gridSpan w:val="3"/>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100%</w:t>
            </w:r>
          </w:p>
        </w:tc>
        <w:tc>
          <w:tcPr>
            <w:tcW w:w="1080" w:type="dxa"/>
            <w:gridSpan w:val="2"/>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10</w:t>
            </w:r>
          </w:p>
        </w:tc>
        <w:tc>
          <w:tcPr>
            <w:tcW w:w="9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10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540"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nil"/>
            </w:tcBorders>
            <w:vAlign w:val="center"/>
          </w:tcPr>
          <w:p>
            <w:pPr>
              <w:widowControl/>
              <w:jc w:val="left"/>
              <w:rPr>
                <w:rFonts w:ascii="宋体" w:hAnsi="宋体" w:eastAsia="宋体" w:cs="宋体"/>
                <w:kern w:val="0"/>
                <w:sz w:val="24"/>
                <w:szCs w:val="24"/>
              </w:rPr>
            </w:pPr>
          </w:p>
        </w:tc>
        <w:tc>
          <w:tcPr>
            <w:tcW w:w="1140" w:type="dxa"/>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服务对象满意度目标</w:t>
            </w:r>
          </w:p>
        </w:tc>
        <w:tc>
          <w:tcPr>
            <w:tcW w:w="1425" w:type="dxa"/>
            <w:gridSpan w:val="2"/>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  </w:t>
            </w:r>
          </w:p>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部门满意度</w:t>
            </w:r>
          </w:p>
        </w:tc>
        <w:tc>
          <w:tcPr>
            <w:tcW w:w="1275" w:type="dxa"/>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100%</w:t>
            </w:r>
          </w:p>
        </w:tc>
        <w:tc>
          <w:tcPr>
            <w:tcW w:w="2505" w:type="dxa"/>
            <w:gridSpan w:val="3"/>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100%</w:t>
            </w:r>
          </w:p>
        </w:tc>
        <w:tc>
          <w:tcPr>
            <w:tcW w:w="1080" w:type="dxa"/>
            <w:gridSpan w:val="2"/>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10</w:t>
            </w:r>
          </w:p>
        </w:tc>
        <w:tc>
          <w:tcPr>
            <w:tcW w:w="9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10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705" w:hRule="atLeast"/>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6" w:space="0"/>
              <w:right w:val="nil"/>
            </w:tcBorders>
            <w:vAlign w:val="center"/>
          </w:tcPr>
          <w:p>
            <w:pPr>
              <w:widowControl/>
              <w:jc w:val="left"/>
              <w:rPr>
                <w:rFonts w:ascii="宋体" w:hAnsi="宋体" w:eastAsia="宋体" w:cs="宋体"/>
                <w:kern w:val="0"/>
                <w:sz w:val="24"/>
                <w:szCs w:val="24"/>
              </w:rPr>
            </w:pPr>
          </w:p>
        </w:tc>
        <w:tc>
          <w:tcPr>
            <w:tcW w:w="1140" w:type="dxa"/>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服务对象满意度目标</w:t>
            </w:r>
          </w:p>
        </w:tc>
        <w:tc>
          <w:tcPr>
            <w:tcW w:w="1425" w:type="dxa"/>
            <w:gridSpan w:val="2"/>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群众满意度</w:t>
            </w:r>
          </w:p>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≥95%</w:t>
            </w:r>
          </w:p>
        </w:tc>
        <w:tc>
          <w:tcPr>
            <w:tcW w:w="2505" w:type="dxa"/>
            <w:gridSpan w:val="3"/>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95%</w:t>
            </w:r>
          </w:p>
        </w:tc>
        <w:tc>
          <w:tcPr>
            <w:tcW w:w="1080" w:type="dxa"/>
            <w:gridSpan w:val="2"/>
            <w:tcBorders>
              <w:top w:val="nil"/>
              <w:left w:val="single" w:color="auto" w:sz="6" w:space="0"/>
              <w:bottom w:val="single" w:color="auto" w:sz="6" w:space="0"/>
              <w:right w:val="nil"/>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10</w:t>
            </w:r>
          </w:p>
        </w:tc>
        <w:tc>
          <w:tcPr>
            <w:tcW w:w="9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8</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PrEx>
        <w:trPr>
          <w:trHeight w:val="540" w:hRule="atLeast"/>
          <w:jc w:val="center"/>
        </w:trPr>
        <w:tc>
          <w:tcPr>
            <w:tcW w:w="67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420" w:lineRule="atLeast"/>
              <w:rPr>
                <w:rFonts w:ascii="宋体" w:hAnsi="宋体" w:eastAsia="宋体" w:cs="宋体"/>
                <w:kern w:val="0"/>
                <w:sz w:val="24"/>
                <w:szCs w:val="24"/>
              </w:rPr>
            </w:pPr>
            <w:r>
              <w:rPr>
                <w:rFonts w:hint="eastAsia" w:ascii="宋体" w:hAnsi="宋体" w:eastAsia="宋体" w:cs="宋体"/>
                <w:kern w:val="0"/>
                <w:sz w:val="24"/>
                <w:szCs w:val="24"/>
              </w:rPr>
              <w:t>说明</w:t>
            </w:r>
          </w:p>
        </w:tc>
        <w:tc>
          <w:tcPr>
            <w:tcW w:w="8970" w:type="dxa"/>
            <w:gridSpan w:val="11"/>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2.绩效自评报告或案例</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本单位没有委托第三方开展绩效自评。</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（三）重点绩效评价结果</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我单位未委托第三方开展重点绩效评价。</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六、专业名词解释</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（一）财政拨款收入：</w:t>
      </w:r>
      <w:r>
        <w:rPr>
          <w:rFonts w:hint="eastAsia" w:ascii="宋体" w:hAnsi="宋体" w:eastAsia="宋体" w:cs="宋体"/>
          <w:color w:val="333333"/>
          <w:kern w:val="0"/>
          <w:sz w:val="24"/>
          <w:szCs w:val="24"/>
        </w:rPr>
        <w:t>指本年度从本级财政单位取得的财政拨款，包括一般公共预算财政拨款和政府性基金预算财政拨款。</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（二）事业收入：</w:t>
      </w:r>
      <w:r>
        <w:rPr>
          <w:rFonts w:hint="eastAsia" w:ascii="宋体" w:hAnsi="宋体" w:eastAsia="宋体" w:cs="宋体"/>
          <w:color w:val="333333"/>
          <w:kern w:val="0"/>
          <w:sz w:val="24"/>
          <w:szCs w:val="24"/>
        </w:rPr>
        <w:t>指事业单位开展专业业务活动及其辅助活动取得的现金流入；事业单位收到的财政专户实际核拨的教育收费等资金在此反映。</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（三）经营收入：</w:t>
      </w:r>
      <w:r>
        <w:rPr>
          <w:rFonts w:hint="eastAsia" w:ascii="宋体" w:hAnsi="宋体" w:eastAsia="宋体" w:cs="宋体"/>
          <w:color w:val="333333"/>
          <w:kern w:val="0"/>
          <w:sz w:val="24"/>
          <w:szCs w:val="24"/>
        </w:rPr>
        <w:t>指事业单位在专业业务活动及其辅助活动之外开展非独立核算经营活动取得的现金流入。</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（四）其他收入：</w:t>
      </w:r>
      <w:r>
        <w:rPr>
          <w:rFonts w:hint="eastAsia" w:ascii="宋体" w:hAnsi="宋体" w:eastAsia="宋体" w:cs="宋体"/>
          <w:color w:val="333333"/>
          <w:kern w:val="0"/>
          <w:sz w:val="24"/>
          <w:szCs w:val="24"/>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（五）使用非财政拨款结余：</w:t>
      </w:r>
      <w:r>
        <w:rPr>
          <w:rFonts w:hint="eastAsia" w:ascii="宋体" w:hAnsi="宋体" w:eastAsia="宋体" w:cs="宋体"/>
          <w:color w:val="333333"/>
          <w:kern w:val="0"/>
          <w:sz w:val="24"/>
          <w:szCs w:val="24"/>
        </w:rPr>
        <w:t>指单位在当年的“财政拨款收入”、“事业收入”、“经营收入”、“其他收入”等不足以安排当年支出的情况下，使用以前年度积累的非财政拨款结余弥补本年度收支缺口的资金。</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（六）年初结转和结余：</w:t>
      </w:r>
      <w:r>
        <w:rPr>
          <w:rFonts w:hint="eastAsia" w:ascii="宋体" w:hAnsi="宋体" w:eastAsia="宋体" w:cs="宋体"/>
          <w:color w:val="333333"/>
          <w:kern w:val="0"/>
          <w:sz w:val="24"/>
          <w:szCs w:val="24"/>
        </w:rPr>
        <w:t>指单位上年结转本年使用的基本支出结转、项目支出结转和结余、经营结余。</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（七）结余分配：</w:t>
      </w:r>
      <w:r>
        <w:rPr>
          <w:rFonts w:hint="eastAsia" w:ascii="宋体" w:hAnsi="宋体" w:eastAsia="宋体" w:cs="宋体"/>
          <w:color w:val="333333"/>
          <w:kern w:val="0"/>
          <w:sz w:val="24"/>
          <w:szCs w:val="24"/>
        </w:rPr>
        <w:t>指单位按照国家有关规定，缴纳所得税、提取专用基金、转入非财政拨款结余等当年结余的分配情况。</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（八）年末结转和结余：</w:t>
      </w:r>
      <w:r>
        <w:rPr>
          <w:rFonts w:hint="eastAsia" w:ascii="宋体" w:hAnsi="宋体" w:eastAsia="宋体" w:cs="宋体"/>
          <w:color w:val="333333"/>
          <w:kern w:val="0"/>
          <w:sz w:val="24"/>
          <w:szCs w:val="24"/>
        </w:rPr>
        <w:t>指单位结转下年的基本支出结转、项目支出结转和结余、经营结余。</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（九）基本支出：</w:t>
      </w:r>
      <w:r>
        <w:rPr>
          <w:rFonts w:hint="eastAsia" w:ascii="宋体" w:hAnsi="宋体" w:eastAsia="宋体" w:cs="宋体"/>
          <w:color w:val="333333"/>
          <w:kern w:val="0"/>
          <w:sz w:val="24"/>
          <w:szCs w:val="24"/>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（十）项目支出：</w:t>
      </w:r>
      <w:r>
        <w:rPr>
          <w:rFonts w:hint="eastAsia" w:ascii="宋体" w:hAnsi="宋体" w:eastAsia="宋体" w:cs="宋体"/>
          <w:color w:val="333333"/>
          <w:kern w:val="0"/>
          <w:sz w:val="24"/>
          <w:szCs w:val="24"/>
        </w:rPr>
        <w:t>指在基本支出之外为完成特定行政任务和事业发展目标所发生的支出。</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（十一）经营支出</w:t>
      </w:r>
      <w:r>
        <w:rPr>
          <w:rFonts w:hint="eastAsia" w:ascii="宋体" w:hAnsi="宋体" w:eastAsia="宋体" w:cs="宋体"/>
          <w:color w:val="333333"/>
          <w:kern w:val="0"/>
          <w:sz w:val="24"/>
          <w:szCs w:val="24"/>
        </w:rPr>
        <w:t>：指事业单位在专业业务活动及其辅助活动之外开展非独立核算经营活动发生的支出。</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（十二）“三公”经费：</w:t>
      </w:r>
      <w:r>
        <w:rPr>
          <w:rFonts w:hint="eastAsia" w:ascii="宋体" w:hAnsi="宋体" w:eastAsia="宋体" w:cs="宋体"/>
          <w:color w:val="333333"/>
          <w:kern w:val="0"/>
          <w:sz w:val="24"/>
          <w:szCs w:val="24"/>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（十三）机关运行经费：</w:t>
      </w:r>
      <w:r>
        <w:rPr>
          <w:rFonts w:hint="eastAsia" w:ascii="宋体" w:hAnsi="宋体" w:eastAsia="宋体" w:cs="宋体"/>
          <w:color w:val="333333"/>
          <w:kern w:val="0"/>
          <w:sz w:val="24"/>
          <w:szCs w:val="24"/>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（十四）工资福利支出（支出经济分类科目类级）：</w:t>
      </w:r>
      <w:r>
        <w:rPr>
          <w:rFonts w:hint="eastAsia" w:ascii="宋体" w:hAnsi="宋体" w:eastAsia="宋体" w:cs="宋体"/>
          <w:color w:val="333333"/>
          <w:kern w:val="0"/>
          <w:sz w:val="24"/>
          <w:szCs w:val="24"/>
        </w:rPr>
        <w:t>反映单位开支的在职职工和编制外长期聘用人员的各类劳动报酬，以及为上述人员缴纳的各项社会保险费等。</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（十五）商品和服务支出（支出经济分类科目类级）：</w:t>
      </w:r>
      <w:r>
        <w:rPr>
          <w:rFonts w:hint="eastAsia" w:ascii="宋体" w:hAnsi="宋体" w:eastAsia="宋体" w:cs="宋体"/>
          <w:color w:val="333333"/>
          <w:kern w:val="0"/>
          <w:sz w:val="24"/>
          <w:szCs w:val="24"/>
        </w:rPr>
        <w:t>反映单位购买商品和服务的支出（不包括用于购置固定资产的支出、战略性和应急储备支出）。</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（十六）对个人和家庭的补助（支出经济分类科目类级）：</w:t>
      </w:r>
      <w:r>
        <w:rPr>
          <w:rFonts w:hint="eastAsia" w:ascii="宋体" w:hAnsi="宋体" w:eastAsia="宋体" w:cs="宋体"/>
          <w:color w:val="333333"/>
          <w:kern w:val="0"/>
          <w:sz w:val="24"/>
          <w:szCs w:val="24"/>
        </w:rPr>
        <w:t>反映用于对个人和家庭的补助支出。</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（十七）其他资本性支出（支出经济分类科目类级）：</w:t>
      </w:r>
      <w:r>
        <w:rPr>
          <w:rFonts w:hint="eastAsia" w:ascii="宋体" w:hAnsi="宋体" w:eastAsia="宋体" w:cs="宋体"/>
          <w:color w:val="333333"/>
          <w:kern w:val="0"/>
          <w:sz w:val="24"/>
          <w:szCs w:val="24"/>
        </w:rPr>
        <w:t>反映非各级发展与改革单位集中安排的用于购置固定资产、战略性和应急性储备、土地和无形资产，以及构建基础设施、大型修缮和财政支持企业更新改造所发生的支出。</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七、决算公开联系方式及信息反馈渠道</w:t>
      </w:r>
    </w:p>
    <w:p>
      <w:pPr>
        <w:widowControl/>
        <w:shd w:val="clear" w:color="auto" w:fill="FFFFFF"/>
        <w:spacing w:line="420" w:lineRule="atLeast"/>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本单位决算公开信息反馈和联系方式：  023-70609023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70"/>
    <w:rsid w:val="00700C1C"/>
    <w:rsid w:val="00A16170"/>
    <w:rsid w:val="00E32DC4"/>
    <w:rsid w:val="7FFBD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1000</Words>
  <Characters>5703</Characters>
  <Lines>47</Lines>
  <Paragraphs>13</Paragraphs>
  <TotalTime>3</TotalTime>
  <ScaleCrop>false</ScaleCrop>
  <LinksUpToDate>false</LinksUpToDate>
  <CharactersWithSpaces>6690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2022-10-24T14:49:00Z</dcterms:created>
  <dc:creator>Microsoft</dc:creator>
  <cp:lastModifiedBy>卫健委机要秘书</cp:lastModifiedBy>
  <dcterms:modified xsi:type="dcterms:W3CDTF">2022-10-24T16:24:43Z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