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0" w:firstLineChars="200"/>
        <w:rPr>
          <w:rFonts w:hint="eastAsia" w:ascii="方正小标宋_GBK" w:eastAsia="方正小标宋_GBK" w:cs="Times New Roman"/>
          <w:color w:val="000000" w:themeColor="text1"/>
          <w:szCs w:val="32"/>
        </w:rPr>
      </w:pPr>
      <w:r>
        <w:rPr>
          <w:rFonts w:hint="eastAsia" w:ascii="方正小标宋_GBK" w:hAnsi="黑体" w:eastAsia="方正小标宋_GBK"/>
          <w:color w:val="333333"/>
          <w:sz w:val="48"/>
          <w:szCs w:val="48"/>
        </w:rPr>
        <w:t>丰都县</w:t>
      </w:r>
      <w:bookmarkStart w:id="0" w:name="_GoBack"/>
      <w:bookmarkEnd w:id="0"/>
      <w:r>
        <w:rPr>
          <w:rFonts w:hint="eastAsia" w:ascii="方正小标宋_GBK" w:hAnsi="黑体" w:eastAsia="方正小标宋_GBK"/>
          <w:color w:val="333333"/>
          <w:sz w:val="48"/>
          <w:szCs w:val="48"/>
        </w:rPr>
        <w:t>2023年经济运行情况</w:t>
      </w:r>
    </w:p>
    <w:p>
      <w:pPr>
        <w:spacing w:line="600" w:lineRule="exact"/>
        <w:ind w:firstLine="640" w:firstLineChars="200"/>
        <w:rPr>
          <w:rFonts w:hint="eastAsia" w:cs="Times New Roman"/>
          <w:color w:val="000000" w:themeColor="text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color w:val="000000" w:themeColor="text1"/>
          <w:szCs w:val="32"/>
        </w:rPr>
      </w:pPr>
      <w:r>
        <w:rPr>
          <w:rFonts w:hint="eastAsia" w:cs="Times New Roman"/>
          <w:color w:val="000000" w:themeColor="text1"/>
          <w:szCs w:val="32"/>
        </w:rPr>
        <w:t>2023年</w:t>
      </w:r>
      <w:r>
        <w:rPr>
          <w:rFonts w:cs="Times New Roman"/>
          <w:color w:val="000000" w:themeColor="text1"/>
          <w:szCs w:val="32"/>
        </w:rPr>
        <w:t>，丰都县坚持稳中求进工作总基调，持续提振市场信心，持续扩大内需，持续深化供给侧结构性改革，全县经济延续恢复性增长，总体呈现稳中向好、质效提升、企稳回升的良好态势。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根据地区生产总值统一核算结果，全年全县实现地区生产总值406.07亿元，比上年增长6.5%。其中，第一产业实现增加值56.62亿元，增长4.5%；第二产业实现增加值157.84亿元，增长8.2%；第三产业实现增加值191.61亿元，增长5.6%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方正楷体_GBK" w:eastAsia="方正楷体_GBK"/>
          <w:bCs/>
        </w:rPr>
        <w:t>一、农业生产保持稳定。</w:t>
      </w:r>
      <w:r>
        <w:rPr>
          <w:rFonts w:hint="eastAsia"/>
        </w:rPr>
        <w:t>全年全县农林牧渔业总产值</w:t>
      </w:r>
      <w:r>
        <w:t>89.0</w:t>
      </w:r>
      <w:r>
        <w:rPr>
          <w:rFonts w:hint="eastAsia"/>
        </w:rPr>
        <w:t>亿元，</w:t>
      </w:r>
      <w:r>
        <w:rPr>
          <w:rFonts w:hint="eastAsia"/>
          <w:color w:val="000000"/>
          <w:szCs w:val="32"/>
          <w:shd w:val="clear" w:color="auto" w:fill="FFFFFF"/>
        </w:rPr>
        <w:t>比上年增长</w:t>
      </w:r>
      <w:r>
        <w:t>4.7%</w:t>
      </w:r>
      <w:r>
        <w:rPr>
          <w:rFonts w:hint="eastAsia"/>
          <w:szCs w:val="32"/>
        </w:rPr>
        <w:t>。其中，</w:t>
      </w:r>
      <w:r>
        <w:rPr>
          <w:rFonts w:hint="eastAsia" w:cs="Times New Roman"/>
          <w:szCs w:val="32"/>
        </w:rPr>
        <w:t>水果产量增长劲足，增长</w:t>
      </w:r>
      <w:r>
        <w:rPr>
          <w:rFonts w:cs="Times New Roman"/>
          <w:szCs w:val="32"/>
        </w:rPr>
        <w:t>8.5%</w:t>
      </w:r>
      <w:r>
        <w:rPr>
          <w:rFonts w:hint="eastAsia" w:cs="Times New Roman"/>
          <w:szCs w:val="32"/>
        </w:rPr>
        <w:t>；</w:t>
      </w:r>
      <w:r>
        <w:rPr>
          <w:rFonts w:hint="eastAsia"/>
        </w:rPr>
        <w:t>家禽出栏</w:t>
      </w:r>
      <w:r>
        <w:t>1280.7</w:t>
      </w:r>
      <w:r>
        <w:rPr>
          <w:rFonts w:hint="eastAsia"/>
        </w:rPr>
        <w:t>万只，增长</w:t>
      </w:r>
      <w:r>
        <w:t>8.2%</w:t>
      </w:r>
      <w:r>
        <w:rPr>
          <w:rFonts w:hint="eastAsia"/>
        </w:rPr>
        <w:t>；</w:t>
      </w:r>
      <w:r>
        <w:rPr>
          <w:rFonts w:hint="eastAsia"/>
          <w:szCs w:val="32"/>
        </w:rPr>
        <w:t>全县粮食产量</w:t>
      </w:r>
      <w:r>
        <w:rPr>
          <w:szCs w:val="32"/>
        </w:rPr>
        <w:t>33.3</w:t>
      </w:r>
      <w:r>
        <w:rPr>
          <w:rFonts w:hint="eastAsia"/>
          <w:szCs w:val="32"/>
        </w:rPr>
        <w:t>万吨，增长</w:t>
      </w:r>
      <w:r>
        <w:rPr>
          <w:szCs w:val="32"/>
        </w:rPr>
        <w:t>1.7%</w:t>
      </w:r>
      <w:r>
        <w:rPr>
          <w:rFonts w:hint="eastAsia"/>
          <w:szCs w:val="32"/>
        </w:rPr>
        <w:t>；</w:t>
      </w:r>
      <w:r>
        <w:rPr>
          <w:rFonts w:hint="eastAsia"/>
        </w:rPr>
        <w:t>全县生猪出栏</w:t>
      </w:r>
      <w:r>
        <w:t>57.3</w:t>
      </w:r>
      <w:r>
        <w:rPr>
          <w:rFonts w:hint="eastAsia"/>
        </w:rPr>
        <w:t>万头，增长</w:t>
      </w:r>
      <w:r>
        <w:t>2.7%</w:t>
      </w:r>
      <w:r>
        <w:rPr>
          <w:rFonts w:hint="eastAsia"/>
        </w:rPr>
        <w:t>；牛出栏</w:t>
      </w:r>
      <w:r>
        <w:t>8.9</w:t>
      </w:r>
      <w:r>
        <w:rPr>
          <w:rFonts w:hint="eastAsia"/>
        </w:rPr>
        <w:t>万头，增长</w:t>
      </w:r>
      <w:r>
        <w:t>3.3%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 w:ascii="方正楷体_GBK" w:eastAsia="方正楷体_GBK"/>
          <w:bCs/>
        </w:rPr>
        <w:t>二、工业生产加快恢复。</w:t>
      </w:r>
      <w:r>
        <w:rPr>
          <w:rFonts w:hint="eastAsia"/>
        </w:rPr>
        <w:t>全年全县规模以上工业增加值</w:t>
      </w:r>
      <w:r>
        <w:rPr>
          <w:rFonts w:hint="eastAsia"/>
          <w:color w:val="000000"/>
          <w:szCs w:val="32"/>
          <w:shd w:val="clear" w:color="auto" w:fill="FFFFFF"/>
        </w:rPr>
        <w:t>比上年增长</w:t>
      </w:r>
      <w:r>
        <w:t>2.2%</w:t>
      </w:r>
      <w:r>
        <w:rPr>
          <w:rFonts w:hint="eastAsia"/>
        </w:rPr>
        <w:t>。</w:t>
      </w:r>
      <w:r>
        <w:rPr>
          <w:rFonts w:hint="eastAsia"/>
          <w:szCs w:val="32"/>
        </w:rPr>
        <w:t>分三大门类看，采矿业增长</w:t>
      </w:r>
      <w:r>
        <w:rPr>
          <w:szCs w:val="32"/>
        </w:rPr>
        <w:t>3.0%</w:t>
      </w:r>
      <w:r>
        <w:rPr>
          <w:rFonts w:hint="eastAsia"/>
          <w:szCs w:val="32"/>
        </w:rPr>
        <w:t>；制造业下降</w:t>
      </w:r>
      <w:r>
        <w:rPr>
          <w:szCs w:val="32"/>
        </w:rPr>
        <w:t>0.4%</w:t>
      </w:r>
      <w:r>
        <w:rPr>
          <w:rFonts w:hint="eastAsia"/>
          <w:szCs w:val="32"/>
        </w:rPr>
        <w:t>；电力、热力、燃气及水生产和供应业增长</w:t>
      </w:r>
      <w:r>
        <w:rPr>
          <w:szCs w:val="32"/>
        </w:rPr>
        <w:t>12.0%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pacing w:val="-8"/>
          <w:szCs w:val="32"/>
        </w:rPr>
      </w:pPr>
      <w:r>
        <w:rPr>
          <w:rFonts w:hint="eastAsia" w:ascii="方正楷体_GBK" w:eastAsia="方正楷体_GBK"/>
          <w:bCs/>
        </w:rPr>
        <w:t>三、服务业发展持续向好。</w:t>
      </w:r>
      <w:r>
        <w:rPr>
          <w:rFonts w:hint="eastAsia"/>
        </w:rPr>
        <w:t>全年</w:t>
      </w:r>
      <w:r>
        <w:rPr>
          <w:rFonts w:hint="eastAsia"/>
          <w:szCs w:val="32"/>
        </w:rPr>
        <w:t>全县</w:t>
      </w:r>
      <w:r>
        <w:rPr>
          <w:rFonts w:hint="eastAsia"/>
        </w:rPr>
        <w:t>规模以上服务业营业收入合计</w:t>
      </w:r>
      <w:r>
        <w:t>13.1</w:t>
      </w:r>
      <w:r>
        <w:rPr>
          <w:rFonts w:hint="eastAsia"/>
        </w:rPr>
        <w:t>亿元，</w:t>
      </w:r>
      <w:r>
        <w:rPr>
          <w:rFonts w:hint="eastAsia"/>
          <w:color w:val="000000"/>
          <w:szCs w:val="32"/>
          <w:shd w:val="clear" w:color="auto" w:fill="FFFFFF"/>
        </w:rPr>
        <w:t>比上年增长</w:t>
      </w:r>
      <w:r>
        <w:t>14.4%</w:t>
      </w:r>
      <w:r>
        <w:rPr>
          <w:rFonts w:hint="eastAsia"/>
        </w:rPr>
        <w:t>。</w:t>
      </w:r>
      <w:r>
        <w:rPr>
          <w:rFonts w:hint="eastAsia"/>
          <w:szCs w:val="32"/>
        </w:rPr>
        <w:t>其中租赁和商务服务业增长</w:t>
      </w:r>
      <w:r>
        <w:rPr>
          <w:szCs w:val="32"/>
        </w:rPr>
        <w:t>28.0%</w:t>
      </w:r>
      <w:r>
        <w:rPr>
          <w:rFonts w:hint="eastAsia"/>
          <w:szCs w:val="32"/>
        </w:rPr>
        <w:t>，科学研究和技术服务业增长</w:t>
      </w:r>
      <w:r>
        <w:rPr>
          <w:szCs w:val="32"/>
        </w:rPr>
        <w:t>100%</w:t>
      </w:r>
      <w:r>
        <w:rPr>
          <w:rFonts w:hint="eastAsia"/>
          <w:szCs w:val="32"/>
        </w:rPr>
        <w:t>；信息传输软件和信息技术服务业增长</w:t>
      </w:r>
      <w:r>
        <w:rPr>
          <w:szCs w:val="32"/>
        </w:rPr>
        <w:t>9.9%</w:t>
      </w:r>
      <w:r>
        <w:rPr>
          <w:rFonts w:hint="eastAsia"/>
          <w:szCs w:val="32"/>
        </w:rPr>
        <w:t>，居民服务修理和其他服务业营业收入下降</w:t>
      </w:r>
      <w:r>
        <w:rPr>
          <w:szCs w:val="32"/>
        </w:rPr>
        <w:t>21.7%</w:t>
      </w:r>
      <w:r>
        <w:rPr>
          <w:rFonts w:hint="eastAsia"/>
          <w:spacing w:val="-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方正楷体_GBK" w:eastAsia="方正楷体_GBK"/>
          <w:bCs/>
        </w:rPr>
        <w:t>四、消费市场快速增长。</w:t>
      </w:r>
      <w:r>
        <w:rPr>
          <w:rFonts w:hint="eastAsia"/>
        </w:rPr>
        <w:t>全年全县实现社会消费品零售总额</w:t>
      </w:r>
      <w:r>
        <w:t>253.6</w:t>
      </w:r>
      <w:r>
        <w:rPr>
          <w:rFonts w:hint="eastAsia"/>
        </w:rPr>
        <w:t>亿元，</w:t>
      </w:r>
      <w:r>
        <w:rPr>
          <w:rFonts w:hint="eastAsia"/>
          <w:color w:val="000000"/>
          <w:szCs w:val="32"/>
          <w:shd w:val="clear" w:color="auto" w:fill="FFFFFF"/>
        </w:rPr>
        <w:t>比上年</w:t>
      </w:r>
      <w:r>
        <w:rPr>
          <w:rFonts w:hint="eastAsia"/>
        </w:rPr>
        <w:t>增长</w:t>
      </w:r>
      <w:r>
        <w:t>9.0%</w:t>
      </w:r>
      <w:r>
        <w:rPr>
          <w:rFonts w:hint="eastAsia"/>
        </w:rPr>
        <w:t>。其中，限额以上社会消费品零售总额</w:t>
      </w:r>
      <w:r>
        <w:t>52.3</w:t>
      </w:r>
      <w:r>
        <w:rPr>
          <w:rFonts w:hint="eastAsia"/>
        </w:rPr>
        <w:t>亿元，增长</w:t>
      </w:r>
      <w:r>
        <w:t>5.8%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Ansi="方正仿宋_GBK" w:cs="Times New Roman"/>
          <w:spacing w:val="-8"/>
          <w:szCs w:val="32"/>
        </w:rPr>
      </w:pPr>
      <w:r>
        <w:rPr>
          <w:rFonts w:hint="eastAsia" w:ascii="方正楷体_GBK" w:eastAsia="方正楷体_GBK"/>
          <w:bCs/>
        </w:rPr>
        <w:t>五、投资动能持续增强。</w:t>
      </w:r>
      <w:r>
        <w:rPr>
          <w:rFonts w:hint="eastAsia"/>
          <w:szCs w:val="32"/>
        </w:rPr>
        <w:t>全年全县固定资产投资</w:t>
      </w:r>
      <w:r>
        <w:rPr>
          <w:rFonts w:hint="eastAsia"/>
          <w:color w:val="000000"/>
          <w:szCs w:val="32"/>
          <w:shd w:val="clear" w:color="auto" w:fill="FFFFFF"/>
        </w:rPr>
        <w:t>比上年增长</w:t>
      </w:r>
      <w:r>
        <w:rPr>
          <w:szCs w:val="32"/>
        </w:rPr>
        <w:t>14.1%</w:t>
      </w:r>
      <w:r>
        <w:rPr>
          <w:rFonts w:hint="eastAsia"/>
          <w:szCs w:val="32"/>
        </w:rPr>
        <w:t>。</w:t>
      </w:r>
      <w:r>
        <w:rPr>
          <w:rFonts w:hint="eastAsia" w:hAnsi="方正仿宋_GBK" w:cs="Times New Roman"/>
          <w:spacing w:val="-8"/>
          <w:szCs w:val="32"/>
        </w:rPr>
        <w:t>分领域看，工业投资增长</w:t>
      </w:r>
      <w:r>
        <w:rPr>
          <w:rFonts w:cs="Times New Roman"/>
          <w:spacing w:val="-8"/>
          <w:szCs w:val="32"/>
        </w:rPr>
        <w:t>26.1%</w:t>
      </w:r>
      <w:r>
        <w:rPr>
          <w:rFonts w:hint="eastAsia" w:hAnsi="方正仿宋_GBK" w:cs="Times New Roman"/>
          <w:spacing w:val="-8"/>
          <w:szCs w:val="32"/>
        </w:rPr>
        <w:t>；房地产投资增长</w:t>
      </w:r>
      <w:r>
        <w:rPr>
          <w:rFonts w:cs="Times New Roman"/>
          <w:spacing w:val="-8"/>
          <w:szCs w:val="32"/>
        </w:rPr>
        <w:t>2.0%</w:t>
      </w:r>
      <w:r>
        <w:rPr>
          <w:rFonts w:hint="eastAsia" w:hAnsi="方正仿宋_GBK" w:cs="Times New Roman"/>
          <w:spacing w:val="-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</w:rPr>
      </w:pPr>
      <w:r>
        <w:rPr>
          <w:rFonts w:hint="eastAsia" w:ascii="方正楷体_GBK" w:eastAsia="方正楷体_GBK"/>
          <w:bCs/>
        </w:rPr>
        <w:t>六、居民收入稳步提升。</w:t>
      </w:r>
      <w:r>
        <w:rPr>
          <w:rFonts w:hint="eastAsia"/>
          <w:color w:val="000000"/>
          <w:szCs w:val="32"/>
          <w:shd w:val="clear" w:color="auto" w:fill="FFFFFF"/>
        </w:rPr>
        <w:t>全年全县全体居民人均可支配收入</w:t>
      </w:r>
      <w:r>
        <w:rPr>
          <w:color w:val="000000"/>
          <w:szCs w:val="32"/>
          <w:shd w:val="clear" w:color="auto" w:fill="FFFFFF"/>
        </w:rPr>
        <w:t>32116</w:t>
      </w:r>
      <w:r>
        <w:rPr>
          <w:rFonts w:hint="eastAsia"/>
          <w:color w:val="000000"/>
          <w:szCs w:val="32"/>
          <w:shd w:val="clear" w:color="auto" w:fill="FFFFFF"/>
        </w:rPr>
        <w:t>元，比上年增长</w:t>
      </w:r>
      <w:r>
        <w:rPr>
          <w:color w:val="000000"/>
          <w:szCs w:val="32"/>
          <w:shd w:val="clear" w:color="auto" w:fill="FFFFFF"/>
        </w:rPr>
        <w:t>5.9%</w:t>
      </w:r>
      <w:r>
        <w:rPr>
          <w:rFonts w:hint="eastAsia"/>
          <w:color w:val="000000"/>
          <w:szCs w:val="32"/>
          <w:shd w:val="clear" w:color="auto" w:fill="FFFFFF"/>
        </w:rPr>
        <w:t>。其中，城镇常住居民人均可支配收入</w:t>
      </w:r>
      <w:r>
        <w:rPr>
          <w:color w:val="000000"/>
          <w:szCs w:val="32"/>
          <w:shd w:val="clear" w:color="auto" w:fill="FFFFFF"/>
        </w:rPr>
        <w:t>43439</w:t>
      </w:r>
      <w:r>
        <w:rPr>
          <w:rFonts w:hint="eastAsia"/>
          <w:color w:val="000000"/>
          <w:szCs w:val="32"/>
          <w:shd w:val="clear" w:color="auto" w:fill="FFFFFF"/>
        </w:rPr>
        <w:t>元，增长</w:t>
      </w:r>
      <w:r>
        <w:rPr>
          <w:color w:val="000000"/>
          <w:szCs w:val="32"/>
          <w:shd w:val="clear" w:color="auto" w:fill="FFFFFF"/>
        </w:rPr>
        <w:t>4.1%</w:t>
      </w:r>
      <w:r>
        <w:rPr>
          <w:rFonts w:hint="eastAsia"/>
          <w:color w:val="000000"/>
          <w:szCs w:val="32"/>
          <w:shd w:val="clear" w:color="auto" w:fill="FFFFFF"/>
        </w:rPr>
        <w:t>；农村常住居民人均可支配收入</w:t>
      </w:r>
      <w:r>
        <w:rPr>
          <w:color w:val="000000"/>
          <w:szCs w:val="32"/>
          <w:shd w:val="clear" w:color="auto" w:fill="FFFFFF"/>
        </w:rPr>
        <w:t>20317</w:t>
      </w:r>
      <w:r>
        <w:rPr>
          <w:rFonts w:hint="eastAsia"/>
          <w:color w:val="000000"/>
          <w:szCs w:val="32"/>
          <w:shd w:val="clear" w:color="auto" w:fill="FFFFFF"/>
        </w:rPr>
        <w:t>元，增长7.9%。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3A6"/>
    <w:rsid w:val="002744A5"/>
    <w:rsid w:val="00DC63A6"/>
    <w:rsid w:val="00FA4074"/>
    <w:rsid w:val="FED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nhideWhenUsed/>
    <w:qFormat/>
    <w:uiPriority w:val="99"/>
    <w:pPr>
      <w:spacing w:line="576" w:lineRule="exact"/>
    </w:pPr>
    <w:rPr>
      <w:b/>
      <w:bCs/>
      <w:szCs w:val="22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2</TotalTime>
  <ScaleCrop>false</ScaleCrop>
  <LinksUpToDate>false</LinksUpToDate>
  <CharactersWithSpaces>814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2024-02-29T12:33:00Z</dcterms:created>
  <dc:creator>326-0002</dc:creator>
  <cp:lastModifiedBy>user</cp:lastModifiedBy>
  <dcterms:modified xsi:type="dcterms:W3CDTF">2024-02-29T14:50:33Z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