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Times New Roman" w:hAnsi="Times New Roman" w:eastAsia="方正小标宋_GBK" w:cs="Times New Roman"/>
          <w:b w:val="0"/>
          <w:bCs w:val="0"/>
          <w:sz w:val="36"/>
          <w:szCs w:val="36"/>
          <w:lang w:val="en-US" w:eastAsia="zh-CN"/>
        </w:rPr>
      </w:pPr>
      <w:r>
        <w:rPr>
          <w:rFonts w:hint="default" w:ascii="Times New Roman" w:hAnsi="Times New Roman" w:eastAsia="方正小标宋_GBK" w:cs="Times New Roman"/>
          <w:b w:val="0"/>
          <w:bCs w:val="0"/>
          <w:sz w:val="36"/>
          <w:szCs w:val="36"/>
          <w:lang w:val="en-US" w:eastAsia="zh-CN"/>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丰都县商务委员会（本级）</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_GBK" w:cs="Times New Roman"/>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2024年度决算公开说明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黑体_GBK" w:hAnsi="方正黑体_GBK" w:eastAsia="方正黑体_GBK" w:cs="方正黑体_GBK"/>
          <w:color w:val="auto"/>
          <w:sz w:val="32"/>
          <w:szCs w:val="32"/>
          <w:highlight w:val="none"/>
          <w:shd w:val="clear" w:color="auto" w:fill="FFFFFF"/>
          <w:lang w:val="en-US" w:eastAsia="zh-CN"/>
        </w:rPr>
      </w:pPr>
      <w:bookmarkStart w:id="0" w:name="_GoBack"/>
      <w:r>
        <w:rPr>
          <w:rFonts w:hint="default" w:ascii="方正黑体_GBK" w:hAnsi="方正黑体_GBK" w:eastAsia="方正黑体_GBK" w:cs="方正黑体_GBK"/>
          <w:color w:val="auto"/>
          <w:sz w:val="32"/>
          <w:szCs w:val="32"/>
          <w:highlight w:val="none"/>
          <w:shd w:val="clear" w:color="auto" w:fill="FFFFFF"/>
          <w:lang w:val="en-US" w:eastAsia="zh-CN"/>
        </w:rPr>
        <w:t>一、部门基本情况</w:t>
      </w:r>
    </w:p>
    <w:bookmarkEnd w:id="0"/>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（一）职能职责</w:t>
      </w:r>
    </w:p>
    <w:p>
      <w:pPr>
        <w:keepNext w:val="0"/>
        <w:keepLines w:val="0"/>
        <w:pageBreakBefore w:val="0"/>
        <w:widowControl/>
        <w:kinsoku/>
        <w:wordWrap/>
        <w:overflowPunct/>
        <w:topLinePunct w:val="0"/>
        <w:autoSpaceDN/>
        <w:bidi w:val="0"/>
        <w:adjustRightInd/>
        <w:spacing w:line="600" w:lineRule="exact"/>
        <w:ind w:firstLine="600" w:firstLineChars="200"/>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1.负责机关日常运转，承担党群、信息、信</w:t>
      </w:r>
      <w:r>
        <w:rPr>
          <w:rFonts w:hint="default" w:ascii="Times New Roman" w:hAnsi="Times New Roman" w:eastAsia="仿宋" w:cs="Times New Roman"/>
          <w:color w:val="auto"/>
          <w:sz w:val="30"/>
          <w:szCs w:val="30"/>
          <w:highlight w:val="none"/>
        </w:rPr>
        <w:t>访、保密、统战侨务、政务公开、人事</w:t>
      </w:r>
      <w:r>
        <w:rPr>
          <w:rFonts w:hint="default" w:ascii="Times New Roman" w:hAnsi="Times New Roman" w:eastAsia="仿宋" w:cs="Times New Roman"/>
          <w:color w:val="auto"/>
          <w:sz w:val="30"/>
          <w:szCs w:val="30"/>
          <w:highlight w:val="none"/>
          <w:lang w:eastAsia="zh-CN"/>
        </w:rPr>
        <w:t>工资</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eastAsia="zh-CN"/>
        </w:rPr>
        <w:t>财务</w:t>
      </w:r>
      <w:r>
        <w:rPr>
          <w:rFonts w:hint="default" w:ascii="Times New Roman" w:hAnsi="Times New Roman" w:eastAsia="仿宋" w:cs="Times New Roman"/>
          <w:color w:val="auto"/>
          <w:sz w:val="30"/>
          <w:szCs w:val="30"/>
          <w:highlight w:val="none"/>
          <w:lang w:val="en-US" w:eastAsia="zh-CN"/>
        </w:rPr>
        <w:t>管理</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资产管理</w:t>
      </w:r>
      <w:r>
        <w:rPr>
          <w:rFonts w:hint="default" w:ascii="Times New Roman" w:hAnsi="Times New Roman" w:eastAsia="仿宋" w:cs="Times New Roman"/>
          <w:color w:val="auto"/>
          <w:sz w:val="30"/>
          <w:szCs w:val="30"/>
          <w:highlight w:val="none"/>
          <w:lang w:val="en-US" w:eastAsia="zh-CN"/>
        </w:rPr>
        <w:t>、</w:t>
      </w:r>
      <w:r>
        <w:rPr>
          <w:rFonts w:hint="default" w:ascii="Times New Roman" w:hAnsi="Times New Roman" w:eastAsia="仿宋" w:cs="Times New Roman"/>
          <w:color w:val="auto"/>
          <w:sz w:val="30"/>
          <w:szCs w:val="30"/>
          <w:highlight w:val="none"/>
        </w:rPr>
        <w:t>目标考核、督查督办、内部审计、议提案办理等工作。负责本</w:t>
      </w:r>
      <w:r>
        <w:rPr>
          <w:rFonts w:hint="eastAsia" w:ascii="Times New Roman" w:hAnsi="Times New Roman" w:eastAsia="仿宋" w:cs="Times New Roman"/>
          <w:color w:val="auto"/>
          <w:sz w:val="30"/>
          <w:szCs w:val="30"/>
          <w:highlight w:val="none"/>
          <w:lang w:val="en-US" w:eastAsia="zh-CN"/>
        </w:rPr>
        <w:t>单位</w:t>
      </w:r>
      <w:r>
        <w:rPr>
          <w:rFonts w:hint="default" w:ascii="Times New Roman" w:hAnsi="Times New Roman" w:eastAsia="仿宋" w:cs="Times New Roman"/>
          <w:color w:val="auto"/>
          <w:sz w:val="30"/>
          <w:szCs w:val="30"/>
          <w:highlight w:val="none"/>
        </w:rPr>
        <w:t>规范性文件合法合规性审查工作。负责内外贸各类资金、基金的协调和管理工作。负责机关单位财务管理工作，编制和执行财政预决算报告</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负责行业人才管理、干部教育培训工作。负责机关离退休干部管理等工作。</w:t>
      </w:r>
      <w:r>
        <w:rPr>
          <w:rFonts w:hint="default" w:ascii="Times New Roman" w:hAnsi="Times New Roman" w:eastAsia="仿宋" w:cs="Times New Roman"/>
          <w:color w:val="auto"/>
          <w:sz w:val="30"/>
          <w:szCs w:val="30"/>
          <w:highlight w:val="none"/>
          <w:lang w:val="en-US" w:eastAsia="zh-CN"/>
        </w:rPr>
        <w:t>2.</w:t>
      </w:r>
      <w:r>
        <w:rPr>
          <w:rFonts w:hint="default" w:ascii="Times New Roman" w:hAnsi="Times New Roman" w:eastAsia="仿宋" w:cs="Times New Roman"/>
          <w:color w:val="auto"/>
          <w:sz w:val="30"/>
          <w:szCs w:val="30"/>
          <w:highlight w:val="none"/>
        </w:rPr>
        <w:t>负责拟订和实施商贸流通产业发展规划、行业规划、商业网点建设规划</w:t>
      </w:r>
      <w:r>
        <w:rPr>
          <w:rFonts w:hint="default" w:ascii="Times New Roman" w:hAnsi="Times New Roman" w:eastAsia="仿宋" w:cs="Times New Roman"/>
          <w:color w:val="auto"/>
          <w:sz w:val="30"/>
          <w:szCs w:val="30"/>
          <w:highlight w:val="none"/>
          <w:lang w:val="en-US" w:eastAsia="zh-CN"/>
        </w:rPr>
        <w:t>并组织实施。负责商贸流通行业</w:t>
      </w:r>
      <w:r>
        <w:rPr>
          <w:rFonts w:hint="default" w:ascii="Times New Roman" w:hAnsi="Times New Roman" w:eastAsia="仿宋" w:cs="Times New Roman"/>
          <w:color w:val="auto"/>
          <w:sz w:val="30"/>
          <w:szCs w:val="30"/>
          <w:highlight w:val="none"/>
        </w:rPr>
        <w:t>年度、季度目标计划</w:t>
      </w:r>
      <w:r>
        <w:rPr>
          <w:rFonts w:hint="default" w:ascii="Times New Roman" w:hAnsi="Times New Roman" w:eastAsia="仿宋" w:cs="Times New Roman"/>
          <w:color w:val="auto"/>
          <w:sz w:val="30"/>
          <w:szCs w:val="30"/>
          <w:highlight w:val="none"/>
          <w:lang w:val="en-US" w:eastAsia="zh-CN"/>
        </w:rPr>
        <w:t>并组织实施。负责商贸流通行业项目策划、包装，</w:t>
      </w:r>
      <w:r>
        <w:rPr>
          <w:rFonts w:hint="default" w:ascii="Times New Roman" w:hAnsi="Times New Roman" w:eastAsia="仿宋" w:cs="Times New Roman"/>
          <w:color w:val="auto"/>
          <w:sz w:val="30"/>
          <w:szCs w:val="30"/>
          <w:highlight w:val="none"/>
        </w:rPr>
        <w:t>统筹协调项目</w:t>
      </w:r>
      <w:r>
        <w:rPr>
          <w:rFonts w:hint="default" w:ascii="Times New Roman" w:hAnsi="Times New Roman" w:eastAsia="仿宋" w:cs="Times New Roman"/>
          <w:color w:val="auto"/>
          <w:sz w:val="30"/>
          <w:szCs w:val="30"/>
          <w:highlight w:val="none"/>
          <w:lang w:eastAsia="zh-CN"/>
        </w:rPr>
        <w:t>投资</w:t>
      </w:r>
      <w:r>
        <w:rPr>
          <w:rFonts w:hint="default" w:ascii="Times New Roman" w:hAnsi="Times New Roman" w:eastAsia="仿宋" w:cs="Times New Roman"/>
          <w:color w:val="auto"/>
          <w:sz w:val="30"/>
          <w:szCs w:val="30"/>
          <w:highlight w:val="none"/>
        </w:rPr>
        <w:t>计划</w:t>
      </w:r>
      <w:r>
        <w:rPr>
          <w:rFonts w:hint="default" w:ascii="Times New Roman" w:hAnsi="Times New Roman" w:eastAsia="仿宋" w:cs="Times New Roman"/>
          <w:color w:val="auto"/>
          <w:sz w:val="30"/>
          <w:szCs w:val="30"/>
          <w:highlight w:val="none"/>
          <w:lang w:eastAsia="zh-CN"/>
        </w:rPr>
        <w:t>的实施和推进。负责</w:t>
      </w:r>
      <w:r>
        <w:rPr>
          <w:rFonts w:hint="default" w:ascii="Times New Roman" w:hAnsi="Times New Roman" w:eastAsia="仿宋" w:cs="Times New Roman"/>
          <w:color w:val="auto"/>
          <w:sz w:val="30"/>
          <w:szCs w:val="30"/>
          <w:highlight w:val="none"/>
        </w:rPr>
        <w:t>分析商贸流通经济运行状况</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商贸流通行业重点企业运行调度，</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限上</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企业的培育和发展，指导企业</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一套表</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数据的填报工作。指导商贸流通业改革工作</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组织开展专项调研活动，提出商贸流通业发展战略建议。</w:t>
      </w:r>
      <w:r>
        <w:rPr>
          <w:rFonts w:hint="default" w:ascii="Times New Roman" w:hAnsi="Times New Roman" w:eastAsia="仿宋" w:cs="Times New Roman"/>
          <w:color w:val="auto"/>
          <w:sz w:val="30"/>
          <w:szCs w:val="30"/>
          <w:highlight w:val="none"/>
          <w:lang w:val="en-US" w:eastAsia="zh-CN"/>
        </w:rPr>
        <w:t>拟定地方性产业政策，提出优化产业结构政策建议，引导大中小微企业协同发展。</w:t>
      </w:r>
      <w:r>
        <w:rPr>
          <w:rFonts w:hint="default" w:ascii="Times New Roman" w:hAnsi="Times New Roman" w:eastAsia="仿宋" w:cs="Times New Roman"/>
          <w:color w:val="auto"/>
          <w:sz w:val="30"/>
          <w:szCs w:val="30"/>
          <w:highlight w:val="none"/>
        </w:rPr>
        <w:t>负责招商引资及对外经济合作。承担重要商品的市场供求状况监测及市场预测、预警和信息发布工作</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落实重要生活必需品储备制度，负责突发性灾害和突发性事件重要商品应急保供工作。承担商贸流通信息网站建设管理工作。</w:t>
      </w:r>
      <w:r>
        <w:rPr>
          <w:rFonts w:hint="default" w:ascii="Times New Roman" w:hAnsi="Times New Roman" w:eastAsia="仿宋" w:cs="Times New Roman"/>
          <w:color w:val="auto"/>
          <w:sz w:val="30"/>
          <w:szCs w:val="30"/>
          <w:highlight w:val="none"/>
          <w:lang w:val="en-US" w:eastAsia="zh-CN"/>
        </w:rPr>
        <w:t>3.</w:t>
      </w:r>
      <w:r>
        <w:rPr>
          <w:rFonts w:hint="default" w:ascii="Times New Roman" w:hAnsi="Times New Roman" w:eastAsia="仿宋" w:cs="Times New Roman"/>
          <w:color w:val="auto"/>
          <w:sz w:val="30"/>
          <w:szCs w:val="30"/>
          <w:highlight w:val="none"/>
        </w:rPr>
        <w:t>负责农产品市场体系建设，负责“商贸强镇”、乡镇商圈创建工作</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负责农超对接等农产品产销对接工作。拟订和实施现代物流业发展战略、规划、计划和政策措施，推进物流业发展。指导协调全县物流园区、物流分拨中心规划布局和多式联运体系发展</w:t>
      </w:r>
      <w:r>
        <w:rPr>
          <w:rFonts w:hint="default" w:ascii="Times New Roman" w:hAnsi="Times New Roman" w:eastAsia="仿宋" w:cs="Times New Roman"/>
          <w:color w:val="auto"/>
          <w:sz w:val="30"/>
          <w:szCs w:val="30"/>
          <w:highlight w:val="none"/>
          <w:lang w:val="en-US" w:eastAsia="zh-CN"/>
        </w:rPr>
        <w:t>统筹</w:t>
      </w:r>
      <w:r>
        <w:rPr>
          <w:rFonts w:hint="default" w:ascii="Times New Roman" w:hAnsi="Times New Roman" w:eastAsia="仿宋" w:cs="Times New Roman"/>
          <w:color w:val="auto"/>
          <w:sz w:val="30"/>
          <w:szCs w:val="30"/>
          <w:highlight w:val="none"/>
        </w:rPr>
        <w:t>工作。提升物流通道互联互通水平，提高多式联运枢纽集疏运能力。统筹商贸行业仓储物流发展和监管工作。负责农产品、食品等冷链物流高质量发展，提高农产品流通效率和现代化水平。负责智能物流、物联网等现代物流技术、信息化技术的推广应用。负责与市口岸物流办对接物流相关工作。统筹西部陆海新通道、</w:t>
      </w:r>
      <w:r>
        <w:rPr>
          <w:rFonts w:hint="eastAsia"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eastAsia="zh-CN"/>
        </w:rPr>
        <w:t>一</w:t>
      </w:r>
      <w:r>
        <w:rPr>
          <w:rFonts w:hint="default" w:ascii="Times New Roman" w:hAnsi="Times New Roman" w:eastAsia="仿宋" w:cs="Times New Roman"/>
          <w:color w:val="auto"/>
          <w:sz w:val="30"/>
          <w:szCs w:val="30"/>
          <w:highlight w:val="none"/>
        </w:rPr>
        <w:t>带</w:t>
      </w:r>
      <w:r>
        <w:rPr>
          <w:rFonts w:hint="default" w:ascii="Times New Roman" w:hAnsi="Times New Roman" w:eastAsia="仿宋" w:cs="Times New Roman"/>
          <w:color w:val="auto"/>
          <w:sz w:val="30"/>
          <w:szCs w:val="30"/>
          <w:highlight w:val="none"/>
          <w:lang w:eastAsia="zh-CN"/>
        </w:rPr>
        <w:t>一</w:t>
      </w:r>
      <w:r>
        <w:rPr>
          <w:rFonts w:hint="default" w:ascii="Times New Roman" w:hAnsi="Times New Roman" w:eastAsia="仿宋" w:cs="Times New Roman"/>
          <w:color w:val="auto"/>
          <w:sz w:val="30"/>
          <w:szCs w:val="30"/>
          <w:highlight w:val="none"/>
        </w:rPr>
        <w:t>路</w:t>
      </w:r>
      <w:r>
        <w:rPr>
          <w:rFonts w:hint="eastAsia"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、渝新欧大通道工作。</w:t>
      </w:r>
      <w:r>
        <w:rPr>
          <w:rFonts w:hint="default" w:ascii="Times New Roman" w:hAnsi="Times New Roman" w:eastAsia="仿宋" w:cs="Times New Roman"/>
          <w:color w:val="auto"/>
          <w:sz w:val="30"/>
          <w:szCs w:val="30"/>
          <w:highlight w:val="none"/>
          <w:lang w:val="en-US" w:eastAsia="zh-CN"/>
        </w:rPr>
        <w:t>4.</w:t>
      </w:r>
      <w:r>
        <w:rPr>
          <w:rFonts w:hint="default" w:ascii="Times New Roman" w:hAnsi="Times New Roman" w:eastAsia="仿宋" w:cs="Times New Roman"/>
          <w:color w:val="auto"/>
          <w:sz w:val="30"/>
          <w:szCs w:val="30"/>
          <w:highlight w:val="none"/>
        </w:rPr>
        <w:t>负责推动商务区（商圈）、特色商业街、商品交易市场</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除乡镇农贸市场）</w:t>
      </w:r>
      <w:r>
        <w:rPr>
          <w:rFonts w:hint="default" w:ascii="Times New Roman" w:hAnsi="Times New Roman" w:eastAsia="仿宋" w:cs="Times New Roman"/>
          <w:color w:val="auto"/>
          <w:sz w:val="30"/>
          <w:szCs w:val="30"/>
          <w:highlight w:val="none"/>
        </w:rPr>
        <w:t>和社区商业发展，制定、完善、实施相关建设规范。负责管理批零销售、连锁经营、直销规范等工作。负责老字号发展与保护。负责会展行业管理和组织会展活动。负责商贸文化品牌建设工作。负责餐饮住宿业管理工作</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牵头组织餐饮业、住宿业等级评定工作。负责家政、人像摄影、婚庆、沐浴、美容美发、家电维修、洗染等生活服务行业管理工作</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指导生活服务业技能技术培训。负责商贸行业协会管理工作。</w:t>
      </w:r>
      <w:r>
        <w:rPr>
          <w:rFonts w:hint="default" w:ascii="Times New Roman" w:hAnsi="Times New Roman" w:eastAsia="仿宋" w:cs="Times New Roman"/>
          <w:color w:val="auto"/>
          <w:sz w:val="30"/>
          <w:szCs w:val="30"/>
          <w:highlight w:val="none"/>
          <w:lang w:val="en-US" w:eastAsia="zh-CN"/>
        </w:rPr>
        <w:t>5.负责</w:t>
      </w:r>
      <w:r>
        <w:rPr>
          <w:rFonts w:hint="default" w:ascii="Times New Roman" w:hAnsi="Times New Roman" w:eastAsia="仿宋" w:cs="Times New Roman"/>
          <w:color w:val="auto"/>
          <w:sz w:val="30"/>
          <w:szCs w:val="30"/>
          <w:highlight w:val="none"/>
        </w:rPr>
        <w:t>商务领域</w:t>
      </w:r>
      <w:r>
        <w:rPr>
          <w:rFonts w:hint="default" w:ascii="Times New Roman" w:hAnsi="Times New Roman" w:eastAsia="仿宋" w:cs="Times New Roman"/>
          <w:color w:val="auto"/>
          <w:sz w:val="30"/>
          <w:szCs w:val="30"/>
          <w:highlight w:val="none"/>
          <w:lang w:val="en-US" w:eastAsia="zh-CN"/>
        </w:rPr>
        <w:t>执法工作。</w:t>
      </w:r>
      <w:r>
        <w:rPr>
          <w:rFonts w:hint="default" w:ascii="Times New Roman" w:hAnsi="Times New Roman" w:eastAsia="仿宋" w:cs="Times New Roman"/>
          <w:color w:val="auto"/>
          <w:sz w:val="30"/>
          <w:szCs w:val="30"/>
          <w:highlight w:val="none"/>
        </w:rPr>
        <w:t>负责商贸流通、成品油、汽车流通、报废汽车、二手车、再生资源回收与利用、废弃电子产品处理、美容美发、洗染等行业安全、生态文明建设与环境保护</w:t>
      </w:r>
      <w:r>
        <w:rPr>
          <w:rFonts w:hint="default" w:ascii="Times New Roman" w:hAnsi="Times New Roman" w:eastAsia="仿宋" w:cs="Times New Roman"/>
          <w:color w:val="auto"/>
          <w:sz w:val="30"/>
          <w:szCs w:val="30"/>
          <w:highlight w:val="none"/>
          <w:lang w:val="en-US" w:eastAsia="zh-CN"/>
        </w:rPr>
        <w:t>指导督促</w:t>
      </w:r>
      <w:r>
        <w:rPr>
          <w:rFonts w:hint="default" w:ascii="Times New Roman" w:hAnsi="Times New Roman" w:eastAsia="仿宋" w:cs="Times New Roman"/>
          <w:color w:val="auto"/>
          <w:sz w:val="30"/>
          <w:szCs w:val="30"/>
          <w:highlight w:val="none"/>
        </w:rPr>
        <w:t>职责。牵头协调实施限制销售、使用塑料购物袋有关工作。负责整顿和规范集镇燃煤销售网点工作负责商务领域社会治安综合治理、法制、诚信建设、反恐防</w:t>
      </w:r>
      <w:r>
        <w:rPr>
          <w:rFonts w:hint="default" w:ascii="Times New Roman" w:hAnsi="Times New Roman" w:eastAsia="仿宋" w:cs="Times New Roman"/>
          <w:color w:val="auto"/>
          <w:sz w:val="30"/>
          <w:szCs w:val="30"/>
          <w:highlight w:val="none"/>
          <w:lang w:eastAsia="zh-CN"/>
        </w:rPr>
        <w:t>暴</w:t>
      </w:r>
      <w:r>
        <w:rPr>
          <w:rFonts w:hint="default" w:ascii="Times New Roman" w:hAnsi="Times New Roman" w:eastAsia="仿宋" w:cs="Times New Roman"/>
          <w:color w:val="auto"/>
          <w:sz w:val="30"/>
          <w:szCs w:val="30"/>
          <w:highlight w:val="none"/>
        </w:rPr>
        <w:t>工作。负责机关法定职责内的行政许可和公共服务事项办理工作。</w:t>
      </w:r>
      <w:r>
        <w:rPr>
          <w:rFonts w:hint="default" w:ascii="Times New Roman" w:hAnsi="Times New Roman" w:eastAsia="仿宋" w:cs="Times New Roman"/>
          <w:color w:val="auto"/>
          <w:sz w:val="30"/>
          <w:szCs w:val="30"/>
          <w:highlight w:val="none"/>
          <w:lang w:eastAsia="zh-CN"/>
        </w:rPr>
        <w:t>负责商务领域案件法制审查工作。</w:t>
      </w:r>
      <w:r>
        <w:rPr>
          <w:rFonts w:hint="default" w:ascii="Times New Roman" w:hAnsi="Times New Roman" w:eastAsia="仿宋" w:cs="Times New Roman"/>
          <w:color w:val="auto"/>
          <w:sz w:val="30"/>
          <w:szCs w:val="30"/>
          <w:highlight w:val="none"/>
          <w:lang w:val="en-US" w:eastAsia="zh-CN"/>
        </w:rPr>
        <w:t>6.</w:t>
      </w:r>
      <w:r>
        <w:rPr>
          <w:rFonts w:hint="default" w:ascii="Times New Roman" w:hAnsi="Times New Roman" w:eastAsia="仿宋" w:cs="Times New Roman"/>
          <w:color w:val="auto"/>
          <w:sz w:val="30"/>
          <w:szCs w:val="30"/>
          <w:highlight w:val="none"/>
        </w:rPr>
        <w:t>贯彻执行国家外贸外资外经、口岸开放工作方针政策和法律法规，推动“三外”及口岸开放管理工作落地见效，实现高质量发展。负责拟订和实施全县外贸外资外经发展规划，提出促进“三外”工作高质量发展的政策举措。负责跟踪、监测外贸企业进出口情况，分析研究全县外贸运行情况，提出对策建议并组织实施。负责发展贸易新业态，组织企业出国参展拓展海外市场。负责全县外商投资促进工作，开展外资引进招商推介活动。负责对外投资、对外劳务派遣、对外承包工程和实施对外援助工作。负责拟定全县口岸发展战略、中长期发展规划及年度计划并组织实施。牵头做好内陆型开放高地建设、经开区、中新示范项目合作、自由贸易试验区联动创新区等相关工作，负责保税仓储、海关监管作业场所、指定监管场地等开放功能平台搭建及提档升级工作。负责与重庆海关、市政府口岸物流办、市贸促会对接贸易发展及开放平台工作。</w:t>
      </w:r>
      <w:r>
        <w:rPr>
          <w:rFonts w:hint="default" w:ascii="Times New Roman" w:hAnsi="Times New Roman" w:eastAsia="仿宋" w:cs="Times New Roman"/>
          <w:color w:val="auto"/>
          <w:sz w:val="30"/>
          <w:szCs w:val="30"/>
          <w:highlight w:val="none"/>
          <w:lang w:val="en-US" w:eastAsia="zh-CN"/>
        </w:rPr>
        <w:t>7.</w:t>
      </w:r>
      <w:r>
        <w:rPr>
          <w:rFonts w:hint="default" w:ascii="Times New Roman" w:hAnsi="Times New Roman" w:eastAsia="仿宋" w:cs="Times New Roman"/>
          <w:color w:val="auto"/>
          <w:sz w:val="30"/>
          <w:szCs w:val="30"/>
          <w:highlight w:val="none"/>
        </w:rPr>
        <w:t>负责拟订和实施电子商务发展相关政策、规划、计划、政策措施，推进落实电子商务相关标准。负责电子商务行业管理，牵头推进</w:t>
      </w:r>
      <w:r>
        <w:rPr>
          <w:rFonts w:hint="default" w:ascii="Times New Roman" w:hAnsi="Times New Roman" w:eastAsia="仿宋" w:cs="Times New Roman"/>
          <w:color w:val="auto"/>
          <w:sz w:val="30"/>
          <w:szCs w:val="30"/>
          <w:highlight w:val="none"/>
          <w:lang w:val="en-US" w:eastAsia="zh-CN"/>
        </w:rPr>
        <w:t>商贸</w:t>
      </w:r>
      <w:r>
        <w:rPr>
          <w:rFonts w:hint="default" w:ascii="Times New Roman" w:hAnsi="Times New Roman" w:eastAsia="仿宋" w:cs="Times New Roman"/>
          <w:color w:val="auto"/>
          <w:sz w:val="30"/>
          <w:szCs w:val="30"/>
          <w:highlight w:val="none"/>
        </w:rPr>
        <w:t>行业</w:t>
      </w:r>
      <w:r>
        <w:rPr>
          <w:rFonts w:hint="default" w:ascii="Times New Roman" w:hAnsi="Times New Roman" w:eastAsia="仿宋" w:cs="Times New Roman"/>
          <w:color w:val="auto"/>
          <w:sz w:val="30"/>
          <w:szCs w:val="30"/>
          <w:highlight w:val="none"/>
          <w:lang w:val="en-US" w:eastAsia="zh-CN"/>
        </w:rPr>
        <w:t>电子信息化</w:t>
      </w:r>
      <w:r>
        <w:rPr>
          <w:rFonts w:hint="default" w:ascii="Times New Roman" w:hAnsi="Times New Roman" w:eastAsia="仿宋" w:cs="Times New Roman"/>
          <w:color w:val="auto"/>
          <w:sz w:val="30"/>
          <w:szCs w:val="30"/>
          <w:highlight w:val="none"/>
        </w:rPr>
        <w:t>应用，协调支持配送、支付、技术、认证等配套行业发展。负责农村电子商务公共服务、共同配送和人才培训体系建设</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负责统筹协调消费</w:t>
      </w:r>
      <w:r>
        <w:rPr>
          <w:rFonts w:hint="default" w:ascii="Times New Roman" w:hAnsi="Times New Roman" w:eastAsia="仿宋" w:cs="Times New Roman"/>
          <w:color w:val="auto"/>
          <w:sz w:val="30"/>
          <w:szCs w:val="30"/>
          <w:highlight w:val="none"/>
          <w:lang w:val="en-US" w:eastAsia="zh-CN"/>
        </w:rPr>
        <w:t>帮扶</w:t>
      </w:r>
      <w:r>
        <w:rPr>
          <w:rFonts w:hint="default" w:ascii="Times New Roman" w:hAnsi="Times New Roman" w:eastAsia="仿宋" w:cs="Times New Roman"/>
          <w:color w:val="auto"/>
          <w:sz w:val="30"/>
          <w:szCs w:val="30"/>
          <w:highlight w:val="none"/>
        </w:rPr>
        <w:t>工作。负责网销农产品追溯和质量保障体系建设及农产品电商品牌培育工作。负责电子商务行业统计、监测、分析和信息发布工作。</w:t>
      </w:r>
      <w:r>
        <w:rPr>
          <w:rFonts w:hint="default" w:ascii="Times New Roman" w:hAnsi="Times New Roman" w:eastAsia="仿宋" w:cs="Times New Roman"/>
          <w:color w:val="auto"/>
          <w:sz w:val="30"/>
          <w:szCs w:val="30"/>
          <w:highlight w:val="none"/>
          <w:lang w:val="en-US" w:eastAsia="zh-CN"/>
        </w:rPr>
        <w:t>负责跨境电商工作。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（二）机构设置</w:t>
      </w:r>
    </w:p>
    <w:p>
      <w:pPr>
        <w:keepNext w:val="0"/>
        <w:keepLines w:val="0"/>
        <w:pageBreakBefore w:val="0"/>
        <w:widowControl/>
        <w:kinsoku/>
        <w:wordWrap/>
        <w:overflowPunct/>
        <w:topLinePunct w:val="0"/>
        <w:autoSpaceDN/>
        <w:bidi w:val="0"/>
        <w:adjustRightInd/>
        <w:spacing w:line="600" w:lineRule="exact"/>
        <w:ind w:firstLine="600" w:firstLineChars="200"/>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丰都县</w:t>
      </w:r>
      <w:r>
        <w:rPr>
          <w:rFonts w:hint="default" w:ascii="Times New Roman" w:hAnsi="Times New Roman" w:eastAsia="仿宋" w:cs="Times New Roman"/>
          <w:color w:val="auto"/>
          <w:sz w:val="30"/>
          <w:szCs w:val="30"/>
          <w:highlight w:val="none"/>
          <w:lang w:val="en-US" w:eastAsia="zh-CN"/>
        </w:rPr>
        <w:t>商务委员会</w:t>
      </w:r>
      <w:r>
        <w:rPr>
          <w:rFonts w:hint="default" w:ascii="Times New Roman" w:hAnsi="Times New Roman" w:eastAsia="仿宋" w:cs="Times New Roman"/>
          <w:color w:val="auto"/>
          <w:sz w:val="30"/>
          <w:szCs w:val="30"/>
          <w:highlight w:val="none"/>
        </w:rPr>
        <w:t>（本级）二级预算单位，内设</w:t>
      </w:r>
      <w:r>
        <w:rPr>
          <w:rFonts w:hint="default" w:ascii="Times New Roman" w:hAnsi="Times New Roman" w:eastAsia="仿宋" w:cs="Times New Roman"/>
          <w:color w:val="auto"/>
          <w:sz w:val="30"/>
          <w:szCs w:val="30"/>
          <w:highlight w:val="none"/>
          <w:lang w:val="en-US" w:eastAsia="zh-CN"/>
        </w:rPr>
        <w:t>7</w:t>
      </w:r>
      <w:r>
        <w:rPr>
          <w:rFonts w:hint="default" w:ascii="Times New Roman" w:hAnsi="Times New Roman" w:eastAsia="仿宋" w:cs="Times New Roman"/>
          <w:color w:val="auto"/>
          <w:sz w:val="30"/>
          <w:szCs w:val="30"/>
          <w:highlight w:val="none"/>
        </w:rPr>
        <w:t>个职能科室（</w:t>
      </w:r>
      <w:r>
        <w:rPr>
          <w:rFonts w:hint="default" w:ascii="Times New Roman" w:hAnsi="Times New Roman" w:eastAsia="仿宋" w:cs="Times New Roman"/>
          <w:color w:val="auto"/>
          <w:sz w:val="30"/>
          <w:szCs w:val="30"/>
          <w:highlight w:val="none"/>
          <w:lang w:val="en-US" w:eastAsia="zh-CN"/>
        </w:rPr>
        <w:t>办公室、</w:t>
      </w:r>
      <w:r>
        <w:rPr>
          <w:rFonts w:hint="default" w:ascii="Times New Roman" w:hAnsi="Times New Roman" w:eastAsia="仿宋" w:cs="Times New Roman"/>
          <w:color w:val="auto"/>
          <w:sz w:val="30"/>
          <w:szCs w:val="30"/>
          <w:highlight w:val="none"/>
        </w:rPr>
        <w:t>规划</w:t>
      </w:r>
      <w:r>
        <w:rPr>
          <w:rFonts w:hint="default" w:ascii="Times New Roman" w:hAnsi="Times New Roman" w:eastAsia="仿宋" w:cs="Times New Roman"/>
          <w:color w:val="auto"/>
          <w:sz w:val="30"/>
          <w:szCs w:val="30"/>
          <w:highlight w:val="none"/>
          <w:lang w:eastAsia="zh-CN"/>
        </w:rPr>
        <w:t>投资</w:t>
      </w:r>
      <w:r>
        <w:rPr>
          <w:rFonts w:hint="default" w:ascii="Times New Roman" w:hAnsi="Times New Roman" w:eastAsia="仿宋" w:cs="Times New Roman"/>
          <w:color w:val="auto"/>
          <w:sz w:val="30"/>
          <w:szCs w:val="30"/>
          <w:highlight w:val="none"/>
        </w:rPr>
        <w:t>科、</w:t>
      </w:r>
      <w:r>
        <w:rPr>
          <w:rFonts w:hint="default" w:ascii="Times New Roman" w:hAnsi="Times New Roman" w:eastAsia="仿宋" w:cs="Times New Roman"/>
          <w:color w:val="auto"/>
          <w:sz w:val="30"/>
          <w:szCs w:val="30"/>
          <w:highlight w:val="none"/>
          <w:lang w:val="en-US" w:eastAsia="zh-CN"/>
        </w:rPr>
        <w:t>现代流通科、商业发展服务科、</w:t>
      </w:r>
      <w:r>
        <w:rPr>
          <w:rFonts w:hint="default" w:ascii="Times New Roman" w:hAnsi="Times New Roman" w:eastAsia="仿宋" w:cs="Times New Roman"/>
          <w:color w:val="auto"/>
          <w:sz w:val="30"/>
          <w:szCs w:val="30"/>
          <w:highlight w:val="none"/>
        </w:rPr>
        <w:t>行政</w:t>
      </w:r>
      <w:r>
        <w:rPr>
          <w:rFonts w:hint="default" w:ascii="Times New Roman" w:hAnsi="Times New Roman" w:eastAsia="仿宋" w:cs="Times New Roman"/>
          <w:color w:val="auto"/>
          <w:sz w:val="30"/>
          <w:szCs w:val="30"/>
          <w:highlight w:val="none"/>
          <w:lang w:val="en-US" w:eastAsia="zh-CN"/>
        </w:rPr>
        <w:t>执法</w:t>
      </w:r>
      <w:r>
        <w:rPr>
          <w:rFonts w:hint="default" w:ascii="Times New Roman" w:hAnsi="Times New Roman" w:eastAsia="仿宋" w:cs="Times New Roman"/>
          <w:color w:val="auto"/>
          <w:sz w:val="30"/>
          <w:szCs w:val="30"/>
          <w:highlight w:val="none"/>
        </w:rPr>
        <w:t>科</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外经贸与开放平台科、</w:t>
      </w:r>
      <w:r>
        <w:rPr>
          <w:rFonts w:hint="default" w:ascii="Times New Roman" w:hAnsi="Times New Roman" w:eastAsia="仿宋" w:cs="Times New Roman"/>
          <w:color w:val="auto"/>
          <w:sz w:val="30"/>
          <w:szCs w:val="30"/>
          <w:highlight w:val="none"/>
        </w:rPr>
        <w:t>电商</w:t>
      </w:r>
      <w:r>
        <w:rPr>
          <w:rFonts w:hint="default" w:ascii="Times New Roman" w:hAnsi="Times New Roman" w:eastAsia="仿宋" w:cs="Times New Roman"/>
          <w:color w:val="auto"/>
          <w:sz w:val="30"/>
          <w:szCs w:val="30"/>
          <w:highlight w:val="none"/>
          <w:lang w:val="en-US" w:eastAsia="zh-CN"/>
        </w:rPr>
        <w:t>与信息化</w:t>
      </w:r>
      <w:r>
        <w:rPr>
          <w:rFonts w:hint="default" w:ascii="Times New Roman" w:hAnsi="Times New Roman" w:eastAsia="仿宋" w:cs="Times New Roman"/>
          <w:color w:val="auto"/>
          <w:sz w:val="30"/>
          <w:szCs w:val="30"/>
          <w:highlight w:val="none"/>
        </w:rPr>
        <w:t>科</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行政编制</w:t>
      </w:r>
      <w:r>
        <w:rPr>
          <w:rFonts w:hint="default" w:ascii="Times New Roman" w:hAnsi="Times New Roman" w:eastAsia="仿宋" w:cs="Times New Roman"/>
          <w:color w:val="auto"/>
          <w:sz w:val="30"/>
          <w:szCs w:val="30"/>
          <w:highlight w:val="none"/>
          <w:lang w:val="en-US" w:eastAsia="zh-CN"/>
        </w:rPr>
        <w:t>15</w:t>
      </w:r>
      <w:r>
        <w:rPr>
          <w:rFonts w:hint="default" w:ascii="Times New Roman" w:hAnsi="Times New Roman" w:eastAsia="仿宋" w:cs="Times New Roman"/>
          <w:color w:val="auto"/>
          <w:sz w:val="30"/>
          <w:szCs w:val="30"/>
          <w:highlight w:val="none"/>
        </w:rPr>
        <w:t>名，</w:t>
      </w:r>
      <w:r>
        <w:rPr>
          <w:rFonts w:hint="default" w:ascii="Times New Roman" w:hAnsi="Times New Roman" w:eastAsia="仿宋" w:cs="Times New Roman"/>
          <w:color w:val="auto"/>
          <w:sz w:val="30"/>
          <w:szCs w:val="30"/>
          <w:highlight w:val="none"/>
          <w:lang w:val="en-US" w:eastAsia="zh-CN"/>
        </w:rPr>
        <w:t>2024年末在编在职人数15人。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黑体_GBK" w:hAnsi="方正黑体_GBK" w:eastAsia="方正黑体_GBK" w:cs="方正黑体_GBK"/>
          <w:color w:val="auto"/>
          <w:sz w:val="32"/>
          <w:szCs w:val="32"/>
          <w:highlight w:val="none"/>
          <w:shd w:val="clear" w:color="auto" w:fill="FFFFFF"/>
          <w:lang w:val="en-US" w:eastAsia="zh-CN"/>
        </w:rPr>
      </w:pPr>
      <w:r>
        <w:rPr>
          <w:rFonts w:hint="default" w:ascii="方正黑体_GBK" w:hAnsi="方正黑体_GBK" w:eastAsia="方正黑体_GBK" w:cs="方正黑体_GBK"/>
          <w:color w:val="auto"/>
          <w:sz w:val="32"/>
          <w:szCs w:val="32"/>
          <w:highlight w:val="none"/>
          <w:shd w:val="clear" w:color="auto" w:fill="FFFFFF"/>
          <w:lang w:val="en-US" w:eastAsia="zh-CN"/>
        </w:rPr>
        <w:t>二、部门决算收支情况说明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（一）收入支出决算总体情况说明</w:t>
      </w:r>
    </w:p>
    <w:p>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2024年度收、支总计均为3513.86万元。收、支与2023年度相比，减少15.57万元，下降0.4%，主要原因是</w:t>
      </w:r>
      <w:r>
        <w:rPr>
          <w:rFonts w:hint="default" w:ascii="Times New Roman" w:hAnsi="Times New Roman" w:eastAsia="仿宋" w:cs="Times New Roman"/>
          <w:color w:val="auto"/>
          <w:sz w:val="30"/>
          <w:szCs w:val="30"/>
          <w:highlight w:val="none"/>
        </w:rPr>
        <w:t>商务行政执法支队撤销，调出5人到县渡口管理所；减少退休人员2人死亡抚恤金、退休人员2人一次性补贴</w:t>
      </w:r>
      <w:r>
        <w:rPr>
          <w:rFonts w:hint="default" w:ascii="Times New Roman" w:hAnsi="Times New Roman" w:eastAsia="方正仿宋_GBK" w:cs="Times New Roman"/>
          <w:color w:val="auto"/>
          <w:sz w:val="32"/>
          <w:szCs w:val="32"/>
          <w:highlight w:val="none"/>
          <w:shd w:val="clear" w:color="auto" w:fill="FFFFFF"/>
        </w:rPr>
        <w:t>人员</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口岸和物流服务中心分账核算并单独报决算等原因，导致收支减少。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10"/>
          <w:rFonts w:hint="default" w:ascii="Times New Roman" w:hAnsi="Times New Roman" w:eastAsia="方正仿宋_GBK" w:cs="Times New Roman"/>
          <w:color w:val="auto"/>
          <w:sz w:val="32"/>
          <w:szCs w:val="32"/>
          <w:highlight w:val="none"/>
          <w:shd w:val="clear" w:color="auto" w:fill="FFFFFF"/>
          <w:lang w:val="en-US" w:eastAsia="zh-CN"/>
        </w:rPr>
      </w:pPr>
      <w:r>
        <w:rPr>
          <w:rStyle w:val="10"/>
          <w:rFonts w:hint="default" w:ascii="Times New Roman" w:hAnsi="Times New Roman" w:eastAsia="方正仿宋_GBK" w:cs="Times New Roman"/>
          <w:color w:val="auto"/>
          <w:sz w:val="32"/>
          <w:szCs w:val="32"/>
          <w:highlight w:val="none"/>
          <w:shd w:val="clear" w:color="auto" w:fill="FFFFFF"/>
          <w:lang w:val="en-US" w:eastAsia="zh-CN"/>
        </w:rPr>
        <w:t>1.收入情况。</w:t>
      </w:r>
      <w:r>
        <w:rPr>
          <w:rFonts w:hint="default" w:ascii="Times New Roman" w:hAnsi="Times New Roman" w:eastAsia="方正仿宋_GBK" w:cs="Times New Roman"/>
          <w:color w:val="auto"/>
          <w:sz w:val="32"/>
          <w:szCs w:val="32"/>
          <w:highlight w:val="none"/>
          <w:shd w:val="clear" w:color="auto" w:fill="FFFFFF"/>
          <w:lang w:val="en-US" w:eastAsia="zh-CN"/>
        </w:rPr>
        <w:t>2024年度收入合计3513.86万元，与2023年度相比，增加612.73万元，增长21.1%，主要原因是职工政策性调资，2024年生活必需品保供能力提升先行区县项目、2024年京东电商节丰都专场活动资金、外贸订单清单预警管理激励资金</w:t>
      </w:r>
      <w:r>
        <w:rPr>
          <w:rFonts w:hint="eastAsia"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灾群众物资保供资金、人才引进补助等资金，导致收入增加。其中：财政拨款收入3513.86万元，占100.0%；使用非财政拨款结余（含专用结余）0.00万元，年初结转和结余0.00万元。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lang w:val="en-US" w:eastAsia="zh-CN"/>
        </w:rPr>
        <w:t>2</w:t>
      </w:r>
      <w:r>
        <w:rPr>
          <w:rStyle w:val="10"/>
          <w:rFonts w:hint="default" w:ascii="Times New Roman" w:hAnsi="Times New Roman" w:eastAsia="方正仿宋_GBK" w:cs="Times New Roman"/>
          <w:color w:val="auto"/>
          <w:sz w:val="32"/>
          <w:szCs w:val="32"/>
          <w:highlight w:val="none"/>
          <w:shd w:val="clear" w:color="auto" w:fill="FFFFFF"/>
        </w:rPr>
        <w:t>.支出情况。</w:t>
      </w:r>
      <w:r>
        <w:rPr>
          <w:rFonts w:hint="default" w:ascii="Times New Roman" w:hAnsi="Times New Roman" w:eastAsia="方正仿宋_GBK" w:cs="Times New Roman"/>
          <w:color w:val="auto"/>
          <w:sz w:val="32"/>
          <w:szCs w:val="32"/>
          <w:highlight w:val="none"/>
          <w:shd w:val="clear" w:color="auto" w:fill="FFFFFF"/>
        </w:rPr>
        <w:t>2024年度支出合计3513.71万元，与2023年度相比，减少15.72万元，下降0.5%，主要原因是</w:t>
      </w:r>
      <w:r>
        <w:rPr>
          <w:rFonts w:hint="default" w:ascii="Times New Roman" w:hAnsi="Times New Roman" w:eastAsia="仿宋" w:cs="Times New Roman"/>
          <w:color w:val="auto"/>
          <w:sz w:val="30"/>
          <w:szCs w:val="30"/>
          <w:highlight w:val="none"/>
        </w:rPr>
        <w:t>商务行政执法支队撤销，调出5人到县渡口管理所；减少退休人员2人死亡抚恤金、退休人员2人一次性补贴</w:t>
      </w:r>
      <w:r>
        <w:rPr>
          <w:rFonts w:hint="default" w:ascii="Times New Roman" w:hAnsi="Times New Roman" w:eastAsia="方正仿宋_GBK" w:cs="Times New Roman"/>
          <w:color w:val="auto"/>
          <w:sz w:val="32"/>
          <w:szCs w:val="32"/>
          <w:highlight w:val="none"/>
          <w:shd w:val="clear" w:color="auto" w:fill="FFFFFF"/>
        </w:rPr>
        <w:t>人员</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口岸和物流服务中心分账核算并单独报决算等原因，导致支出减少。</w:t>
      </w:r>
      <w:r>
        <w:rPr>
          <w:rFonts w:hint="default" w:ascii="Times New Roman" w:hAnsi="Times New Roman" w:eastAsia="方正仿宋_GBK" w:cs="Times New Roman"/>
          <w:color w:val="auto"/>
          <w:sz w:val="32"/>
          <w:szCs w:val="32"/>
          <w:highlight w:val="none"/>
          <w:shd w:val="clear" w:color="auto" w:fill="FFFFFF"/>
        </w:rPr>
        <w:t>其中：基本支出767.75万元，占21.9%；项目支出2745.97万元，占78.2%。此外，结余分配0.00万元。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lang w:val="en-US" w:eastAsia="zh-CN"/>
        </w:rPr>
        <w:t>3</w:t>
      </w:r>
      <w:r>
        <w:rPr>
          <w:rStyle w:val="10"/>
          <w:rFonts w:hint="default" w:ascii="Times New Roman" w:hAnsi="Times New Roman" w:eastAsia="方正仿宋_GBK" w:cs="Times New Roman"/>
          <w:color w:val="auto"/>
          <w:sz w:val="32"/>
          <w:szCs w:val="32"/>
          <w:highlight w:val="none"/>
          <w:shd w:val="clear" w:color="auto" w:fill="FFFFFF"/>
        </w:rPr>
        <w:t>.结转结余情况。</w:t>
      </w:r>
      <w:r>
        <w:rPr>
          <w:rFonts w:hint="default" w:ascii="Times New Roman" w:hAnsi="Times New Roman" w:eastAsia="方正仿宋_GBK" w:cs="Times New Roman"/>
          <w:color w:val="auto"/>
          <w:sz w:val="32"/>
          <w:szCs w:val="32"/>
          <w:highlight w:val="none"/>
          <w:shd w:val="clear" w:color="auto" w:fill="FFFFFF"/>
        </w:rPr>
        <w:t>2024年度年末结转和结余0.15万元，与2023年度相比，增加0.15万元，增长100.0%，主要原因是</w:t>
      </w:r>
      <w:r>
        <w:rPr>
          <w:rFonts w:hint="default" w:ascii="Times New Roman" w:hAnsi="Times New Roman" w:eastAsia="方正仿宋_GBK" w:cs="Times New Roman"/>
          <w:color w:val="auto"/>
          <w:sz w:val="32"/>
          <w:szCs w:val="32"/>
          <w:highlight w:val="none"/>
          <w:shd w:val="clear" w:color="auto" w:fill="FFFFFF"/>
          <w:lang w:val="en-US" w:eastAsia="zh-CN"/>
        </w:rPr>
        <w:t>单位职工1人6月社会保险费（个人部分）由其他单位代交，应将资金退还其他单位，目前未退导致有结转资金</w:t>
      </w:r>
      <w:r>
        <w:rPr>
          <w:rFonts w:hint="default" w:ascii="Times New Roman" w:hAnsi="Times New Roman" w:eastAsia="方正仿宋_GBK" w:cs="Times New Roman"/>
          <w:color w:val="auto"/>
          <w:sz w:val="32"/>
          <w:szCs w:val="32"/>
          <w:highlight w:val="none"/>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2024年度财政拨款收、支总计均为3513.86万元。与2023年</w:t>
      </w:r>
      <w:r>
        <w:rPr>
          <w:rFonts w:hint="default" w:ascii="Times New Roman" w:hAnsi="Times New Roman" w:eastAsia="方正仿宋_GBK" w:cs="Times New Roman"/>
          <w:color w:val="auto"/>
          <w:sz w:val="32"/>
          <w:szCs w:val="32"/>
          <w:highlight w:val="none"/>
          <w:shd w:val="clear" w:color="auto" w:fill="FFFFFF"/>
          <w:lang w:eastAsia="zh-CN"/>
        </w:rPr>
        <w:t>度</w:t>
      </w:r>
      <w:r>
        <w:rPr>
          <w:rFonts w:hint="default" w:ascii="Times New Roman" w:hAnsi="Times New Roman" w:eastAsia="方正仿宋_GBK" w:cs="Times New Roman"/>
          <w:color w:val="auto"/>
          <w:sz w:val="32"/>
          <w:szCs w:val="32"/>
          <w:highlight w:val="none"/>
          <w:shd w:val="clear" w:color="auto" w:fill="FFFFFF"/>
        </w:rPr>
        <w:t>相比，财政拨款收、支总计各减少15.57万元，下降0.4%。主要原因</w:t>
      </w:r>
      <w:r>
        <w:rPr>
          <w:rFonts w:hint="default" w:ascii="Times New Roman" w:hAnsi="Times New Roman" w:eastAsia="方正仿宋_GBK" w:cs="Times New Roman"/>
          <w:color w:val="auto"/>
          <w:sz w:val="32"/>
          <w:szCs w:val="32"/>
          <w:highlight w:val="none"/>
          <w:shd w:val="clear" w:color="auto" w:fill="FFFFFF"/>
          <w:lang w:eastAsia="zh-CN"/>
        </w:rPr>
        <w:t>是</w:t>
      </w:r>
      <w:r>
        <w:rPr>
          <w:rFonts w:hint="default" w:ascii="Times New Roman" w:hAnsi="Times New Roman" w:eastAsia="仿宋" w:cs="Times New Roman"/>
          <w:color w:val="auto"/>
          <w:sz w:val="30"/>
          <w:szCs w:val="30"/>
          <w:highlight w:val="none"/>
        </w:rPr>
        <w:t>商务行政执法支队撤销，调出5人到县渡口管理所；减少退休人员2人死亡抚恤金、退休人员2人一次性补贴</w:t>
      </w:r>
      <w:r>
        <w:rPr>
          <w:rFonts w:hint="default" w:ascii="Times New Roman" w:hAnsi="Times New Roman" w:eastAsia="方正仿宋_GBK" w:cs="Times New Roman"/>
          <w:color w:val="auto"/>
          <w:sz w:val="32"/>
          <w:szCs w:val="32"/>
          <w:highlight w:val="none"/>
          <w:shd w:val="clear" w:color="auto" w:fill="FFFFFF"/>
        </w:rPr>
        <w:t>人员</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口岸和物流服务中心分账核算并单独报决算等原因，导致支出减少。</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1.收入情况。</w:t>
      </w:r>
      <w:r>
        <w:rPr>
          <w:rFonts w:hint="default" w:ascii="Times New Roman" w:hAnsi="Times New Roman" w:eastAsia="方正仿宋_GBK" w:cs="Times New Roman"/>
          <w:color w:val="auto"/>
          <w:sz w:val="32"/>
          <w:szCs w:val="32"/>
          <w:highlight w:val="none"/>
          <w:shd w:val="clear" w:color="auto" w:fill="FFFFFF"/>
        </w:rPr>
        <w:t>2024年度一般公共预算财政拨款收入3513.86万元，与2023年度相比，增加612.73万元，增长21.1%。主要原因是</w:t>
      </w:r>
      <w:r>
        <w:rPr>
          <w:rFonts w:hint="default" w:ascii="Times New Roman" w:hAnsi="Times New Roman" w:eastAsia="方正仿宋_GBK" w:cs="Times New Roman"/>
          <w:color w:val="auto"/>
          <w:sz w:val="32"/>
          <w:szCs w:val="32"/>
          <w:highlight w:val="none"/>
          <w:shd w:val="clear" w:color="auto" w:fill="FFFFFF"/>
          <w:lang w:eastAsia="zh-CN"/>
        </w:rPr>
        <w:t>增加职工政策性调资，</w:t>
      </w:r>
      <w:r>
        <w:rPr>
          <w:rFonts w:hint="default" w:ascii="Times New Roman" w:hAnsi="Times New Roman" w:eastAsia="方正仿宋_GBK" w:cs="Times New Roman"/>
          <w:color w:val="auto"/>
          <w:sz w:val="32"/>
          <w:szCs w:val="32"/>
          <w:highlight w:val="none"/>
          <w:shd w:val="clear" w:color="auto" w:fill="FFFFFF"/>
        </w:rPr>
        <w:t>2024年生活必需品保供能力提升先行区县项目</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2024</w:t>
      </w:r>
      <w:r>
        <w:rPr>
          <w:rFonts w:hint="default" w:ascii="Times New Roman" w:hAnsi="Times New Roman" w:eastAsia="方正仿宋_GBK" w:cs="Times New Roman"/>
          <w:color w:val="auto"/>
          <w:sz w:val="32"/>
          <w:szCs w:val="32"/>
          <w:highlight w:val="none"/>
          <w:shd w:val="clear" w:color="auto" w:fill="FFFFFF"/>
          <w:lang w:eastAsia="zh-CN"/>
        </w:rPr>
        <w:t>年</w:t>
      </w:r>
      <w:r>
        <w:rPr>
          <w:rFonts w:hint="default" w:ascii="Times New Roman" w:hAnsi="Times New Roman" w:eastAsia="方正仿宋_GBK" w:cs="Times New Roman"/>
          <w:color w:val="auto"/>
          <w:sz w:val="32"/>
          <w:szCs w:val="32"/>
          <w:highlight w:val="none"/>
          <w:shd w:val="clear" w:color="auto" w:fill="FFFFFF"/>
        </w:rPr>
        <w:t>京东电商节丰都专场活动资金</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人才引进</w:t>
      </w:r>
      <w:r>
        <w:rPr>
          <w:rFonts w:hint="default" w:ascii="Times New Roman" w:hAnsi="Times New Roman" w:eastAsia="方正仿宋_GBK" w:cs="Times New Roman"/>
          <w:color w:val="auto"/>
          <w:sz w:val="32"/>
          <w:szCs w:val="32"/>
          <w:highlight w:val="none"/>
          <w:shd w:val="clear" w:color="auto" w:fill="FFFFFF"/>
          <w:lang w:eastAsia="zh-CN"/>
        </w:rPr>
        <w:t>补助等原因，导致收入增加</w:t>
      </w:r>
      <w:r>
        <w:rPr>
          <w:rFonts w:hint="default" w:ascii="Times New Roman" w:hAnsi="Times New Roman" w:eastAsia="方正仿宋_GBK" w:cs="Times New Roman"/>
          <w:color w:val="auto"/>
          <w:sz w:val="32"/>
          <w:szCs w:val="32"/>
          <w:highlight w:val="none"/>
          <w:shd w:val="clear" w:color="auto" w:fill="FFFFFF"/>
        </w:rPr>
        <w:t>。较年初预算数增加1371.12万元，增长64.0%。主要原因是</w:t>
      </w:r>
      <w:r>
        <w:rPr>
          <w:rFonts w:hint="default" w:ascii="Times New Roman" w:hAnsi="Times New Roman" w:eastAsia="方正仿宋_GBK" w:cs="Times New Roman"/>
          <w:color w:val="auto"/>
          <w:sz w:val="32"/>
          <w:szCs w:val="32"/>
          <w:highlight w:val="none"/>
          <w:shd w:val="clear" w:color="auto" w:fill="FFFFFF"/>
          <w:lang w:eastAsia="zh-CN"/>
        </w:rPr>
        <w:t>增加职工政策性调资，</w:t>
      </w:r>
      <w:r>
        <w:rPr>
          <w:rFonts w:hint="default" w:ascii="Times New Roman" w:hAnsi="Times New Roman" w:eastAsia="方正仿宋_GBK" w:cs="Times New Roman"/>
          <w:color w:val="auto"/>
          <w:sz w:val="32"/>
          <w:szCs w:val="32"/>
          <w:highlight w:val="none"/>
          <w:shd w:val="clear" w:color="auto" w:fill="FFFFFF"/>
        </w:rPr>
        <w:t>2024年生活必需品保供能力提升先行区县项目</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2024</w:t>
      </w:r>
      <w:r>
        <w:rPr>
          <w:rFonts w:hint="default" w:ascii="Times New Roman" w:hAnsi="Times New Roman" w:eastAsia="方正仿宋_GBK" w:cs="Times New Roman"/>
          <w:color w:val="auto"/>
          <w:sz w:val="32"/>
          <w:szCs w:val="32"/>
          <w:highlight w:val="none"/>
          <w:shd w:val="clear" w:color="auto" w:fill="FFFFFF"/>
          <w:lang w:eastAsia="zh-CN"/>
        </w:rPr>
        <w:t>年</w:t>
      </w:r>
      <w:r>
        <w:rPr>
          <w:rFonts w:hint="default" w:ascii="Times New Roman" w:hAnsi="Times New Roman" w:eastAsia="方正仿宋_GBK" w:cs="Times New Roman"/>
          <w:color w:val="auto"/>
          <w:sz w:val="32"/>
          <w:szCs w:val="32"/>
          <w:highlight w:val="none"/>
          <w:shd w:val="clear" w:color="auto" w:fill="FFFFFF"/>
        </w:rPr>
        <w:t>京东电商节丰都专场活动资金</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人才引进</w:t>
      </w:r>
      <w:r>
        <w:rPr>
          <w:rFonts w:hint="default" w:ascii="Times New Roman" w:hAnsi="Times New Roman" w:eastAsia="方正仿宋_GBK" w:cs="Times New Roman"/>
          <w:color w:val="auto"/>
          <w:sz w:val="32"/>
          <w:szCs w:val="32"/>
          <w:highlight w:val="none"/>
          <w:shd w:val="clear" w:color="auto" w:fill="FFFFFF"/>
          <w:lang w:eastAsia="zh-CN"/>
        </w:rPr>
        <w:t>补助等商业流通事务资金。</w:t>
      </w:r>
      <w:r>
        <w:rPr>
          <w:rFonts w:hint="default" w:ascii="Times New Roman" w:hAnsi="Times New Roman" w:eastAsia="方正仿宋_GBK" w:cs="Times New Roman"/>
          <w:color w:val="auto"/>
          <w:sz w:val="32"/>
          <w:szCs w:val="32"/>
          <w:highlight w:val="none"/>
          <w:shd w:val="clear" w:color="auto" w:fill="FFFFFF"/>
        </w:rPr>
        <w:t>此外，年初财政拨款结转和结余</w:t>
      </w:r>
      <w:r>
        <w:rPr>
          <w:rFonts w:hint="default" w:ascii="Times New Roman" w:hAnsi="Times New Roman" w:eastAsia="方正仿宋_GBK" w:cs="Times New Roman"/>
          <w:color w:val="auto"/>
          <w:sz w:val="32"/>
          <w:szCs w:val="32"/>
          <w:highlight w:val="none"/>
          <w:shd w:val="clear" w:color="auto" w:fill="FFFFFF"/>
          <w:lang w:val="en-US" w:eastAsia="zh-CN"/>
        </w:rPr>
        <w:t>0</w:t>
      </w:r>
      <w:r>
        <w:rPr>
          <w:rFonts w:hint="default" w:ascii="Times New Roman" w:hAnsi="Times New Roman" w:eastAsia="方正仿宋_GBK" w:cs="Times New Roman"/>
          <w:color w:val="auto"/>
          <w:sz w:val="32"/>
          <w:szCs w:val="32"/>
          <w:highlight w:val="none"/>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2.支出情况。</w:t>
      </w:r>
      <w:r>
        <w:rPr>
          <w:rFonts w:hint="default" w:ascii="Times New Roman" w:hAnsi="Times New Roman" w:eastAsia="方正仿宋_GBK" w:cs="Times New Roman"/>
          <w:color w:val="auto"/>
          <w:sz w:val="32"/>
          <w:szCs w:val="32"/>
          <w:highlight w:val="none"/>
          <w:shd w:val="clear" w:color="auto" w:fill="FFFFFF"/>
        </w:rPr>
        <w:t>2024年度一般公共预算财政拨款支出3513.71万元，与2023年度相比，减少15.72万元，下降0.5%。主要原因是</w:t>
      </w:r>
      <w:r>
        <w:rPr>
          <w:rFonts w:hint="default" w:ascii="Times New Roman" w:hAnsi="Times New Roman" w:eastAsia="仿宋" w:cs="Times New Roman"/>
          <w:color w:val="auto"/>
          <w:sz w:val="30"/>
          <w:szCs w:val="30"/>
          <w:highlight w:val="none"/>
        </w:rPr>
        <w:t>商务行政执法支队撤销，调出5人到县渡口管理所；减少退休人员2人死亡抚恤金、退休人员2人一次性补贴</w:t>
      </w:r>
      <w:r>
        <w:rPr>
          <w:rFonts w:hint="default" w:ascii="Times New Roman" w:hAnsi="Times New Roman" w:eastAsia="方正仿宋_GBK" w:cs="Times New Roman"/>
          <w:color w:val="auto"/>
          <w:sz w:val="32"/>
          <w:szCs w:val="32"/>
          <w:highlight w:val="none"/>
          <w:shd w:val="clear" w:color="auto" w:fill="FFFFFF"/>
        </w:rPr>
        <w:t>人员</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口岸和物流服务中心分账核算并单独报决算等原因，导致支出减少。</w:t>
      </w:r>
      <w:r>
        <w:rPr>
          <w:rFonts w:hint="default" w:ascii="Times New Roman" w:hAnsi="Times New Roman" w:eastAsia="方正仿宋_GBK" w:cs="Times New Roman"/>
          <w:color w:val="auto"/>
          <w:sz w:val="32"/>
          <w:szCs w:val="32"/>
          <w:highlight w:val="none"/>
          <w:shd w:val="clear" w:color="auto" w:fill="FFFFFF"/>
        </w:rPr>
        <w:t>较年初预算数增加1370.97万元，增长64.0%。主要原因是</w:t>
      </w:r>
      <w:r>
        <w:rPr>
          <w:rFonts w:hint="default" w:ascii="Times New Roman" w:hAnsi="Times New Roman" w:eastAsia="方正仿宋_GBK" w:cs="Times New Roman"/>
          <w:color w:val="auto"/>
          <w:sz w:val="32"/>
          <w:szCs w:val="32"/>
          <w:highlight w:val="none"/>
          <w:shd w:val="clear" w:color="auto" w:fill="FFFFFF"/>
          <w:lang w:eastAsia="zh-CN"/>
        </w:rPr>
        <w:t>增加职工政策性调资，</w:t>
      </w:r>
      <w:r>
        <w:rPr>
          <w:rFonts w:hint="default" w:ascii="Times New Roman" w:hAnsi="Times New Roman" w:eastAsia="方正仿宋_GBK" w:cs="Times New Roman"/>
          <w:color w:val="auto"/>
          <w:sz w:val="32"/>
          <w:szCs w:val="32"/>
          <w:highlight w:val="none"/>
          <w:shd w:val="clear" w:color="auto" w:fill="FFFFFF"/>
        </w:rPr>
        <w:t>2024年生活必需品保供能力提升先行区县项目</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外贸订单清单预警管理激励资金</w:t>
      </w:r>
      <w:r>
        <w:rPr>
          <w:rFonts w:hint="eastAsia"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2024</w:t>
      </w:r>
      <w:r>
        <w:rPr>
          <w:rFonts w:hint="default" w:ascii="Times New Roman" w:hAnsi="Times New Roman" w:eastAsia="方正仿宋_GBK" w:cs="Times New Roman"/>
          <w:color w:val="auto"/>
          <w:sz w:val="32"/>
          <w:szCs w:val="32"/>
          <w:highlight w:val="none"/>
          <w:shd w:val="clear" w:color="auto" w:fill="FFFFFF"/>
          <w:lang w:eastAsia="zh-CN"/>
        </w:rPr>
        <w:t>年</w:t>
      </w:r>
      <w:r>
        <w:rPr>
          <w:rFonts w:hint="default" w:ascii="Times New Roman" w:hAnsi="Times New Roman" w:eastAsia="方正仿宋_GBK" w:cs="Times New Roman"/>
          <w:color w:val="auto"/>
          <w:sz w:val="32"/>
          <w:szCs w:val="32"/>
          <w:highlight w:val="none"/>
          <w:shd w:val="clear" w:color="auto" w:fill="FFFFFF"/>
        </w:rPr>
        <w:t>京东电商节丰都专场活动资金</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灾群众物资保供资金</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人才引进</w:t>
      </w:r>
      <w:r>
        <w:rPr>
          <w:rFonts w:hint="default" w:ascii="Times New Roman" w:hAnsi="Times New Roman" w:eastAsia="方正仿宋_GBK" w:cs="Times New Roman"/>
          <w:color w:val="auto"/>
          <w:sz w:val="32"/>
          <w:szCs w:val="32"/>
          <w:highlight w:val="none"/>
          <w:shd w:val="clear" w:color="auto" w:fill="FFFFFF"/>
          <w:lang w:eastAsia="zh-CN"/>
        </w:rPr>
        <w:t>补助等商业流通事务资金。</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一般公共预算财政拨款支出主要</w:t>
      </w:r>
      <w:r>
        <w:rPr>
          <w:rFonts w:hint="default" w:ascii="Times New Roman" w:hAnsi="Times New Roman" w:eastAsia="方正仿宋_GBK" w:cs="Times New Roman"/>
          <w:color w:val="auto"/>
          <w:sz w:val="32"/>
          <w:szCs w:val="32"/>
          <w:highlight w:val="none"/>
          <w:shd w:val="clear" w:color="auto" w:fill="FFFFFF"/>
          <w:lang w:eastAsia="zh-CN"/>
        </w:rPr>
        <w:t>用途如下</w:t>
      </w:r>
      <w:r>
        <w:rPr>
          <w:rFonts w:hint="default" w:ascii="Times New Roman" w:hAnsi="Times New Roman" w:eastAsia="方正仿宋_GBK" w:cs="Times New Roman"/>
          <w:color w:val="auto"/>
          <w:sz w:val="32"/>
          <w:szCs w:val="32"/>
          <w:highlight w:val="none"/>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（1）一般公共服务支出1132.67万元，占32.2%，较年初预算数增加46.82万元，增长4.3%，主要原因是</w:t>
      </w:r>
      <w:r>
        <w:rPr>
          <w:rFonts w:hint="default" w:ascii="Times New Roman" w:hAnsi="Times New Roman" w:eastAsia="方正仿宋_GBK" w:cs="Times New Roman"/>
          <w:color w:val="auto"/>
          <w:sz w:val="32"/>
          <w:szCs w:val="32"/>
          <w:highlight w:val="none"/>
          <w:shd w:val="clear" w:color="auto" w:fill="FFFFFF"/>
          <w:lang w:eastAsia="zh-CN"/>
        </w:rPr>
        <w:t>职工政策性调资、</w:t>
      </w:r>
      <w:r>
        <w:rPr>
          <w:rFonts w:hint="default" w:ascii="Times New Roman" w:hAnsi="Times New Roman" w:eastAsia="方正仿宋_GBK" w:cs="Times New Roman"/>
          <w:color w:val="auto"/>
          <w:sz w:val="32"/>
          <w:szCs w:val="32"/>
          <w:highlight w:val="none"/>
          <w:shd w:val="clear" w:color="auto" w:fill="FFFFFF"/>
          <w:lang w:val="en-US" w:eastAsia="zh-CN"/>
        </w:rPr>
        <w:t>口岸和物流服务中心单独报送决算调减支出、</w:t>
      </w:r>
      <w:r>
        <w:rPr>
          <w:rFonts w:hint="default" w:ascii="Times New Roman" w:hAnsi="Times New Roman" w:eastAsia="方正仿宋_GBK" w:cs="Times New Roman"/>
          <w:color w:val="auto"/>
          <w:sz w:val="32"/>
          <w:szCs w:val="32"/>
          <w:highlight w:val="none"/>
          <w:shd w:val="clear" w:color="auto" w:fill="FFFFFF"/>
        </w:rPr>
        <w:t>受灾群众物资保供资金</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2024</w:t>
      </w:r>
      <w:r>
        <w:rPr>
          <w:rFonts w:hint="default" w:ascii="Times New Roman" w:hAnsi="Times New Roman" w:eastAsia="方正仿宋_GBK" w:cs="Times New Roman"/>
          <w:color w:val="auto"/>
          <w:sz w:val="32"/>
          <w:szCs w:val="32"/>
          <w:highlight w:val="none"/>
          <w:shd w:val="clear" w:color="auto" w:fill="FFFFFF"/>
          <w:lang w:eastAsia="zh-CN"/>
        </w:rPr>
        <w:t>年</w:t>
      </w:r>
      <w:r>
        <w:rPr>
          <w:rFonts w:hint="default" w:ascii="Times New Roman" w:hAnsi="Times New Roman" w:eastAsia="方正仿宋_GBK" w:cs="Times New Roman"/>
          <w:color w:val="auto"/>
          <w:sz w:val="32"/>
          <w:szCs w:val="32"/>
          <w:highlight w:val="none"/>
          <w:shd w:val="clear" w:color="auto" w:fill="FFFFFF"/>
        </w:rPr>
        <w:t>京东电商节丰都专场活动资金</w:t>
      </w:r>
      <w:r>
        <w:rPr>
          <w:rFonts w:hint="eastAsia" w:ascii="Times New Roman" w:hAnsi="Times New Roman" w:eastAsia="方正仿宋_GBK" w:cs="Times New Roman"/>
          <w:color w:val="auto"/>
          <w:sz w:val="32"/>
          <w:szCs w:val="32"/>
          <w:highlight w:val="none"/>
          <w:shd w:val="clear" w:color="auto" w:fill="FFFFFF"/>
          <w:lang w:eastAsia="zh-CN"/>
        </w:rPr>
        <w:t>、人才引进补助</w:t>
      </w:r>
      <w:r>
        <w:rPr>
          <w:rFonts w:hint="default" w:ascii="Times New Roman" w:hAnsi="Times New Roman" w:eastAsia="方正仿宋_GBK" w:cs="Times New Roman"/>
          <w:color w:val="auto"/>
          <w:sz w:val="32"/>
          <w:szCs w:val="32"/>
          <w:highlight w:val="none"/>
          <w:shd w:val="clear" w:color="auto" w:fill="FFFFFF"/>
          <w:lang w:eastAsia="zh-CN"/>
        </w:rPr>
        <w:t>等原因，导致费用增加。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）社会保障</w:t>
      </w:r>
      <w:r>
        <w:rPr>
          <w:rFonts w:hint="default" w:ascii="Times New Roman" w:hAnsi="Times New Roman" w:eastAsia="方正仿宋_GBK" w:cs="Times New Roman"/>
          <w:color w:val="auto"/>
          <w:sz w:val="32"/>
          <w:szCs w:val="32"/>
          <w:highlight w:val="none"/>
          <w:shd w:val="clear" w:color="auto" w:fill="FFFFFF"/>
          <w:lang w:eastAsia="zh-CN"/>
        </w:rPr>
        <w:t>和</w:t>
      </w:r>
      <w:r>
        <w:rPr>
          <w:rFonts w:hint="default" w:ascii="Times New Roman" w:hAnsi="Times New Roman" w:eastAsia="方正仿宋_GBK" w:cs="Times New Roman"/>
          <w:color w:val="auto"/>
          <w:sz w:val="32"/>
          <w:szCs w:val="32"/>
          <w:highlight w:val="none"/>
          <w:shd w:val="clear" w:color="auto" w:fill="FFFFFF"/>
        </w:rPr>
        <w:t>就业支出332.02万元，占9.5%，较年初预算数增加42.78万元，增长14.8%，主要原因是</w:t>
      </w:r>
      <w:r>
        <w:rPr>
          <w:rFonts w:hint="default" w:ascii="Times New Roman" w:hAnsi="Times New Roman" w:eastAsia="方正仿宋_GBK" w:cs="Times New Roman"/>
          <w:color w:val="auto"/>
          <w:sz w:val="32"/>
          <w:szCs w:val="32"/>
          <w:highlight w:val="none"/>
          <w:shd w:val="clear" w:color="auto" w:fill="FFFFFF"/>
          <w:lang w:val="en-US" w:eastAsia="zh-CN"/>
        </w:rPr>
        <w:t>商务行政执法支队2024年11月撤销，2024年财务合并到商务委并报送决算。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）卫生健康支出45.56万元，占1.3%，较年初预算数减少5.80万元，下降11.3%，主要原因</w:t>
      </w:r>
      <w:r>
        <w:rPr>
          <w:rFonts w:hint="default" w:ascii="Times New Roman" w:hAnsi="Times New Roman" w:eastAsia="方正仿宋_GBK" w:cs="Times New Roman"/>
          <w:color w:val="auto"/>
          <w:sz w:val="32"/>
          <w:szCs w:val="32"/>
          <w:highlight w:val="none"/>
          <w:shd w:val="clear" w:color="auto" w:fill="FFFFFF"/>
          <w:lang w:eastAsia="zh-CN"/>
        </w:rPr>
        <w:t>是</w:t>
      </w:r>
      <w:r>
        <w:rPr>
          <w:rFonts w:hint="default" w:ascii="Times New Roman" w:hAnsi="Times New Roman" w:eastAsia="方正仿宋_GBK" w:cs="Times New Roman"/>
          <w:color w:val="auto"/>
          <w:sz w:val="32"/>
          <w:szCs w:val="32"/>
          <w:highlight w:val="none"/>
          <w:shd w:val="clear" w:color="auto" w:fill="FFFFFF"/>
          <w:lang w:val="en-US" w:eastAsia="zh-CN"/>
        </w:rPr>
        <w:t>2024年4月</w:t>
      </w:r>
      <w:r>
        <w:rPr>
          <w:rFonts w:hint="default"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val="en-US" w:eastAsia="zh-CN"/>
        </w:rPr>
        <w:t>退休人员一名调减支出、</w:t>
      </w:r>
      <w:r>
        <w:rPr>
          <w:rFonts w:hint="default" w:ascii="Times New Roman" w:hAnsi="Times New Roman" w:eastAsia="方正仿宋_GBK" w:cs="Times New Roman"/>
          <w:color w:val="auto"/>
          <w:sz w:val="32"/>
          <w:szCs w:val="32"/>
          <w:highlight w:val="none"/>
          <w:shd w:val="clear" w:color="auto" w:fill="FFFFFF"/>
          <w:lang w:eastAsia="zh-CN"/>
        </w:rPr>
        <w:t>退休人员死亡减少公务员垫底资金和体检费、</w:t>
      </w:r>
      <w:r>
        <w:rPr>
          <w:rFonts w:hint="default" w:ascii="Times New Roman" w:hAnsi="Times New Roman" w:eastAsia="方正仿宋_GBK" w:cs="Times New Roman"/>
          <w:color w:val="auto"/>
          <w:sz w:val="32"/>
          <w:szCs w:val="32"/>
          <w:highlight w:val="none"/>
          <w:shd w:val="clear" w:color="auto" w:fill="FFFFFF"/>
          <w:lang w:val="en-US" w:eastAsia="zh-CN"/>
        </w:rPr>
        <w:t>口岸和物流服务中心单独报送决算调减支出</w:t>
      </w:r>
      <w:r>
        <w:rPr>
          <w:rFonts w:hint="default" w:ascii="Times New Roman" w:hAnsi="Times New Roman" w:eastAsia="方正仿宋_GBK" w:cs="Times New Roman"/>
          <w:color w:val="auto"/>
          <w:sz w:val="32"/>
          <w:szCs w:val="32"/>
          <w:highlight w:val="none"/>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）农林水支出0.15万元，占0.0%，较年初预算数减少20.00万元，下降99.3%，主要原因是</w:t>
      </w:r>
      <w:r>
        <w:rPr>
          <w:rFonts w:hint="default" w:ascii="Times New Roman" w:hAnsi="Times New Roman" w:eastAsia="方正仿宋_GBK" w:cs="Times New Roman"/>
          <w:color w:val="auto"/>
          <w:sz w:val="32"/>
          <w:szCs w:val="32"/>
          <w:highlight w:val="none"/>
          <w:shd w:val="clear" w:color="auto" w:fill="FFFFFF"/>
          <w:lang w:eastAsia="zh-CN"/>
        </w:rPr>
        <w:t>调减</w:t>
      </w:r>
      <w:r>
        <w:rPr>
          <w:rFonts w:hint="default" w:ascii="Times New Roman" w:hAnsi="Times New Roman" w:eastAsia="方正仿宋_GBK" w:cs="Times New Roman"/>
          <w:color w:val="auto"/>
          <w:sz w:val="32"/>
          <w:szCs w:val="32"/>
          <w:highlight w:val="none"/>
          <w:shd w:val="clear" w:color="auto" w:fill="FFFFFF"/>
        </w:rPr>
        <w:t>2022年国家现代农业产业园</w:t>
      </w:r>
      <w:r>
        <w:rPr>
          <w:rFonts w:hint="default" w:ascii="Times New Roman" w:hAnsi="Times New Roman" w:eastAsia="方正仿宋_GBK" w:cs="Times New Roman"/>
          <w:color w:val="auto"/>
          <w:sz w:val="32"/>
          <w:szCs w:val="32"/>
          <w:highlight w:val="none"/>
          <w:shd w:val="clear" w:color="auto" w:fill="FFFFFF"/>
          <w:lang w:eastAsia="zh-CN"/>
        </w:rPr>
        <w:t>项目资金</w:t>
      </w:r>
      <w:r>
        <w:rPr>
          <w:rFonts w:hint="default" w:ascii="Times New Roman" w:hAnsi="Times New Roman" w:eastAsia="方正仿宋_GBK" w:cs="Times New Roman"/>
          <w:color w:val="auto"/>
          <w:sz w:val="32"/>
          <w:szCs w:val="32"/>
          <w:highlight w:val="none"/>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5）商业服务业等支出1974.13万元，占56.2%，较年初预算数增加1314.13万元，增长199.1%，主要原因是增加2024年生活必需品保供能力提升先行区县项目、外贸订单清单预警管理激励资金、渝财产业【2022】173号中央服务业发展资金、2023年城区标准化菜市场示范创建项目等商业流通事务项目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6</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住房保障支出</w:t>
      </w:r>
      <w:r>
        <w:rPr>
          <w:rFonts w:hint="default" w:ascii="Times New Roman" w:hAnsi="Times New Roman" w:eastAsia="方正仿宋_GBK" w:cs="Times New Roman"/>
          <w:color w:val="auto"/>
          <w:sz w:val="32"/>
          <w:szCs w:val="32"/>
          <w:highlight w:val="none"/>
          <w:shd w:val="clear" w:color="auto" w:fill="FFFFFF"/>
        </w:rPr>
        <w:t>29.18万元，占0.8%，较年初预算数减少6.95万元，下降19.2%，主要原因是</w:t>
      </w:r>
      <w:r>
        <w:rPr>
          <w:rFonts w:hint="default" w:ascii="Times New Roman" w:hAnsi="Times New Roman" w:eastAsia="方正仿宋_GBK" w:cs="Times New Roman"/>
          <w:color w:val="auto"/>
          <w:sz w:val="32"/>
          <w:szCs w:val="32"/>
          <w:highlight w:val="none"/>
          <w:shd w:val="clear" w:color="auto" w:fill="FFFFFF"/>
          <w:lang w:val="en-US" w:eastAsia="zh-CN"/>
        </w:rPr>
        <w:t>2024年4月</w:t>
      </w:r>
      <w:r>
        <w:rPr>
          <w:rFonts w:hint="default"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val="en-US" w:eastAsia="zh-CN"/>
        </w:rPr>
        <w:t>退休人员一名；口岸和物流服务中心分账核算并单独报决算等原因，导致</w:t>
      </w:r>
      <w:r>
        <w:rPr>
          <w:rFonts w:hint="default" w:ascii="Times New Roman" w:hAnsi="Times New Roman" w:eastAsia="方正仿宋_GBK" w:cs="Times New Roman"/>
          <w:color w:val="auto"/>
          <w:sz w:val="32"/>
          <w:szCs w:val="32"/>
          <w:highlight w:val="none"/>
        </w:rPr>
        <w:t>住房保障</w:t>
      </w:r>
      <w:r>
        <w:rPr>
          <w:rFonts w:hint="default" w:ascii="Times New Roman" w:hAnsi="Times New Roman" w:eastAsia="方正仿宋_GBK" w:cs="Times New Roman"/>
          <w:color w:val="auto"/>
          <w:sz w:val="32"/>
          <w:szCs w:val="32"/>
          <w:highlight w:val="none"/>
          <w:shd w:val="clear" w:color="auto" w:fill="FFFFFF"/>
          <w:lang w:val="en-US" w:eastAsia="zh-CN"/>
        </w:rPr>
        <w:t>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3.结转结余情况。</w:t>
      </w:r>
      <w:r>
        <w:rPr>
          <w:rFonts w:hint="default" w:ascii="Times New Roman" w:hAnsi="Times New Roman" w:eastAsia="方正仿宋_GBK" w:cs="Times New Roman"/>
          <w:color w:val="auto"/>
          <w:sz w:val="32"/>
          <w:szCs w:val="32"/>
          <w:highlight w:val="none"/>
          <w:shd w:val="clear" w:color="auto" w:fill="FFFFFF"/>
        </w:rPr>
        <w:t>2024年度年末一般公共预算财政拨款结转和结余0.15万元，与2023年度相比，增加0.15万元，增长100.0%，主要原因是</w:t>
      </w:r>
      <w:r>
        <w:rPr>
          <w:rFonts w:hint="default" w:ascii="Times New Roman" w:hAnsi="Times New Roman" w:eastAsia="方正仿宋_GBK" w:cs="Times New Roman"/>
          <w:color w:val="auto"/>
          <w:sz w:val="32"/>
          <w:szCs w:val="32"/>
          <w:highlight w:val="none"/>
          <w:shd w:val="clear" w:color="auto" w:fill="FFFFFF"/>
          <w:lang w:val="en-US" w:eastAsia="zh-CN"/>
        </w:rPr>
        <w:t>单位职工1人6月社会保险费（个人部分）由其他单位代交，应将资金退还其他单位，目前未退导致有结转资金</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2024年度一般公共财政拨款基本支出767.75万元。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0" w:firstLineChars="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其中：</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人员经费690.72万元，与2023年度相比，减少70.63万元，下降9.3%，主要原因是</w:t>
      </w:r>
      <w:r>
        <w:rPr>
          <w:rFonts w:hint="default" w:ascii="Times New Roman" w:hAnsi="Times New Roman" w:eastAsia="仿宋" w:cs="Times New Roman"/>
          <w:color w:val="auto"/>
          <w:sz w:val="30"/>
          <w:szCs w:val="30"/>
          <w:highlight w:val="none"/>
        </w:rPr>
        <w:t>商务行政执法支队撤销，调出5人到县渡口管理所；减少退休人员2人死亡抚恤金、退休人员2人一次性补贴</w:t>
      </w:r>
      <w:r>
        <w:rPr>
          <w:rFonts w:hint="default" w:ascii="Times New Roman" w:hAnsi="Times New Roman" w:eastAsia="方正仿宋_GBK" w:cs="Times New Roman"/>
          <w:color w:val="auto"/>
          <w:sz w:val="32"/>
          <w:szCs w:val="32"/>
          <w:highlight w:val="none"/>
          <w:shd w:val="clear" w:color="auto" w:fill="FFFFFF"/>
        </w:rPr>
        <w:t>人员</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口岸和物流服务中心分账核算并单独报决算等原因，导致调减人员经费</w:t>
      </w:r>
      <w:r>
        <w:rPr>
          <w:rFonts w:hint="default" w:ascii="Times New Roman" w:hAnsi="Times New Roman" w:eastAsia="方正仿宋_GBK" w:cs="Times New Roman"/>
          <w:color w:val="auto"/>
          <w:sz w:val="32"/>
          <w:szCs w:val="32"/>
          <w:highlight w:val="none"/>
          <w:shd w:val="clear" w:color="auto" w:fill="FFFFFF"/>
          <w:lang w:eastAsia="zh-CN"/>
        </w:rPr>
        <w:t>。人员</w:t>
      </w:r>
      <w:r>
        <w:rPr>
          <w:rFonts w:hint="default" w:ascii="Times New Roman" w:hAnsi="Times New Roman" w:eastAsia="方正仿宋_GBK" w:cs="Times New Roman"/>
          <w:color w:val="auto"/>
          <w:sz w:val="32"/>
          <w:szCs w:val="32"/>
          <w:highlight w:val="none"/>
          <w:shd w:val="clear" w:color="auto" w:fill="FFFFFF"/>
        </w:rPr>
        <w:t>经费用途主要包括</w:t>
      </w:r>
      <w:r>
        <w:rPr>
          <w:rFonts w:hint="default" w:ascii="Times New Roman" w:hAnsi="Times New Roman" w:eastAsia="方正仿宋_GBK" w:cs="Times New Roman"/>
          <w:color w:val="auto"/>
          <w:sz w:val="32"/>
          <w:szCs w:val="32"/>
          <w:highlight w:val="none"/>
          <w:shd w:val="clear" w:color="auto" w:fill="FFFFFF"/>
          <w:lang w:eastAsia="zh-CN"/>
        </w:rPr>
        <w:t>基本工资、津贴补贴、奖金、基本医疗保险、机关事业单位基本养老保险、职业年金缴费、住房公积金等</w:t>
      </w:r>
      <w:r>
        <w:rPr>
          <w:rFonts w:hint="default" w:ascii="Times New Roman" w:hAnsi="Times New Roman" w:eastAsia="方正仿宋_GBK" w:cs="Times New Roman"/>
          <w:color w:val="auto"/>
          <w:sz w:val="32"/>
          <w:szCs w:val="32"/>
          <w:highlight w:val="none"/>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公用经费77.03万元，与2023年度相比，减少90.65万元，下降54.1%，主要原因是</w:t>
      </w:r>
      <w:r>
        <w:rPr>
          <w:rFonts w:hint="default" w:ascii="Times New Roman" w:hAnsi="Times New Roman" w:eastAsia="仿宋" w:cs="Times New Roman"/>
          <w:color w:val="auto"/>
          <w:sz w:val="30"/>
          <w:szCs w:val="30"/>
          <w:highlight w:val="none"/>
        </w:rPr>
        <w:t>商务行政执法支队撤销，调出5人到县渡口管理所</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口岸和物流服务中心分账核算并单独报决算等原因，导致调减公用经费</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公用经费用途主要包括</w:t>
      </w:r>
      <w:r>
        <w:rPr>
          <w:rFonts w:hint="default" w:ascii="Times New Roman" w:hAnsi="Times New Roman" w:eastAsia="方正仿宋_GBK" w:cs="Times New Roman"/>
          <w:color w:val="auto"/>
          <w:sz w:val="32"/>
          <w:szCs w:val="32"/>
          <w:highlight w:val="none"/>
          <w:shd w:val="clear" w:color="auto" w:fill="FFFFFF"/>
          <w:lang w:eastAsia="zh-CN"/>
        </w:rPr>
        <w:t>办公费、水费、电费、邮电费、劳务费、差旅费、公务接待费、培训费、其他交通费等费用</w:t>
      </w:r>
      <w:r>
        <w:rPr>
          <w:rFonts w:hint="default" w:ascii="Times New Roman" w:hAnsi="Times New Roman" w:eastAsia="方正仿宋_GBK" w:cs="Times New Roman"/>
          <w:color w:val="auto"/>
          <w:sz w:val="32"/>
          <w:szCs w:val="32"/>
          <w:highlight w:val="none"/>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lang w:val="en-US" w:eastAsia="zh-CN"/>
        </w:rPr>
        <w:t>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本单位2024年度无政府性基金预算财政拨款收支。</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val="en-US" w:eastAsia="zh-CN"/>
        </w:rPr>
        <w:t>本单位2024年度无国有资本经营预算财政拨款支出。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黑体_GBK" w:hAnsi="方正黑体_GBK" w:eastAsia="方正黑体_GBK" w:cs="方正黑体_GBK"/>
          <w:color w:val="auto"/>
          <w:sz w:val="32"/>
          <w:szCs w:val="32"/>
          <w:highlight w:val="none"/>
          <w:shd w:val="clear" w:color="auto" w:fill="FFFFFF"/>
          <w:lang w:val="en-US" w:eastAsia="zh-CN"/>
        </w:rPr>
      </w:pPr>
      <w:r>
        <w:rPr>
          <w:rFonts w:hint="default" w:ascii="方正黑体_GBK" w:hAnsi="方正黑体_GBK" w:eastAsia="方正黑体_GBK" w:cs="方正黑体_GBK"/>
          <w:color w:val="auto"/>
          <w:sz w:val="32"/>
          <w:szCs w:val="32"/>
          <w:highlight w:val="none"/>
          <w:shd w:val="clear" w:color="auto" w:fill="FFFFFF"/>
          <w:lang w:val="en-US" w:eastAsia="zh-CN"/>
        </w:rPr>
        <w:t>三、财政拨款“三公”经费情况说明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（一）“三公”经费支出总体情况说明</w:t>
      </w:r>
    </w:p>
    <w:p>
      <w:pPr>
        <w:keepNext w:val="0"/>
        <w:keepLines w:val="0"/>
        <w:pageBreakBefore w:val="0"/>
        <w:widowControl/>
        <w:numPr>
          <w:ilvl w:val="0"/>
          <w:numId w:val="0"/>
        </w:numPr>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2024年度“三公”经费支出共计8.05万元，较年初预算数减少0.95万元，下降10.6%，主要原因是</w:t>
      </w:r>
      <w:r>
        <w:rPr>
          <w:rFonts w:hint="default" w:ascii="Times New Roman" w:hAnsi="Times New Roman" w:eastAsia="方正仿宋_GBK" w:cs="Times New Roman"/>
          <w:color w:val="auto"/>
          <w:sz w:val="32"/>
          <w:szCs w:val="32"/>
          <w:highlight w:val="none"/>
          <w:shd w:val="clear" w:color="auto" w:fill="FFFFFF"/>
          <w:lang w:eastAsia="zh-CN"/>
        </w:rPr>
        <w:t>严格按照预算执行不超预算。</w:t>
      </w:r>
      <w:r>
        <w:rPr>
          <w:rFonts w:hint="default" w:ascii="Times New Roman" w:hAnsi="Times New Roman" w:eastAsia="方正仿宋_GBK" w:cs="Times New Roman"/>
          <w:color w:val="auto"/>
          <w:sz w:val="32"/>
          <w:szCs w:val="32"/>
          <w:highlight w:val="none"/>
          <w:shd w:val="clear" w:color="auto" w:fill="FFFFFF"/>
        </w:rPr>
        <w:t>较上年支出数增加4.68万元，增长138.9%，主要原因</w:t>
      </w:r>
      <w:r>
        <w:rPr>
          <w:rFonts w:hint="default" w:ascii="Times New Roman" w:hAnsi="Times New Roman" w:eastAsia="方正仿宋_GBK" w:cs="Times New Roman"/>
          <w:color w:val="auto"/>
          <w:sz w:val="32"/>
          <w:szCs w:val="32"/>
          <w:highlight w:val="none"/>
          <w:shd w:val="clear" w:color="auto" w:fill="FFFFFF"/>
          <w:lang w:eastAsia="zh-CN"/>
        </w:rPr>
        <w:t>：一是</w:t>
      </w:r>
      <w:r>
        <w:rPr>
          <w:rFonts w:hint="default" w:ascii="Times New Roman" w:hAnsi="Times New Roman" w:eastAsia="仿宋_GB2312" w:cs="Times New Roman"/>
          <w:color w:val="auto"/>
          <w:sz w:val="32"/>
          <w:szCs w:val="32"/>
          <w:highlight w:val="none"/>
          <w:lang w:val="en-US" w:eastAsia="zh-CN"/>
        </w:rPr>
        <w:t>商务行政执法支队2024年11月撤销，2024年度账务合并到商务委并报送决算；二是支付了2024年前开展招商引资工作、枣丰产销对接活动等工作发生费用，三是开展商贸流通工作调研、督导、安全检查、项目检查验收等工作，导致费用增加。</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2024年度本</w:t>
      </w:r>
      <w:r>
        <w:rPr>
          <w:rFonts w:hint="default" w:ascii="Times New Roman" w:hAnsi="Times New Roman" w:eastAsia="方正仿宋_GBK" w:cs="Times New Roman"/>
          <w:color w:val="auto"/>
          <w:sz w:val="32"/>
          <w:szCs w:val="32"/>
          <w:highlight w:val="none"/>
          <w:shd w:val="clear" w:color="auto" w:fill="FFFFFF"/>
          <w:lang w:eastAsia="zh-CN"/>
        </w:rPr>
        <w:t>单位未发生</w:t>
      </w:r>
      <w:r>
        <w:rPr>
          <w:rFonts w:hint="default" w:ascii="Times New Roman" w:hAnsi="Times New Roman" w:eastAsia="方正仿宋_GBK" w:cs="Times New Roman"/>
          <w:color w:val="auto"/>
          <w:sz w:val="32"/>
          <w:szCs w:val="32"/>
          <w:highlight w:val="none"/>
          <w:shd w:val="clear" w:color="auto" w:fill="FFFFFF"/>
        </w:rPr>
        <w:t>因公出国（境）费用，</w:t>
      </w:r>
      <w:r>
        <w:rPr>
          <w:rFonts w:hint="default" w:ascii="Times New Roman" w:hAnsi="Times New Roman" w:eastAsia="方正仿宋_GBK" w:cs="Times New Roman"/>
          <w:color w:val="auto"/>
          <w:sz w:val="32"/>
          <w:szCs w:val="32"/>
          <w:highlight w:val="none"/>
          <w:shd w:val="clear" w:color="auto" w:fill="FFFFFF"/>
          <w:lang w:eastAsia="zh-CN"/>
        </w:rPr>
        <w:t>与年初预算数及上年支出数持平。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lang w:val="en-US" w:eastAsia="zh-CN"/>
        </w:rPr>
        <w:t>2024年度本单位未发生</w:t>
      </w:r>
      <w:r>
        <w:rPr>
          <w:rFonts w:hint="default" w:ascii="Times New Roman" w:hAnsi="Times New Roman" w:eastAsia="方正仿宋_GBK" w:cs="Times New Roman"/>
          <w:color w:val="auto"/>
          <w:sz w:val="32"/>
          <w:szCs w:val="32"/>
          <w:highlight w:val="none"/>
          <w:shd w:val="clear" w:color="auto" w:fill="FFFFFF"/>
        </w:rPr>
        <w:t>公务</w:t>
      </w:r>
      <w:r>
        <w:rPr>
          <w:rFonts w:hint="default" w:ascii="Times New Roman" w:hAnsi="Times New Roman" w:eastAsia="方正仿宋_GBK" w:cs="Times New Roman"/>
          <w:color w:val="auto"/>
          <w:sz w:val="32"/>
          <w:szCs w:val="32"/>
          <w:highlight w:val="none"/>
          <w:shd w:val="clear" w:color="auto" w:fill="FFFFFF"/>
          <w:lang w:eastAsia="zh-CN"/>
        </w:rPr>
        <w:t>用</w:t>
      </w:r>
      <w:r>
        <w:rPr>
          <w:rFonts w:hint="default" w:ascii="Times New Roman" w:hAnsi="Times New Roman" w:eastAsia="方正仿宋_GBK" w:cs="Times New Roman"/>
          <w:color w:val="auto"/>
          <w:sz w:val="32"/>
          <w:szCs w:val="32"/>
          <w:highlight w:val="none"/>
          <w:shd w:val="clear" w:color="auto" w:fill="FFFFFF"/>
        </w:rPr>
        <w:t>车购置费，</w:t>
      </w:r>
      <w:r>
        <w:rPr>
          <w:rFonts w:hint="default" w:ascii="Times New Roman" w:hAnsi="Times New Roman" w:eastAsia="方正仿宋_GBK" w:cs="Times New Roman"/>
          <w:color w:val="auto"/>
          <w:sz w:val="32"/>
          <w:szCs w:val="32"/>
          <w:highlight w:val="none"/>
          <w:shd w:val="clear" w:color="auto" w:fill="FFFFFF"/>
          <w:lang w:eastAsia="zh-CN"/>
        </w:rPr>
        <w:t>与年初预算数及上年支出数持平。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公务</w:t>
      </w:r>
      <w:r>
        <w:rPr>
          <w:rFonts w:hint="default" w:ascii="Times New Roman" w:hAnsi="Times New Roman" w:eastAsia="方正仿宋_GBK" w:cs="Times New Roman"/>
          <w:color w:val="auto"/>
          <w:sz w:val="32"/>
          <w:szCs w:val="32"/>
          <w:highlight w:val="none"/>
          <w:shd w:val="clear" w:color="auto" w:fill="FFFFFF"/>
          <w:lang w:eastAsia="zh-CN"/>
        </w:rPr>
        <w:t>用</w:t>
      </w:r>
      <w:r>
        <w:rPr>
          <w:rFonts w:hint="default" w:ascii="Times New Roman" w:hAnsi="Times New Roman" w:eastAsia="方正仿宋_GBK" w:cs="Times New Roman"/>
          <w:color w:val="auto"/>
          <w:sz w:val="32"/>
          <w:szCs w:val="32"/>
          <w:highlight w:val="none"/>
          <w:shd w:val="clear" w:color="auto" w:fill="FFFFFF"/>
        </w:rPr>
        <w:t>车运行维护费2.63万元，主要用于</w:t>
      </w:r>
      <w:r>
        <w:rPr>
          <w:rFonts w:hint="default" w:ascii="Times New Roman" w:hAnsi="Times New Roman" w:eastAsia="方正仿宋_GBK" w:cs="Times New Roman"/>
          <w:color w:val="auto"/>
          <w:sz w:val="32"/>
          <w:szCs w:val="32"/>
          <w:highlight w:val="none"/>
          <w:shd w:val="clear" w:color="auto" w:fill="FFFFFF"/>
          <w:lang w:eastAsia="zh-CN"/>
        </w:rPr>
        <w:t>开展商务事务安全检查、督导、项目检查验收等工作，导致增加</w:t>
      </w:r>
      <w:r>
        <w:rPr>
          <w:rFonts w:hint="default" w:ascii="Times New Roman" w:hAnsi="Times New Roman" w:eastAsia="方正仿宋_GBK" w:cs="Times New Roman"/>
          <w:color w:val="auto"/>
          <w:sz w:val="32"/>
          <w:szCs w:val="32"/>
          <w:highlight w:val="none"/>
          <w:shd w:val="clear" w:color="auto" w:fill="FFFFFF"/>
        </w:rPr>
        <w:t>公务</w:t>
      </w:r>
      <w:r>
        <w:rPr>
          <w:rFonts w:hint="default" w:ascii="Times New Roman" w:hAnsi="Times New Roman" w:eastAsia="方正仿宋_GBK" w:cs="Times New Roman"/>
          <w:color w:val="auto"/>
          <w:sz w:val="32"/>
          <w:szCs w:val="32"/>
          <w:highlight w:val="none"/>
          <w:shd w:val="clear" w:color="auto" w:fill="FFFFFF"/>
          <w:lang w:eastAsia="zh-CN"/>
        </w:rPr>
        <w:t>用</w:t>
      </w:r>
      <w:r>
        <w:rPr>
          <w:rFonts w:hint="default" w:ascii="Times New Roman" w:hAnsi="Times New Roman" w:eastAsia="方正仿宋_GBK" w:cs="Times New Roman"/>
          <w:color w:val="auto"/>
          <w:sz w:val="32"/>
          <w:szCs w:val="32"/>
          <w:highlight w:val="none"/>
          <w:shd w:val="clear" w:color="auto" w:fill="FFFFFF"/>
        </w:rPr>
        <w:t>车运行维护费</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费用支出较年初预算数减少0.37万元，下降12.3%，主要原因是</w:t>
      </w:r>
      <w:r>
        <w:rPr>
          <w:rFonts w:hint="default" w:ascii="Times New Roman" w:hAnsi="Times New Roman" w:eastAsia="方正仿宋_GBK" w:cs="Times New Roman"/>
          <w:color w:val="auto"/>
          <w:sz w:val="32"/>
          <w:szCs w:val="32"/>
          <w:highlight w:val="none"/>
          <w:shd w:val="clear" w:color="auto" w:fill="FFFFFF"/>
          <w:lang w:eastAsia="zh-CN"/>
        </w:rPr>
        <w:t>严格按照预算执行不超预算。</w:t>
      </w:r>
      <w:r>
        <w:rPr>
          <w:rFonts w:hint="default" w:ascii="Times New Roman" w:hAnsi="Times New Roman" w:eastAsia="方正仿宋_GBK" w:cs="Times New Roman"/>
          <w:color w:val="auto"/>
          <w:sz w:val="32"/>
          <w:szCs w:val="32"/>
          <w:highlight w:val="none"/>
          <w:shd w:val="clear" w:color="auto" w:fill="FFFFFF"/>
        </w:rPr>
        <w:t>较上年支出数增加0.10万元，增长4.0%，主要原因是</w:t>
      </w:r>
      <w:r>
        <w:rPr>
          <w:rFonts w:hint="default" w:ascii="Times New Roman" w:hAnsi="Times New Roman" w:eastAsia="方正仿宋_GBK" w:cs="Times New Roman"/>
          <w:color w:val="auto"/>
          <w:sz w:val="32"/>
          <w:szCs w:val="32"/>
          <w:highlight w:val="none"/>
          <w:shd w:val="clear" w:color="auto" w:fill="FFFFFF"/>
          <w:lang w:eastAsia="zh-CN"/>
        </w:rPr>
        <w:t>加大对</w:t>
      </w:r>
      <w:r>
        <w:rPr>
          <w:rFonts w:hint="default" w:ascii="Times New Roman" w:hAnsi="Times New Roman" w:eastAsia="仿宋_GB2312" w:cs="Times New Roman"/>
          <w:color w:val="auto"/>
          <w:sz w:val="32"/>
          <w:szCs w:val="32"/>
          <w:highlight w:val="none"/>
          <w:lang w:val="en-US" w:eastAsia="zh-CN"/>
        </w:rPr>
        <w:t>商贸流通工作安全检查、调研、项目检查验收等工作，导致费用增加</w:t>
      </w:r>
      <w:r>
        <w:rPr>
          <w:rFonts w:hint="default" w:ascii="Times New Roman" w:hAnsi="Times New Roman" w:eastAsia="方正仿宋_GBK" w:cs="Times New Roman"/>
          <w:color w:val="auto"/>
          <w:sz w:val="32"/>
          <w:szCs w:val="32"/>
          <w:highlight w:val="none"/>
          <w:shd w:val="clear" w:color="auto" w:fill="FFFFFF"/>
          <w:lang w:eastAsia="zh-CN"/>
        </w:rPr>
        <w:t>。</w:t>
      </w:r>
    </w:p>
    <w:p>
      <w:pPr>
        <w:keepNext w:val="0"/>
        <w:keepLines w:val="0"/>
        <w:pageBreakBefore w:val="0"/>
        <w:widowControl/>
        <w:numPr>
          <w:ilvl w:val="0"/>
          <w:numId w:val="0"/>
        </w:numPr>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公务接待费5.42万元，主要用于接待</w:t>
      </w:r>
      <w:r>
        <w:rPr>
          <w:rFonts w:hint="default" w:ascii="Times New Roman" w:hAnsi="Times New Roman" w:eastAsia="仿宋_GB2312" w:cs="Times New Roman"/>
          <w:color w:val="auto"/>
          <w:sz w:val="32"/>
          <w:szCs w:val="32"/>
          <w:highlight w:val="none"/>
          <w:lang w:val="en-US" w:eastAsia="zh-CN"/>
        </w:rPr>
        <w:t>开展商贸流通调研、督导、安全检查、枣丰产销对接活动、招商引资等工作发生费用。</w:t>
      </w:r>
      <w:r>
        <w:rPr>
          <w:rFonts w:hint="default" w:ascii="Times New Roman" w:hAnsi="Times New Roman" w:eastAsia="方正仿宋_GBK" w:cs="Times New Roman"/>
          <w:color w:val="auto"/>
          <w:sz w:val="32"/>
          <w:szCs w:val="32"/>
          <w:highlight w:val="none"/>
          <w:shd w:val="clear" w:color="auto" w:fill="FFFFFF"/>
        </w:rPr>
        <w:t>费用支出较年初预算数减少0.58万元，下降9.7%，主要原因是</w:t>
      </w:r>
      <w:r>
        <w:rPr>
          <w:rFonts w:hint="default" w:ascii="Times New Roman" w:hAnsi="Times New Roman" w:eastAsia="方正仿宋_GBK" w:cs="Times New Roman"/>
          <w:color w:val="auto"/>
          <w:sz w:val="32"/>
          <w:szCs w:val="32"/>
          <w:highlight w:val="none"/>
          <w:shd w:val="clear" w:color="auto" w:fill="FFFFFF"/>
          <w:lang w:eastAsia="zh-CN"/>
        </w:rPr>
        <w:t>严格按照预算执行不超预算。</w:t>
      </w:r>
      <w:r>
        <w:rPr>
          <w:rFonts w:hint="default" w:ascii="Times New Roman" w:hAnsi="Times New Roman" w:eastAsia="方正仿宋_GBK" w:cs="Times New Roman"/>
          <w:color w:val="auto"/>
          <w:sz w:val="32"/>
          <w:szCs w:val="32"/>
          <w:highlight w:val="none"/>
          <w:shd w:val="clear" w:color="auto" w:fill="FFFFFF"/>
        </w:rPr>
        <w:t>较上年支出数增加4.57万元，增长537.7%，主要原因</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lang w:eastAsia="zh-CN"/>
        </w:rPr>
        <w:t>一是</w:t>
      </w:r>
      <w:r>
        <w:rPr>
          <w:rFonts w:hint="default" w:ascii="Times New Roman" w:hAnsi="Times New Roman" w:eastAsia="仿宋_GB2312" w:cs="Times New Roman"/>
          <w:color w:val="auto"/>
          <w:sz w:val="32"/>
          <w:szCs w:val="32"/>
          <w:highlight w:val="none"/>
          <w:lang w:val="en-US" w:eastAsia="zh-CN"/>
        </w:rPr>
        <w:t>商务行政执法支队2024年11月撤销，2024年度账务合并到商务委并报送决算。二是支付了2024年前开展招商引资工作、枣丰产销对接活动等工作发生公务接待费，三是开展商贸流通工作调研、督导、检查等工作，导致费用增加。</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2024年度本</w:t>
      </w:r>
      <w:r>
        <w:rPr>
          <w:rFonts w:hint="default" w:ascii="Times New Roman" w:hAnsi="Times New Roman" w:eastAsia="方正仿宋_GBK" w:cs="Times New Roman"/>
          <w:color w:val="auto"/>
          <w:sz w:val="32"/>
          <w:szCs w:val="32"/>
          <w:highlight w:val="none"/>
          <w:shd w:val="clear" w:color="auto" w:fill="FFFFFF"/>
          <w:lang w:eastAsia="zh-CN"/>
        </w:rPr>
        <w:t>单位</w:t>
      </w:r>
      <w:r>
        <w:rPr>
          <w:rFonts w:hint="default" w:ascii="Times New Roman" w:hAnsi="Times New Roman" w:eastAsia="方正仿宋_GBK" w:cs="Times New Roman"/>
          <w:color w:val="auto"/>
          <w:sz w:val="32"/>
          <w:szCs w:val="32"/>
          <w:highlight w:val="none"/>
          <w:shd w:val="clear" w:color="auto" w:fill="FFFFFF"/>
        </w:rPr>
        <w:t>因公出国（境）共计0个团组，0人；公务用车购置0辆，公务车保有量为1辆；国内公务接待98批次543人，其中：国内外事接待0批次，0人；国（境）外公务接待0批次，0人。2024年本</w:t>
      </w:r>
      <w:r>
        <w:rPr>
          <w:rFonts w:hint="default" w:ascii="Times New Roman" w:hAnsi="Times New Roman" w:eastAsia="方正仿宋_GBK" w:cs="Times New Roman"/>
          <w:color w:val="auto"/>
          <w:sz w:val="32"/>
          <w:szCs w:val="32"/>
          <w:highlight w:val="none"/>
          <w:shd w:val="clear" w:color="auto" w:fill="FFFFFF"/>
          <w:lang w:eastAsia="zh-CN"/>
        </w:rPr>
        <w:t>单位</w:t>
      </w:r>
      <w:r>
        <w:rPr>
          <w:rFonts w:hint="default" w:ascii="Times New Roman" w:hAnsi="Times New Roman" w:eastAsia="方正仿宋_GBK" w:cs="Times New Roman"/>
          <w:color w:val="auto"/>
          <w:sz w:val="32"/>
          <w:szCs w:val="32"/>
          <w:highlight w:val="none"/>
          <w:shd w:val="clear" w:color="auto" w:fill="FFFFFF"/>
        </w:rPr>
        <w:t>人均接待费99.83元，车均购置费0万元，车均维护费2.63万元。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color w:val="auto"/>
          <w:sz w:val="32"/>
          <w:szCs w:val="32"/>
          <w:highlight w:val="none"/>
          <w:shd w:val="clear" w:color="auto" w:fill="FFFFFF"/>
          <w:lang w:val="en-US" w:eastAsia="zh-CN"/>
        </w:rPr>
      </w:pPr>
      <w:r>
        <w:rPr>
          <w:rFonts w:hint="eastAsia" w:ascii="方正黑体_GBK" w:hAnsi="方正黑体_GBK" w:eastAsia="方正黑体_GBK" w:cs="方正黑体_GBK"/>
          <w:color w:val="auto"/>
          <w:sz w:val="32"/>
          <w:szCs w:val="32"/>
          <w:highlight w:val="none"/>
          <w:shd w:val="clear" w:color="auto" w:fill="FFFFFF"/>
          <w:lang w:val="en-US" w:eastAsia="zh-CN"/>
        </w:rPr>
        <w:t>四、其他需要说明的事项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（一）财政拨款会议费、培训费和差旅费情况说明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本年度会议费支出0.79万元，与2023年度相比，减少0.91万元，下降53.5%，主要原因是</w:t>
      </w:r>
      <w:r>
        <w:rPr>
          <w:rFonts w:hint="default" w:ascii="Times New Roman" w:hAnsi="Times New Roman" w:eastAsia="方正仿宋_GBK" w:cs="Times New Roman"/>
          <w:color w:val="auto"/>
          <w:sz w:val="32"/>
          <w:szCs w:val="32"/>
          <w:highlight w:val="none"/>
          <w:shd w:val="clear" w:color="auto" w:fill="FFFFFF"/>
          <w:lang w:eastAsia="zh-CN"/>
        </w:rPr>
        <w:t>厉行节约，严格控制减少会议次数，导致费用下降</w:t>
      </w:r>
      <w:r>
        <w:rPr>
          <w:rFonts w:hint="default" w:ascii="Times New Roman" w:hAnsi="Times New Roman" w:eastAsia="方正仿宋_GBK" w:cs="Times New Roman"/>
          <w:color w:val="auto"/>
          <w:sz w:val="32"/>
          <w:szCs w:val="32"/>
          <w:highlight w:val="none"/>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lang w:eastAsia="zh-CN"/>
        </w:rPr>
        <w:t>本年度培训费支出12.97万元，与2023年度相比，增加0.03万元，增长0.2%，主要原因是2024年新增执法人员培训、2024年新录用公务员参加初任培训、经济运行调度培训、</w:t>
      </w:r>
      <w:r>
        <w:rPr>
          <w:rFonts w:hint="default" w:ascii="Times New Roman" w:hAnsi="Times New Roman" w:eastAsia="方正仿宋_GBK" w:cs="Times New Roman"/>
          <w:color w:val="auto"/>
          <w:sz w:val="32"/>
          <w:szCs w:val="32"/>
          <w:highlight w:val="none"/>
          <w:shd w:val="clear" w:color="auto" w:fill="FFFFFF"/>
          <w:lang w:val="en-US" w:eastAsia="zh-CN"/>
        </w:rPr>
        <w:t>商务行政执法支队2024年11月撤销，账务合并到商务委等工作，导致费用增加。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本年度差旅费支出22.88</w:t>
      </w:r>
      <w:r>
        <w:rPr>
          <w:rFonts w:hint="default" w:ascii="Times New Roman" w:hAnsi="Times New Roman" w:eastAsia="方正仿宋_GBK" w:cs="Times New Roman"/>
          <w:color w:val="auto"/>
          <w:sz w:val="32"/>
          <w:szCs w:val="32"/>
          <w:highlight w:val="none"/>
        </w:rPr>
        <w:t>万元，</w:t>
      </w:r>
      <w:r>
        <w:rPr>
          <w:rFonts w:hint="default" w:ascii="Times New Roman" w:hAnsi="Times New Roman" w:eastAsia="方正仿宋_GBK" w:cs="Times New Roman"/>
          <w:color w:val="auto"/>
          <w:sz w:val="32"/>
          <w:szCs w:val="32"/>
          <w:highlight w:val="none"/>
          <w:shd w:val="clear" w:color="auto" w:fill="FFFFFF"/>
        </w:rPr>
        <w:t>与2023年度相比，减少17.95万元，下降44.0%，主要原因是</w:t>
      </w:r>
      <w:r>
        <w:rPr>
          <w:rFonts w:hint="default" w:ascii="Times New Roman" w:hAnsi="Times New Roman" w:eastAsia="方正仿宋_GBK" w:cs="Times New Roman"/>
          <w:color w:val="auto"/>
          <w:sz w:val="32"/>
          <w:szCs w:val="32"/>
          <w:highlight w:val="none"/>
          <w:shd w:val="clear" w:color="auto" w:fill="FFFFFF"/>
          <w:lang w:eastAsia="zh-CN"/>
        </w:rPr>
        <w:t>厉行节约，严格控制出差人数和次数，导致费用下降</w:t>
      </w:r>
      <w:r>
        <w:rPr>
          <w:rFonts w:hint="default" w:ascii="Times New Roman" w:hAnsi="Times New Roman" w:eastAsia="方正仿宋_GBK" w:cs="Times New Roman"/>
          <w:color w:val="auto"/>
          <w:sz w:val="32"/>
          <w:szCs w:val="32"/>
          <w:highlight w:val="none"/>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2024年度本</w:t>
      </w:r>
      <w:r>
        <w:rPr>
          <w:rFonts w:hint="default" w:ascii="Times New Roman" w:hAnsi="Times New Roman" w:eastAsia="方正仿宋_GBK" w:cs="Times New Roman"/>
          <w:color w:val="auto"/>
          <w:sz w:val="32"/>
          <w:szCs w:val="32"/>
          <w:highlight w:val="none"/>
          <w:shd w:val="clear" w:color="auto" w:fill="FFFFFF"/>
          <w:lang w:eastAsia="zh-CN"/>
        </w:rPr>
        <w:t>单位</w:t>
      </w:r>
      <w:r>
        <w:rPr>
          <w:rFonts w:hint="default" w:ascii="Times New Roman" w:hAnsi="Times New Roman" w:eastAsia="方正仿宋_GBK" w:cs="Times New Roman"/>
          <w:color w:val="auto"/>
          <w:sz w:val="32"/>
          <w:szCs w:val="32"/>
          <w:highlight w:val="none"/>
          <w:shd w:val="clear" w:color="auto" w:fill="FFFFFF"/>
        </w:rPr>
        <w:t>机关运行经费支出77.03万元，机关运行经费主要用于开支</w:t>
      </w:r>
      <w:r>
        <w:rPr>
          <w:rFonts w:hint="default" w:ascii="Times New Roman" w:hAnsi="Times New Roman" w:eastAsia="方正仿宋_GBK" w:cs="Times New Roman"/>
          <w:color w:val="auto"/>
          <w:sz w:val="32"/>
          <w:szCs w:val="32"/>
          <w:highlight w:val="none"/>
          <w:shd w:val="clear" w:color="auto" w:fill="FFFFFF"/>
          <w:lang w:eastAsia="zh-CN"/>
        </w:rPr>
        <w:t>办公费、水费、电费、邮电费、劳务费、差旅费、公务接待费、培训费、其他交通费等费用</w:t>
      </w:r>
      <w:r>
        <w:rPr>
          <w:rFonts w:hint="default" w:ascii="Times New Roman" w:hAnsi="Times New Roman" w:eastAsia="方正仿宋_GBK" w:cs="Times New Roman"/>
          <w:color w:val="auto"/>
          <w:sz w:val="32"/>
          <w:szCs w:val="32"/>
          <w:highlight w:val="none"/>
          <w:shd w:val="clear" w:color="auto" w:fill="FFFFFF"/>
        </w:rPr>
        <w:t>。机关运行经费较上年支出数减少90.65万元，下降54.1%，主要原因</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仿宋_GB2312" w:cs="Times New Roman"/>
          <w:bCs/>
          <w:color w:val="auto"/>
          <w:sz w:val="32"/>
          <w:szCs w:val="32"/>
          <w:highlight w:val="none"/>
          <w:lang w:val="en-US" w:eastAsia="zh-CN"/>
        </w:rPr>
        <w:t>一是商务行政执法支队撤销导致日常运转费用减少；二是严格执行财务制度，节约开支，导致日常运转费用减少。</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截至2024年12月31日，本</w:t>
      </w:r>
      <w:r>
        <w:rPr>
          <w:rFonts w:hint="default" w:ascii="Times New Roman" w:hAnsi="Times New Roman" w:eastAsia="方正仿宋_GBK" w:cs="Times New Roman"/>
          <w:color w:val="auto"/>
          <w:sz w:val="32"/>
          <w:szCs w:val="32"/>
          <w:highlight w:val="none"/>
          <w:shd w:val="clear" w:color="auto" w:fill="FFFFFF"/>
          <w:lang w:eastAsia="zh-CN"/>
        </w:rPr>
        <w:t>单位</w:t>
      </w:r>
      <w:r>
        <w:rPr>
          <w:rFonts w:hint="default" w:ascii="Times New Roman" w:hAnsi="Times New Roman" w:eastAsia="方正仿宋_GBK" w:cs="Times New Roman"/>
          <w:color w:val="auto"/>
          <w:sz w:val="32"/>
          <w:szCs w:val="32"/>
          <w:highlight w:val="none"/>
          <w:shd w:val="clear" w:color="auto" w:fill="FFFFFF"/>
        </w:rPr>
        <w:t>共有车辆1辆，其中，副部（省）级及以上领导用车0辆、主要负责人用车0辆、机要通信用车0辆、应急保障用车1辆、执法执勤用车0辆，特种专业技术用车0辆，离退休干部用车0辆。单价100万元（含）以上专用设备0台（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（四）政府采购支出情况说明</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2024年</w:t>
      </w:r>
      <w:r>
        <w:rPr>
          <w:rFonts w:hint="default"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rPr>
        <w:t>未发生政府采购事项，</w:t>
      </w:r>
      <w:r>
        <w:rPr>
          <w:rFonts w:hint="default" w:ascii="Times New Roman" w:hAnsi="Times New Roman" w:eastAsia="方正仿宋_GBK" w:cs="Times New Roman"/>
          <w:color w:val="auto"/>
          <w:sz w:val="32"/>
          <w:szCs w:val="32"/>
          <w:highlight w:val="none"/>
          <w:shd w:val="clear" w:color="auto" w:fill="FFFFFF"/>
          <w:lang w:eastAsia="zh-CN"/>
        </w:rPr>
        <w:t>无相关经费支出。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黑体_GBK" w:hAnsi="方正黑体_GBK" w:eastAsia="方正黑体_GBK" w:cs="方正黑体_GBK"/>
          <w:color w:val="auto"/>
          <w:sz w:val="32"/>
          <w:szCs w:val="32"/>
          <w:highlight w:val="none"/>
          <w:shd w:val="clear" w:color="auto" w:fill="FFFFFF"/>
          <w:lang w:val="en-US" w:eastAsia="zh-CN"/>
        </w:rPr>
      </w:pPr>
      <w:r>
        <w:rPr>
          <w:rFonts w:hint="default" w:ascii="方正黑体_GBK" w:hAnsi="方正黑体_GBK" w:eastAsia="方正黑体_GBK" w:cs="方正黑体_GBK"/>
          <w:color w:val="auto"/>
          <w:sz w:val="32"/>
          <w:szCs w:val="32"/>
          <w:highlight w:val="none"/>
          <w:shd w:val="clear" w:color="auto" w:fill="FFFFFF"/>
          <w:lang w:val="en-US" w:eastAsia="zh-CN"/>
        </w:rPr>
        <w:t>五、2024年度预算绩效管理情况说明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highlight w:val="yellow"/>
          <w:shd w:val="clear" w:color="auto" w:fill="FFFFFF"/>
          <w:lang w:val="en-US"/>
        </w:rPr>
      </w:pPr>
      <w:r>
        <w:rPr>
          <w:rFonts w:hint="default" w:ascii="Times New Roman" w:hAnsi="Times New Roman" w:eastAsia="方正仿宋_GBK" w:cs="Times New Roman"/>
          <w:sz w:val="32"/>
          <w:szCs w:val="32"/>
          <w:shd w:val="clear" w:color="auto" w:fill="FFFFFF"/>
        </w:rPr>
        <w:t>根据预算绩效管理要求，我单位</w:t>
      </w:r>
      <w:r>
        <w:rPr>
          <w:rFonts w:hint="default" w:ascii="Times New Roman" w:hAnsi="Times New Roman" w:eastAsia="方正仿宋_GBK" w:cs="Times New Roman"/>
          <w:sz w:val="32"/>
          <w:szCs w:val="32"/>
          <w:shd w:val="clear" w:color="auto" w:fill="FFFFFF"/>
          <w:lang w:val="en-US" w:eastAsia="zh-CN"/>
        </w:rPr>
        <w:t>45</w:t>
      </w:r>
      <w:r>
        <w:rPr>
          <w:rFonts w:hint="default" w:ascii="Times New Roman" w:hAnsi="Times New Roman" w:eastAsia="方正仿宋_GBK" w:cs="Times New Roman"/>
          <w:sz w:val="32"/>
          <w:szCs w:val="32"/>
          <w:shd w:val="clear" w:color="auto" w:fill="FFFFFF"/>
        </w:rPr>
        <w:t>个项目开展了绩效自评，涉及财政拨款项目支出资金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2745.97万元。单位自评表见附件。</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（二）单位绩效评价情况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kern w:val="0"/>
          <w:sz w:val="32"/>
          <w:szCs w:val="32"/>
          <w:shd w:val="clear" w:fill="FFFFFF"/>
        </w:rPr>
        <w:t>我</w:t>
      </w:r>
      <w:r>
        <w:rPr>
          <w:rFonts w:hint="default" w:ascii="Times New Roman" w:hAnsi="Times New Roman" w:eastAsia="方正仿宋_GBK" w:cs="Times New Roman"/>
          <w:kern w:val="0"/>
          <w:sz w:val="32"/>
          <w:szCs w:val="32"/>
          <w:shd w:val="clear" w:fill="FFFFFF"/>
          <w:lang w:val="en-US" w:eastAsia="zh-CN"/>
        </w:rPr>
        <w:t>委</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生活必需品流通保供体系建设项目、县域商业建设行动建设项目、海关工作经费、京东电商节丰都专场活动资金</w:t>
      </w:r>
      <w:r>
        <w:rPr>
          <w:rFonts w:hint="default" w:ascii="Times New Roman" w:hAnsi="Times New Roman" w:eastAsia="方正仿宋_GBK" w:cs="Times New Roman"/>
          <w:sz w:val="32"/>
          <w:szCs w:val="32"/>
          <w:shd w:val="clear" w:color="auto" w:fill="FFFFFF"/>
          <w:lang w:val="en-US" w:eastAsia="zh-CN"/>
        </w:rPr>
        <w:t>等45个项目</w:t>
      </w:r>
      <w:r>
        <w:rPr>
          <w:rFonts w:hint="default" w:ascii="Times New Roman" w:hAnsi="Times New Roman" w:eastAsia="方正仿宋_GBK" w:cs="Times New Roman"/>
          <w:sz w:val="32"/>
          <w:szCs w:val="32"/>
          <w:shd w:val="clear" w:color="auto" w:fill="FFFFFF"/>
        </w:rPr>
        <w:t>开展了绩效评价，涉及财政拨款项目资金</w:t>
      </w:r>
      <w:r>
        <w:rPr>
          <w:rFonts w:hint="default" w:ascii="Times New Roman" w:hAnsi="Times New Roman" w:eastAsia="方正仿宋_GBK" w:cs="Times New Roman"/>
          <w:sz w:val="32"/>
          <w:szCs w:val="32"/>
          <w:shd w:val="clear" w:color="auto" w:fill="FFFFFF"/>
          <w:lang w:val="en-US" w:eastAsia="zh-CN"/>
        </w:rPr>
        <w:t>2745.97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所有项目均评价</w:t>
      </w:r>
      <w:r>
        <w:rPr>
          <w:rFonts w:hint="default" w:ascii="Times New Roman" w:hAnsi="Times New Roman" w:eastAsia="方正仿宋_GBK" w:cs="Times New Roman"/>
          <w:sz w:val="32"/>
          <w:szCs w:val="32"/>
          <w:shd w:val="clear" w:color="auto" w:fill="FFFFFF"/>
        </w:rPr>
        <w:t>得分</w:t>
      </w:r>
      <w:r>
        <w:rPr>
          <w:rFonts w:hint="default" w:ascii="Times New Roman" w:hAnsi="Times New Roman" w:eastAsia="方正仿宋_GBK" w:cs="Times New Roman"/>
          <w:sz w:val="32"/>
          <w:szCs w:val="32"/>
          <w:shd w:val="clear" w:color="auto" w:fill="FFFFFF"/>
          <w:lang w:val="en-US" w:eastAsia="zh-CN"/>
        </w:rPr>
        <w:t>90</w:t>
      </w:r>
      <w:r>
        <w:rPr>
          <w:rFonts w:hint="default" w:ascii="Times New Roman" w:hAnsi="Times New Roman" w:eastAsia="方正仿宋_GBK" w:cs="Times New Roman"/>
          <w:sz w:val="32"/>
          <w:szCs w:val="32"/>
          <w:shd w:val="clear" w:color="auto" w:fill="FFFFFF"/>
        </w:rPr>
        <w:t>分</w:t>
      </w:r>
      <w:r>
        <w:rPr>
          <w:rFonts w:hint="default" w:ascii="Times New Roman" w:hAnsi="Times New Roman" w:eastAsia="方正仿宋_GBK" w:cs="Times New Roman"/>
          <w:sz w:val="32"/>
          <w:szCs w:val="32"/>
          <w:shd w:val="clear" w:color="auto" w:fill="FFFFFF"/>
          <w:lang w:val="en-US" w:eastAsia="zh-CN"/>
        </w:rPr>
        <w:t>以上</w:t>
      </w:r>
      <w:r>
        <w:rPr>
          <w:rFonts w:hint="default" w:ascii="Times New Roman" w:hAnsi="Times New Roman" w:eastAsia="方正仿宋_GBK" w:cs="Times New Roman"/>
          <w:sz w:val="32"/>
          <w:szCs w:val="32"/>
          <w:shd w:val="clear" w:color="auto" w:fill="FFFFFF"/>
        </w:rPr>
        <w:t>，评价等次为</w:t>
      </w:r>
      <w:r>
        <w:rPr>
          <w:rFonts w:hint="default" w:ascii="Times New Roman" w:hAnsi="Times New Roman" w:eastAsia="方正仿宋_GBK" w:cs="Times New Roman"/>
          <w:sz w:val="32"/>
          <w:szCs w:val="32"/>
          <w:shd w:val="clear" w:color="auto" w:fill="FFFFFF"/>
          <w:lang w:val="en-US" w:eastAsia="zh-CN"/>
        </w:rPr>
        <w:t>优。</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val="en-US" w:eastAsia="zh-CN"/>
        </w:rPr>
        <w:t>财政绩效评价情况</w:t>
      </w:r>
    </w:p>
    <w:p>
      <w:pPr>
        <w:pStyle w:val="16"/>
        <w:keepNext w:val="0"/>
        <w:keepLines w:val="0"/>
        <w:pageBreakBefore w:val="0"/>
        <w:widowControl/>
        <w:numPr>
          <w:ilvl w:val="0"/>
          <w:numId w:val="0"/>
        </w:numPr>
        <w:kinsoku/>
        <w:wordWrap/>
        <w:overflowPunct/>
        <w:topLinePunct w:val="0"/>
        <w:autoSpaceDE w:val="0"/>
        <w:autoSpaceDN/>
        <w:bidi w:val="0"/>
        <w:adjustRightInd/>
        <w:snapToGrid/>
        <w:spacing w:after="0" w:afterAutospacing="0" w:line="600" w:lineRule="exact"/>
        <w:ind w:leftChars="200" w:right="0" w:rightChars="0"/>
        <w:textAlignment w:val="auto"/>
        <w:rPr>
          <w:rFonts w:hint="default" w:ascii="Times New Roman" w:hAnsi="Times New Roman" w:eastAsia="方正仿宋_GBK" w:cs="Times New Roman"/>
          <w:kern w:val="0"/>
          <w:sz w:val="32"/>
          <w:szCs w:val="32"/>
          <w:shd w:val="clear"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县财政局未委托第三方机构对我单位开展绩效评价。</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仿宋_GBK" w:cs="Times New Roman"/>
          <w:b/>
          <w:bCs/>
          <w:sz w:val="32"/>
          <w:szCs w:val="32"/>
          <w:shd w:val="clear" w:fill="FFFFFF"/>
        </w:rPr>
        <w:t xml:space="preserve"> </w:t>
      </w:r>
      <w:r>
        <w:rPr>
          <w:rStyle w:val="13"/>
          <w:rFonts w:hint="default" w:ascii="Times New Roman" w:hAnsi="Times New Roman" w:eastAsia="方正仿宋_GBK" w:cs="Times New Roman"/>
          <w:b/>
          <w:bCs/>
          <w:sz w:val="32"/>
          <w:szCs w:val="32"/>
          <w:shd w:val="clear" w:fill="FFFFFF"/>
          <w:lang w:val="en-US" w:eastAsia="zh-CN"/>
        </w:rPr>
        <w:t xml:space="preserve">  </w:t>
      </w:r>
      <w:r>
        <w:rPr>
          <w:rStyle w:val="10"/>
          <w:rFonts w:hint="default" w:ascii="Times New Roman" w:hAnsi="Times New Roman" w:eastAsia="方正黑体_GBK" w:cs="Times New Roman"/>
          <w:b w:val="0"/>
          <w:bCs/>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（二）事业收入：</w:t>
      </w:r>
      <w:r>
        <w:rPr>
          <w:rFonts w:hint="default" w:ascii="Times New Roman" w:hAnsi="Times New Roman" w:eastAsia="方正仿宋_GBK" w:cs="Times New Roman"/>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（三）经营收入：</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（四）其他收入：</w:t>
      </w:r>
      <w:r>
        <w:rPr>
          <w:rFonts w:hint="default" w:ascii="Times New Roman" w:hAnsi="Times New Roman" w:eastAsia="方正仿宋_GBK" w:cs="Times New Roman"/>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（五）使用非财政拨款结余（含专用结余）：</w:t>
      </w: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（六）年初结转和结余：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（七）结余分配：</w:t>
      </w:r>
      <w:r>
        <w:rPr>
          <w:rFonts w:hint="default" w:ascii="Times New Roman" w:hAnsi="Times New Roman" w:eastAsia="方正仿宋_GBK" w:cs="Times New Roman"/>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（八）年末结转和结余：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（九）基本支出：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（十）项目支出：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（十一）经营支出：</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（十二）“三公”经费：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（十三）机关运行经费：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（十四）工资福利支出（支出经济分类科目类级）：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（十五）商品和服务支出（支出经济分类科目类级）：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（十六）对个人和家庭的补助（支出经济分类科目类级）：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bidi="ar-SA"/>
        </w:rPr>
        <w:t>（十七）其他资本性支出（支出经济分类科目类级）：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本单位决算公开信息反馈和联系方式：</w:t>
      </w:r>
    </w:p>
    <w:p>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lang w:eastAsia="zh-CN"/>
        </w:rPr>
        <w:t>彭喜梅</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023-</w:t>
      </w:r>
      <w:r>
        <w:rPr>
          <w:rFonts w:hint="default" w:ascii="Times New Roman" w:hAnsi="Times New Roman" w:eastAsia="方正仿宋_GBK" w:cs="Times New Roman"/>
          <w:kern w:val="0"/>
          <w:sz w:val="32"/>
          <w:szCs w:val="32"/>
          <w:shd w:val="clear" w:fill="FFFFFF"/>
          <w:lang w:val="en-US" w:eastAsia="zh-CN"/>
        </w:rPr>
        <w:t>70738505</w:t>
      </w:r>
    </w:p>
    <w:p>
      <w:pPr>
        <w:pStyle w:val="11"/>
        <w:keepNext w:val="0"/>
        <w:keepLines w:val="0"/>
        <w:pageBreakBefore w:val="0"/>
        <w:widowControl/>
        <w:kinsoku/>
        <w:wordWrap/>
        <w:overflowPunct/>
        <w:topLinePunct w:val="0"/>
        <w:autoSpaceDE w:val="0"/>
        <w:autoSpaceDN/>
        <w:bidi w:val="0"/>
        <w:adjustRightInd/>
        <w:spacing w:line="600" w:lineRule="exact"/>
        <w:ind w:firstLine="640"/>
        <w:jc w:val="both"/>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2"/>
                <w:szCs w:val="22"/>
              </w:rPr>
            </w:pP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u w:color="auto"/>
              </w:rPr>
              <w:t>丰都县商务委员会（本级）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78"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3,513.86</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1,132.67</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332.02</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45.56</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1,974.13</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29.18</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3,513.86</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3,513.71</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3,513.86</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3,513.86</w:t>
            </w:r>
          </w:p>
        </w:tc>
      </w:tr>
    </w:tbl>
    <w:p>
      <w:pPr>
        <w:rPr>
          <w:rFonts w:hint="default" w:ascii="Times New Roman" w:hAnsi="Times New Roman" w:cs="Times New Roman"/>
          <w:sz w:val="21"/>
          <w:szCs w:val="21"/>
        </w:rPr>
      </w:pPr>
    </w:p>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u w:color="auto"/>
              </w:rPr>
              <w:t>丰都县商务委员会（本级）</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1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12"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113"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3,513.86</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3,513.86</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tblPrEx>
          <w:tblCellMar>
            <w:top w:w="0" w:type="dxa"/>
            <w:left w:w="0" w:type="dxa"/>
            <w:bottom w:w="0" w:type="dxa"/>
            <w:right w:w="0" w:type="dxa"/>
          </w:tblCellMar>
        </w:tblPrEx>
        <w:trPr>
          <w:trHeight w:val="22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1,132.82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1,132.82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1,132.82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1,132.82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25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361.13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361.13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25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其他商贸事务支出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744.68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744.68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332.02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332.02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332.02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332.02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273"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34.85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34.85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1,974.13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1,974.13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1,808.13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1,808.13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1,808.13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1,808.13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涉外发展服务支出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其他涉外发展服务支出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丰都县商务委员会（本级）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3,513.71</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767.75</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2,745.97</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1,132.67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360.99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771.68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1,132.67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360.99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771.68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360.99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360.99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其他商贸事务支出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744.68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744.68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332.02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332.02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332.02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332.02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34.85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34.85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1,974.13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1,974.13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1,808.13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1,808.13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1,808.13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1,808.13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涉外发展服务支出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其他涉外发展服务支出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丰都县商务委员会（本级）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3,513.86</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1,132.67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1,132.67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332.02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332.02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1,974.13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1,974.13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3,513.86</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3,513.71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3,513.71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3,513.86</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3,513.86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3,513.86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丰都县商务委员会（本级）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3,513.71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767.75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2,745.97</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1,132.67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360.99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771.68</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1,132.67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360.99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771.68</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360.99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360.99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其他商贸事务支出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744.68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744.68</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332.02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332.02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332.02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332.02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34.85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25.96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25.96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258.86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258.86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45.56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45.56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45.56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45.56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27.04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27.04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0.15</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1,974.13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1,974.13</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1,808.13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1,808.13</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1,808.13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1,808.13</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涉外发展服务支出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其他涉外发展服务支出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166.00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166.00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29.18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29.18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丰都县商务委员会（本级）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eastAsia"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eastAsia"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eastAsia"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380.25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77.03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87.38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58.63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113.33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34.85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310.47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31.63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231.58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16.22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center"/>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690.72</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77.03</w:t>
            </w:r>
            <w:r>
              <w:rPr>
                <w:rFonts w:hint="default" w:ascii="Times New Roman" w:hAnsi="Times New Roman" w:cs="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丰都县商务委员会（本级）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本年度政府性基金预算财政拨款收入支出及结转和结余情况。本</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丰都县商务委员会（本级）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本年度国有资本经营预算财政拨款支出情况。本</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3"/>
        <w:gridCol w:w="2403"/>
        <w:gridCol w:w="2361"/>
        <w:gridCol w:w="3723"/>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丰都县商务委员会（本级）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77.03</w:t>
            </w: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8.05</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8.05</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77.03</w:t>
            </w: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2.63</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2.63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2.63</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2.63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5.42</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5.42</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5.42</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98</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543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0.79</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12.97</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22.88</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18"/>
          <w:szCs w:val="18"/>
        </w:rPr>
      </w:pPr>
      <w:r>
        <w:rPr>
          <w:rFonts w:hint="default" w:ascii="Times New Roman" w:hAnsi="Times New Roman" w:cs="Times New Roman"/>
          <w:sz w:val="18"/>
          <w:szCs w:val="18"/>
        </w:rPr>
        <w:t>备注：1.本表反映</w:t>
      </w:r>
      <w:r>
        <w:rPr>
          <w:rFonts w:hint="default" w:ascii="Times New Roman" w:hAnsi="Times New Roman" w:cs="Times New Roman"/>
          <w:sz w:val="20"/>
          <w:szCs w:val="20"/>
          <w:lang w:eastAsia="zh-CN"/>
        </w:rPr>
        <w:t>单位</w:t>
      </w:r>
      <w:r>
        <w:rPr>
          <w:rFonts w:hint="default" w:ascii="Times New Roman" w:hAnsi="Times New Roman" w:cs="Times New Roman"/>
          <w:sz w:val="18"/>
          <w:szCs w:val="18"/>
        </w:rPr>
        <w:t>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- 21 -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527FF8"/>
    <w:rsid w:val="01F3521E"/>
    <w:rsid w:val="02290C40"/>
    <w:rsid w:val="0233386D"/>
    <w:rsid w:val="02A66735"/>
    <w:rsid w:val="03077B2E"/>
    <w:rsid w:val="03B87EA0"/>
    <w:rsid w:val="03E3214F"/>
    <w:rsid w:val="04461F7D"/>
    <w:rsid w:val="044C50BA"/>
    <w:rsid w:val="04682C12"/>
    <w:rsid w:val="04CE5ACF"/>
    <w:rsid w:val="05BC6D49"/>
    <w:rsid w:val="06194FF1"/>
    <w:rsid w:val="06A2550B"/>
    <w:rsid w:val="06F80EE2"/>
    <w:rsid w:val="07001CCA"/>
    <w:rsid w:val="075678DB"/>
    <w:rsid w:val="079D7CC7"/>
    <w:rsid w:val="08051BCA"/>
    <w:rsid w:val="086C12F4"/>
    <w:rsid w:val="0880156C"/>
    <w:rsid w:val="0891753F"/>
    <w:rsid w:val="08A3722B"/>
    <w:rsid w:val="08BA052C"/>
    <w:rsid w:val="08DB07BA"/>
    <w:rsid w:val="09594501"/>
    <w:rsid w:val="0969353F"/>
    <w:rsid w:val="098305D0"/>
    <w:rsid w:val="098A0877"/>
    <w:rsid w:val="0A5C4B69"/>
    <w:rsid w:val="0A86124A"/>
    <w:rsid w:val="0AB54CC0"/>
    <w:rsid w:val="0B4B7E79"/>
    <w:rsid w:val="0B9335CE"/>
    <w:rsid w:val="0B9D61FB"/>
    <w:rsid w:val="0BBA77D6"/>
    <w:rsid w:val="0C7927C4"/>
    <w:rsid w:val="0C9B098C"/>
    <w:rsid w:val="0D136775"/>
    <w:rsid w:val="0D673E11"/>
    <w:rsid w:val="0D6B035F"/>
    <w:rsid w:val="0DDA54E4"/>
    <w:rsid w:val="0E084ABF"/>
    <w:rsid w:val="0E39045D"/>
    <w:rsid w:val="0E3A5F83"/>
    <w:rsid w:val="0E74421A"/>
    <w:rsid w:val="0EA46639"/>
    <w:rsid w:val="0EC6180C"/>
    <w:rsid w:val="0F497FB6"/>
    <w:rsid w:val="0F836721"/>
    <w:rsid w:val="0F895414"/>
    <w:rsid w:val="0FA20284"/>
    <w:rsid w:val="0FA25D96"/>
    <w:rsid w:val="1034712E"/>
    <w:rsid w:val="107B59E5"/>
    <w:rsid w:val="10EC0126"/>
    <w:rsid w:val="10F70B9A"/>
    <w:rsid w:val="111445C7"/>
    <w:rsid w:val="114278C6"/>
    <w:rsid w:val="115455AE"/>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6F27D5E"/>
    <w:rsid w:val="173708E3"/>
    <w:rsid w:val="174C19C7"/>
    <w:rsid w:val="17C374FC"/>
    <w:rsid w:val="17CF598E"/>
    <w:rsid w:val="189079DC"/>
    <w:rsid w:val="189B0D0B"/>
    <w:rsid w:val="18B43F7C"/>
    <w:rsid w:val="194A1770"/>
    <w:rsid w:val="19A410F8"/>
    <w:rsid w:val="19B906A4"/>
    <w:rsid w:val="19FB026E"/>
    <w:rsid w:val="1A0E6C42"/>
    <w:rsid w:val="1B6F15B6"/>
    <w:rsid w:val="1BAA2EDC"/>
    <w:rsid w:val="1BC03F6C"/>
    <w:rsid w:val="1C5C0973"/>
    <w:rsid w:val="1CA55E64"/>
    <w:rsid w:val="1CF55E97"/>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5190D"/>
    <w:rsid w:val="1FBB35CD"/>
    <w:rsid w:val="1FCD26AF"/>
    <w:rsid w:val="20642787"/>
    <w:rsid w:val="20F4064E"/>
    <w:rsid w:val="21410299"/>
    <w:rsid w:val="21556F04"/>
    <w:rsid w:val="21CF4F08"/>
    <w:rsid w:val="22403BD3"/>
    <w:rsid w:val="22700284"/>
    <w:rsid w:val="23BA1BE8"/>
    <w:rsid w:val="23DA37D9"/>
    <w:rsid w:val="24B92327"/>
    <w:rsid w:val="24C14514"/>
    <w:rsid w:val="2533755C"/>
    <w:rsid w:val="254B6F9C"/>
    <w:rsid w:val="25791755"/>
    <w:rsid w:val="25B3069D"/>
    <w:rsid w:val="26396DF4"/>
    <w:rsid w:val="26B7240F"/>
    <w:rsid w:val="27127645"/>
    <w:rsid w:val="27167136"/>
    <w:rsid w:val="27B23302"/>
    <w:rsid w:val="28B766F6"/>
    <w:rsid w:val="28F57D5A"/>
    <w:rsid w:val="29310A5F"/>
    <w:rsid w:val="29C37A35"/>
    <w:rsid w:val="2A076083"/>
    <w:rsid w:val="2A73162E"/>
    <w:rsid w:val="2A751F0B"/>
    <w:rsid w:val="2B167953"/>
    <w:rsid w:val="2B200583"/>
    <w:rsid w:val="2B220436"/>
    <w:rsid w:val="2B8209DE"/>
    <w:rsid w:val="2B836D64"/>
    <w:rsid w:val="2C6762A3"/>
    <w:rsid w:val="2CA62D0A"/>
    <w:rsid w:val="2D76092E"/>
    <w:rsid w:val="2DAD50E6"/>
    <w:rsid w:val="2E5E07DC"/>
    <w:rsid w:val="2EBF7B3E"/>
    <w:rsid w:val="2EDE1934"/>
    <w:rsid w:val="2FCA4B37"/>
    <w:rsid w:val="2FE029D7"/>
    <w:rsid w:val="2FF06E00"/>
    <w:rsid w:val="305111DE"/>
    <w:rsid w:val="30562E26"/>
    <w:rsid w:val="30586FEC"/>
    <w:rsid w:val="30D53BBD"/>
    <w:rsid w:val="30EC7046"/>
    <w:rsid w:val="30F1626C"/>
    <w:rsid w:val="312D57A8"/>
    <w:rsid w:val="315F0B22"/>
    <w:rsid w:val="319D022C"/>
    <w:rsid w:val="31C90022"/>
    <w:rsid w:val="31D84415"/>
    <w:rsid w:val="31DD7660"/>
    <w:rsid w:val="31DE28F8"/>
    <w:rsid w:val="31E0281A"/>
    <w:rsid w:val="31ED1FFA"/>
    <w:rsid w:val="32026C34"/>
    <w:rsid w:val="32222E32"/>
    <w:rsid w:val="32285F6F"/>
    <w:rsid w:val="32770556"/>
    <w:rsid w:val="329C0913"/>
    <w:rsid w:val="32AA0460"/>
    <w:rsid w:val="3337290D"/>
    <w:rsid w:val="33C34B98"/>
    <w:rsid w:val="33E31118"/>
    <w:rsid w:val="33EF7674"/>
    <w:rsid w:val="342D7BC6"/>
    <w:rsid w:val="34475F39"/>
    <w:rsid w:val="35040F15"/>
    <w:rsid w:val="352930DB"/>
    <w:rsid w:val="35573069"/>
    <w:rsid w:val="355F6038"/>
    <w:rsid w:val="358C217E"/>
    <w:rsid w:val="35937598"/>
    <w:rsid w:val="369D5E46"/>
    <w:rsid w:val="36C9128A"/>
    <w:rsid w:val="3708768D"/>
    <w:rsid w:val="372E3953"/>
    <w:rsid w:val="37826121"/>
    <w:rsid w:val="37841E99"/>
    <w:rsid w:val="37BF1123"/>
    <w:rsid w:val="38037262"/>
    <w:rsid w:val="383C3F15"/>
    <w:rsid w:val="387D1690"/>
    <w:rsid w:val="38BE4696"/>
    <w:rsid w:val="3939115E"/>
    <w:rsid w:val="39B82A39"/>
    <w:rsid w:val="39C42CA8"/>
    <w:rsid w:val="39DC4FD6"/>
    <w:rsid w:val="39F03D7A"/>
    <w:rsid w:val="39F33306"/>
    <w:rsid w:val="3A015A23"/>
    <w:rsid w:val="3A1C3903"/>
    <w:rsid w:val="3A2C1C67"/>
    <w:rsid w:val="3B143534"/>
    <w:rsid w:val="3B1705E5"/>
    <w:rsid w:val="3B18334B"/>
    <w:rsid w:val="3B36794F"/>
    <w:rsid w:val="3C566AD6"/>
    <w:rsid w:val="3C6A5B02"/>
    <w:rsid w:val="3C8A1D00"/>
    <w:rsid w:val="3D1141CF"/>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AE7F87"/>
    <w:rsid w:val="40C80836"/>
    <w:rsid w:val="40D54604"/>
    <w:rsid w:val="411B6CE5"/>
    <w:rsid w:val="412070D7"/>
    <w:rsid w:val="41314E40"/>
    <w:rsid w:val="41E0734B"/>
    <w:rsid w:val="422D4C04"/>
    <w:rsid w:val="426554D0"/>
    <w:rsid w:val="426C1EA8"/>
    <w:rsid w:val="42736402"/>
    <w:rsid w:val="42E86A87"/>
    <w:rsid w:val="43010842"/>
    <w:rsid w:val="43307B09"/>
    <w:rsid w:val="43470647"/>
    <w:rsid w:val="438D0E97"/>
    <w:rsid w:val="43BB152F"/>
    <w:rsid w:val="44494994"/>
    <w:rsid w:val="449F6565"/>
    <w:rsid w:val="44C37687"/>
    <w:rsid w:val="44E727DA"/>
    <w:rsid w:val="44FE772F"/>
    <w:rsid w:val="45CB699A"/>
    <w:rsid w:val="461307C2"/>
    <w:rsid w:val="465B470D"/>
    <w:rsid w:val="469D6AD4"/>
    <w:rsid w:val="46AC31BB"/>
    <w:rsid w:val="46F9266C"/>
    <w:rsid w:val="471E6C84"/>
    <w:rsid w:val="4748792B"/>
    <w:rsid w:val="475D719D"/>
    <w:rsid w:val="475F3D89"/>
    <w:rsid w:val="47674801"/>
    <w:rsid w:val="48225EF7"/>
    <w:rsid w:val="482E62B2"/>
    <w:rsid w:val="488F422B"/>
    <w:rsid w:val="48E36915"/>
    <w:rsid w:val="49415E3C"/>
    <w:rsid w:val="495C4A24"/>
    <w:rsid w:val="497135DF"/>
    <w:rsid w:val="4A1605D9"/>
    <w:rsid w:val="4A263DF2"/>
    <w:rsid w:val="4A4667EE"/>
    <w:rsid w:val="4A6F6675"/>
    <w:rsid w:val="4ABF0746"/>
    <w:rsid w:val="4AFC3801"/>
    <w:rsid w:val="4B0502DF"/>
    <w:rsid w:val="4B135857"/>
    <w:rsid w:val="4B343F2F"/>
    <w:rsid w:val="4B7951CB"/>
    <w:rsid w:val="4B7C315C"/>
    <w:rsid w:val="4CCF773C"/>
    <w:rsid w:val="4DA3492F"/>
    <w:rsid w:val="4DAC4ACA"/>
    <w:rsid w:val="4DBE01D2"/>
    <w:rsid w:val="4E4B6A94"/>
    <w:rsid w:val="4EC92552"/>
    <w:rsid w:val="4EFC6D10"/>
    <w:rsid w:val="4F0C6BA3"/>
    <w:rsid w:val="4F10477D"/>
    <w:rsid w:val="4F186D58"/>
    <w:rsid w:val="4FEA65B7"/>
    <w:rsid w:val="5042146E"/>
    <w:rsid w:val="507D1EEB"/>
    <w:rsid w:val="50EB7F77"/>
    <w:rsid w:val="50F06B6E"/>
    <w:rsid w:val="51962A9D"/>
    <w:rsid w:val="52234D33"/>
    <w:rsid w:val="52261ABA"/>
    <w:rsid w:val="522F6E0C"/>
    <w:rsid w:val="52345A3A"/>
    <w:rsid w:val="52463BA1"/>
    <w:rsid w:val="5298794F"/>
    <w:rsid w:val="52F163D4"/>
    <w:rsid w:val="531A2DB4"/>
    <w:rsid w:val="539E4236"/>
    <w:rsid w:val="53C0244D"/>
    <w:rsid w:val="53DD4D4E"/>
    <w:rsid w:val="53E578CE"/>
    <w:rsid w:val="541330F0"/>
    <w:rsid w:val="54272666"/>
    <w:rsid w:val="543B029D"/>
    <w:rsid w:val="544C3364"/>
    <w:rsid w:val="545804DE"/>
    <w:rsid w:val="54655E06"/>
    <w:rsid w:val="54856390"/>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8F033DB"/>
    <w:rsid w:val="59920A67"/>
    <w:rsid w:val="5A3B59D6"/>
    <w:rsid w:val="5A6F6F32"/>
    <w:rsid w:val="5AD134D8"/>
    <w:rsid w:val="5B6503B1"/>
    <w:rsid w:val="5C0F7EC4"/>
    <w:rsid w:val="5C263CE4"/>
    <w:rsid w:val="5C5D2777"/>
    <w:rsid w:val="5CF66BF3"/>
    <w:rsid w:val="5D041203"/>
    <w:rsid w:val="5D290C69"/>
    <w:rsid w:val="5F2D4A41"/>
    <w:rsid w:val="60981914"/>
    <w:rsid w:val="60AA720F"/>
    <w:rsid w:val="60C74F6C"/>
    <w:rsid w:val="61025A59"/>
    <w:rsid w:val="613D5BBC"/>
    <w:rsid w:val="61536C39"/>
    <w:rsid w:val="61E64F4A"/>
    <w:rsid w:val="623E0993"/>
    <w:rsid w:val="62944DD7"/>
    <w:rsid w:val="6315416A"/>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A852F5"/>
    <w:rsid w:val="66EE5541"/>
    <w:rsid w:val="67924660"/>
    <w:rsid w:val="683200C2"/>
    <w:rsid w:val="68407834"/>
    <w:rsid w:val="684B5F38"/>
    <w:rsid w:val="685A43CD"/>
    <w:rsid w:val="6883293E"/>
    <w:rsid w:val="688412AD"/>
    <w:rsid w:val="68EB1B71"/>
    <w:rsid w:val="69475C96"/>
    <w:rsid w:val="69E93C5A"/>
    <w:rsid w:val="6A3D5D54"/>
    <w:rsid w:val="6AAD2300"/>
    <w:rsid w:val="6AFC79BD"/>
    <w:rsid w:val="6B474EF5"/>
    <w:rsid w:val="6BBF53FD"/>
    <w:rsid w:val="6C560CAE"/>
    <w:rsid w:val="6C576495"/>
    <w:rsid w:val="6D2662B1"/>
    <w:rsid w:val="6D903FF5"/>
    <w:rsid w:val="6DA955B8"/>
    <w:rsid w:val="6DE346AB"/>
    <w:rsid w:val="6DE5391A"/>
    <w:rsid w:val="6EFD1324"/>
    <w:rsid w:val="6F4D07E7"/>
    <w:rsid w:val="6F5A53AC"/>
    <w:rsid w:val="6FAC003D"/>
    <w:rsid w:val="6FE55E12"/>
    <w:rsid w:val="6FFB2E76"/>
    <w:rsid w:val="708F6F7F"/>
    <w:rsid w:val="70D94BD3"/>
    <w:rsid w:val="70E87136"/>
    <w:rsid w:val="717402AD"/>
    <w:rsid w:val="71C34D91"/>
    <w:rsid w:val="72315CB9"/>
    <w:rsid w:val="72556843"/>
    <w:rsid w:val="72DB435C"/>
    <w:rsid w:val="72E2613A"/>
    <w:rsid w:val="72F771F4"/>
    <w:rsid w:val="734150D5"/>
    <w:rsid w:val="736650B0"/>
    <w:rsid w:val="73934AD2"/>
    <w:rsid w:val="74CC0400"/>
    <w:rsid w:val="750837F0"/>
    <w:rsid w:val="754758CF"/>
    <w:rsid w:val="761275E6"/>
    <w:rsid w:val="764F62AB"/>
    <w:rsid w:val="765C45EC"/>
    <w:rsid w:val="768A7619"/>
    <w:rsid w:val="76AA36E6"/>
    <w:rsid w:val="772E1EBA"/>
    <w:rsid w:val="77303AE2"/>
    <w:rsid w:val="77E04440"/>
    <w:rsid w:val="77EB79F7"/>
    <w:rsid w:val="796D60A4"/>
    <w:rsid w:val="79A031D5"/>
    <w:rsid w:val="79C25500"/>
    <w:rsid w:val="7A1525F7"/>
    <w:rsid w:val="7A7237F8"/>
    <w:rsid w:val="7AB160CE"/>
    <w:rsid w:val="7B24540B"/>
    <w:rsid w:val="7B2E5971"/>
    <w:rsid w:val="7B420052"/>
    <w:rsid w:val="7B861484"/>
    <w:rsid w:val="7BD06A28"/>
    <w:rsid w:val="7C3A7C0B"/>
    <w:rsid w:val="7C5248E4"/>
    <w:rsid w:val="7C566698"/>
    <w:rsid w:val="7C5866A3"/>
    <w:rsid w:val="7CBE2F89"/>
    <w:rsid w:val="7D7406BB"/>
    <w:rsid w:val="7DE94331"/>
    <w:rsid w:val="7DEC115D"/>
    <w:rsid w:val="7E325778"/>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11666</Words>
  <Characters>15105</Characters>
  <Lines>186</Lines>
  <Paragraphs>52</Paragraphs>
  <TotalTime>2</TotalTime>
  <ScaleCrop>false</ScaleCrop>
  <LinksUpToDate>false</LinksUpToDate>
  <CharactersWithSpaces>15652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2025-09-12T03:49:22Z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BB46EABDBB2749749395447164B066B3_12</vt:lpwstr>
  </property>
  <property fmtid="{D5CDD505-2E9C-101B-9397-08002B2CF9AE}" pid="4" name="KSOTemplateDocerSaveRecord">
    <vt:lpwstr>eyJoZGlkIjoiYTQ4YzE3OWZjYTMzZjI3M2U0MDU0NjUyYjRjMGNlNzYiLCJ1c2VySWQiOiI4NzE2OTQ2MDIifQ==</vt:lpwstr>
  </property>
</Properties>
</file>