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bookmarkStart w:id="0" w:name="_GoBack"/>
      <w:bookmarkEnd w:id="0"/>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color w:val="auto"/>
          <w:kern w:val="0"/>
          <w:sz w:val="28"/>
          <w:szCs w:val="28"/>
          <w:lang w:val="en-US" w:eastAsia="zh-CN"/>
        </w:rPr>
        <w:t>2025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16</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2025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r>
        <w:rPr>
          <w:rFonts w:hint="eastAsia" w:ascii="宋体" w:hAnsi="宋体" w:eastAsia="宋体" w:cs="宋体"/>
          <w:kern w:val="0"/>
          <w:sz w:val="28"/>
          <w:szCs w:val="28"/>
        </w:rPr>
        <w:t>。环评文件查询方式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丰都红心柚大健康产品项目（一期一阶段）</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丰都县工业园区水天坪组团B01-2/3部分地块</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枣丰大健康科技重庆有限公司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重庆凌樾环保咨询有限责任公司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丰都红心柚大健康产品项目（一期一阶段）</w:t>
            </w:r>
            <w:r>
              <w:rPr>
                <w:rFonts w:hint="eastAsia" w:ascii="宋体" w:hAnsi="宋体" w:eastAsia="宋体" w:cs="Times New Roman"/>
                <w:bCs/>
                <w:sz w:val="20"/>
                <w:szCs w:val="20"/>
                <w:lang w:val="en-US" w:eastAsia="zh-CN"/>
              </w:rPr>
              <w:t>位于丰都县工业园区水天坪组团B01-2/3地块，总规划用地面积约17046.95m</w:t>
            </w:r>
            <w:r>
              <w:rPr>
                <w:rFonts w:hint="eastAsia" w:ascii="宋体" w:hAnsi="宋体" w:eastAsia="宋体" w:cs="Times New Roman"/>
                <w:bCs/>
                <w:sz w:val="20"/>
                <w:szCs w:val="20"/>
                <w:vertAlign w:val="superscript"/>
                <w:lang w:val="en-US" w:eastAsia="zh-CN"/>
              </w:rPr>
              <w:t>2</w:t>
            </w:r>
            <w:r>
              <w:rPr>
                <w:rFonts w:hint="eastAsia" w:ascii="宋体" w:hAnsi="宋体" w:eastAsia="宋体" w:cs="Times New Roman"/>
                <w:bCs/>
                <w:sz w:val="20"/>
                <w:szCs w:val="20"/>
                <w:lang w:val="en-US" w:eastAsia="zh-CN"/>
              </w:rPr>
              <w:t>，总建筑面积27747.34m</w:t>
            </w:r>
            <w:r>
              <w:rPr>
                <w:rFonts w:hint="eastAsia" w:ascii="宋体" w:hAnsi="宋体" w:eastAsia="宋体" w:cs="Times New Roman"/>
                <w:bCs/>
                <w:sz w:val="20"/>
                <w:szCs w:val="20"/>
                <w:vertAlign w:val="superscript"/>
                <w:lang w:val="en-US" w:eastAsia="zh-CN"/>
              </w:rPr>
              <w:t>2</w:t>
            </w:r>
            <w:r>
              <w:rPr>
                <w:rFonts w:hint="eastAsia" w:ascii="宋体" w:hAnsi="宋体" w:eastAsia="宋体" w:cs="Times New Roman"/>
                <w:bCs/>
                <w:sz w:val="20"/>
                <w:szCs w:val="20"/>
                <w:lang w:val="en-US" w:eastAsia="zh-CN"/>
              </w:rPr>
              <w:t>。建设榨汁生产线1条、饮料调配生产线1条，设计年产王老吉柚子系列饮品及植物饮料3.5万吨。总投资12000万元，其中环保投资50万元，占总投资的0.42%。</w:t>
            </w:r>
          </w:p>
        </w:tc>
        <w:tc>
          <w:tcPr>
            <w:tcW w:w="4777"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燃气锅炉1台，使用天然气作为能源，锅炉废气通过8m高排气筒排放</w:t>
            </w:r>
            <w:r>
              <w:rPr>
                <w:rFonts w:hint="eastAsia" w:ascii="宋体" w:hAnsi="宋体" w:eastAsia="宋体" w:cs="Times New Roman"/>
                <w:bCs/>
                <w:sz w:val="20"/>
                <w:szCs w:val="20"/>
                <w:lang w:val="en-US" w:eastAsia="zh-CN"/>
              </w:rPr>
              <w:t>；食堂油烟通过食堂油烟净化器处理后通过15m高排气筒排放；一体化污水处理设施处理生产废水的过程中产生的臭气经配套的除臭装置处理后无组织排放；化粪池处理生活污水过程中产生的臭气经1.8m高的通气管排放。鲜果清洗废水、设备清洗废水以及实验室器皿清洗废水经一体化处理设施（采用“格栅+AO”工艺，处理能力100m3/d）处理后达《污水综合排放标准》（ GB8978-199）三级标准后接入园区市政污水管网进水天坪污水处理厂深度处理；纯水制备废水污染物浓度较低，直接接园区市政污水管网进入水天坪污水处理厂深度处理；食堂废水经隔油处理后与生活污水经化粪池处理后达 《污水综合排放标准》（GB8978-1996）三级标准后接园区市政污水管网进水天坪污水处理厂深度处理。厂房隔声、设备基础减振。生活垃圾分类收集，定期由环卫部门清运处置；餐厨垃圾集中收集后交由专业单位清运处置；生产过程中产生的烂果枝叶、果皮、果渣及草本植物废渣等集中收集后运往当地红心柚种植基地发酵作肥料；污水处理设施定期清掏的污泥集中收集后交由环卫部门清运处置；废包装材料定期外售给废品回收站；纯水制备更换的废石英砂、废活性炭、废反渗透膜定期交由厂家回收处理；实验室废酸、废碱等废液以及废弃化学品分类暂存于实验室危废贮存点，委托具有危废处置资质的单位清运处置；各类生产设备检修含油垃圾分别由专用收集桶收集存于危废贮存点，委托具有危废处置资质的单位清运处置；制冷系统维护委外。</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A77DD3"/>
    <w:rsid w:val="11B20C52"/>
    <w:rsid w:val="11F36B75"/>
    <w:rsid w:val="12347254"/>
    <w:rsid w:val="12543AB7"/>
    <w:rsid w:val="132A02CD"/>
    <w:rsid w:val="13533D6F"/>
    <w:rsid w:val="13AC7923"/>
    <w:rsid w:val="140D6614"/>
    <w:rsid w:val="14537D9F"/>
    <w:rsid w:val="14E05AD6"/>
    <w:rsid w:val="15A03D06"/>
    <w:rsid w:val="16A81373"/>
    <w:rsid w:val="17920BDE"/>
    <w:rsid w:val="17D270F3"/>
    <w:rsid w:val="18216C2C"/>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93A48"/>
    <w:rsid w:val="2E182852"/>
    <w:rsid w:val="2FCB3525"/>
    <w:rsid w:val="306C3DFF"/>
    <w:rsid w:val="311D7742"/>
    <w:rsid w:val="31A04D91"/>
    <w:rsid w:val="32A25D21"/>
    <w:rsid w:val="3498562E"/>
    <w:rsid w:val="349D6F8E"/>
    <w:rsid w:val="34AC732B"/>
    <w:rsid w:val="34E67F6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3B5BAF"/>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4DA7145"/>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473C50"/>
    <w:rsid w:val="69B46861"/>
    <w:rsid w:val="69CB332E"/>
    <w:rsid w:val="6B5B0B88"/>
    <w:rsid w:val="6D102A68"/>
    <w:rsid w:val="6E2862DA"/>
    <w:rsid w:val="6E4B4EE4"/>
    <w:rsid w:val="6EFF7A7C"/>
    <w:rsid w:val="70187047"/>
    <w:rsid w:val="70194B6E"/>
    <w:rsid w:val="70657DB3"/>
    <w:rsid w:val="726C5429"/>
    <w:rsid w:val="72CB03A1"/>
    <w:rsid w:val="730554A4"/>
    <w:rsid w:val="735E7467"/>
    <w:rsid w:val="73875315"/>
    <w:rsid w:val="73B544C0"/>
    <w:rsid w:val="74AC1B7A"/>
    <w:rsid w:val="75834F63"/>
    <w:rsid w:val="76A012F9"/>
    <w:rsid w:val="76AC4382"/>
    <w:rsid w:val="77574DBF"/>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3</Pages>
  <Words>1031</Words>
  <Characters>1177</Characters>
  <Lines>16</Lines>
  <Paragraphs>4</Paragraphs>
  <TotalTime>0</TotalTime>
  <ScaleCrop>false</ScaleCrop>
  <LinksUpToDate>false</LinksUpToDate>
  <CharactersWithSpaces>1179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2025-01-16T07:08:56Z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474332CD1D2640988BA69978F55508DF_13</vt:lpwstr>
  </property>
  <property fmtid="{D5CDD505-2E9C-101B-9397-08002B2CF9AE}" pid="4" name="KSOTemplateDocerSaveRecord">
    <vt:lpwstr>eyJoZGlkIjoiODY4ZDBkMDg4OWYzNjBkMzNkMDY4YTU1MDE4YmY1ZjkiLCJ1c2VySWQiOiI2MjEzMjg0ODIifQ==</vt:lpwstr>
  </property>
</Properties>
</file>