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/>
        <w:ind w:firstLine="420"/>
        <w:jc w:val="center"/>
        <w:rPr>
          <w:rFonts w:ascii="黑体" w:eastAsia="黑体" w:hAnsi="黑体" w:cs="黑体"/>
          <w:b/>
          <w:bCs/>
          <w:color w:val="525353"/>
          <w:sz w:val="52"/>
          <w:szCs w:val="5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525353"/>
          <w:sz w:val="52"/>
          <w:szCs w:val="52"/>
          <w:shd w:val="clear" w:color="auto" w:fill="FFFFFF"/>
        </w:rPr>
        <w:t>水利局信息调阅管理制度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第一条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为推进行政执法全过程记录工作，规范行政执法记录信息调阅，根据国家档案管理的有关规定，结合工作实际，特制定本规定。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第二条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记录人员和管理人员严禁删改、泄露、外传行政执法记录信息。因执法办案需要，调取或者查看资料必须按相关程序审批。未经批准不得擅自向任何人、任何单位提供行政执法记录信息。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档案管理部门应严格执行档案管理规定和本规定，建立健全行政执法记录信息调阅</w:t>
      </w:r>
      <w:r w:rsidRPr="0012175D">
        <w:rPr>
          <w:rFonts w:ascii="宋体" w:eastAsia="宋体" w:hAnsi="宋体" w:cs="宋体" w:hint="eastAsia"/>
          <w:color w:val="525353"/>
          <w:shd w:val="clear" w:color="auto" w:fill="FFFFFF"/>
        </w:rPr>
        <w:t>登记簿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，做好行政执法记录信息调阅的管理。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法律、法规、规章和上级规范性文件对行政执法记录信息调阅另有规定的，从其规定。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bookmarkStart w:id="0" w:name="_GoBack"/>
      <w:bookmarkEnd w:id="0"/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第三条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本局案件承办人因工作需要查阅案卷档案，可直接查阅，档案不得带离档案室。需复印档案资料的，报案件分管局长批准。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第四条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公安、检察院、法院、国家安全、纪检监察、审计机关等有关单位因工作需要申请查阅行政执法记录信息的，凭单位介绍信及申请人有效证件查阅、复印。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第五条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申请人或其代理律师申请查阅本单位（人）的行政执法记录信息的，凭单位介绍信及申请人有效身份证件查阅。可以摘抄或复印处罚决定书等结论性文件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六条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申请人申请查阅本单位（人）进入行政诉讼复议程序后的行政执法记录信息的证据、依据和其他材料的，按《行政诉讼法》和《行政复议法》的规定执行。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第七条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除本局工作人员因工作需要，且经分管局长批准借阅外，行政执法记录信息一律不得外借。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行政复议机关和人民法院因复议或诉讼调卷的，以及向人民法院申请强制执行附卷的，按照复议机关或人民法院有关要求办理。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第八条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对查阅的行政执法记录信息不得擅自拆解、涂改、勾画、增加或抽取案卷材料。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第九条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档案管理人员必须严格遵守保密制度，保守国家机密和行政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执法记录信息当事人的商业秘密。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lastRenderedPageBreak/>
        <w:t>第十条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申请人查阅、复制行政执法记录信息而未归档的案件档案，应视情况分别处理。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公安、检察院、法院、国家安全部门、纪检监察部门等有关单位申请查阅、复制的，由该案件主办人参照本规定第四条办理。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申请人或其代理律师申请查阅本单位（人）的行政执法记录信息的，由该案件主办人参照本规定第五条办理。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第十一条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外地水利部门来函索要行政执法记录信息或其他证明材料，根据外调要求，由案件主办人按规定复印寄送，或通知该单位派人阅卷。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第十二条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行政决定</w:t>
      </w:r>
      <w:proofErr w:type="gramStart"/>
      <w:r>
        <w:rPr>
          <w:rFonts w:ascii="宋体" w:eastAsia="宋体" w:hAnsi="宋体" w:cs="宋体" w:hint="eastAsia"/>
          <w:color w:val="525353"/>
          <w:shd w:val="clear" w:color="auto" w:fill="FFFFFF"/>
        </w:rPr>
        <w:t>作出前行政</w:t>
      </w:r>
      <w:proofErr w:type="gramEnd"/>
      <w:r>
        <w:rPr>
          <w:rFonts w:ascii="宋体" w:eastAsia="宋体" w:hAnsi="宋体" w:cs="宋体" w:hint="eastAsia"/>
          <w:color w:val="525353"/>
          <w:shd w:val="clear" w:color="auto" w:fill="FFFFFF"/>
        </w:rPr>
        <w:t>执法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记录信息的查阅、复印不适用本规定。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第十三条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查阅、复制行政执法记录信息，查询人应交纳查询费、复制费，具体收费标准，由物价部门核定。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第十四条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有下列情形之一的，视为执法过错，按相关规定追究有关责任人的责任：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（一）不按规定使用行政执法记录信息，引发群众涉法信访、投诉，网络、媒体负面炒作，造成严重后果的；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（二）违反规定泄露、外传行政执法记录信息的；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（三）对行政执法记录信息进行删改、弄虚作假的；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（四）不按规定存储行政执法记录信息，致使记录损毁、灭失的；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（五）故意毁坏行政执法记录信息相关存储设备的；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宋体" w:eastAsia="宋体" w:hAnsi="宋体" w:cs="宋体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（六）其他违反本规定，造成严重后果的。</w:t>
      </w:r>
    </w:p>
    <w:p w:rsidR="00166AD6" w:rsidRDefault="0012175D">
      <w:pPr>
        <w:pStyle w:val="a3"/>
        <w:widowControl/>
        <w:shd w:val="clear" w:color="auto" w:fill="FFFFFF"/>
        <w:spacing w:before="450" w:beforeAutospacing="0" w:after="450" w:afterAutospacing="0" w:line="240" w:lineRule="exact"/>
        <w:ind w:firstLine="420"/>
        <w:rPr>
          <w:rFonts w:ascii="微软雅黑" w:eastAsia="微软雅黑" w:hAnsi="微软雅黑" w:cs="微软雅黑"/>
          <w:color w:val="525353"/>
        </w:rPr>
      </w:pPr>
      <w:r>
        <w:rPr>
          <w:rFonts w:ascii="宋体" w:eastAsia="宋体" w:hAnsi="宋体" w:cs="宋体" w:hint="eastAsia"/>
          <w:color w:val="525353"/>
          <w:shd w:val="clear" w:color="auto" w:fill="FFFFFF"/>
        </w:rPr>
        <w:t>第十五条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525353"/>
          <w:shd w:val="clear" w:color="auto" w:fill="FFFFFF"/>
        </w:rPr>
        <w:t>本规定自发布之日起施行</w:t>
      </w:r>
    </w:p>
    <w:p w:rsidR="00166AD6" w:rsidRDefault="00166AD6"/>
    <w:sectPr w:rsidR="0016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62AFB"/>
    <w:rsid w:val="0012175D"/>
    <w:rsid w:val="00166AD6"/>
    <w:rsid w:val="04AD75A5"/>
    <w:rsid w:val="3CD004D1"/>
    <w:rsid w:val="42F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2622F8-2C97-4FEF-BFFA-9A7D8BD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晚江</dc:creator>
  <cp:lastModifiedBy>Microsoft 帐户</cp:lastModifiedBy>
  <cp:revision>2</cp:revision>
  <dcterms:created xsi:type="dcterms:W3CDTF">2019-12-30T09:43:00Z</dcterms:created>
  <dcterms:modified xsi:type="dcterms:W3CDTF">2022-12-27T06:37:00Z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