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7" w:lineRule="atLeast"/>
        <w:ind w:left="0" w:right="0" w:firstLine="0"/>
        <w:jc w:val="center"/>
        <w:textAlignment w:val="center"/>
        <w:rPr>
          <w:rFonts w:hint="eastAsia" w:ascii="Helvetica" w:hAnsi="Helvetica" w:eastAsia="宋体" w:cs="Helvetica"/>
          <w:b/>
          <w:i w:val="0"/>
          <w:caps w:val="0"/>
          <w:color w:val="000000"/>
          <w:spacing w:val="0"/>
          <w:kern w:val="0"/>
          <w:sz w:val="52"/>
          <w:szCs w:val="52"/>
          <w:bdr w:val="none" w:color="auto" w:sz="0" w:space="0"/>
          <w:lang w:val="en-US" w:eastAsia="zh-CN" w:bidi="ar"/>
        </w:rPr>
      </w:pPr>
      <w:bookmarkStart w:id="0" w:name="_GoBack"/>
      <w:bookmarkEnd w:id="0"/>
      <w:r>
        <w:rPr>
          <w:rFonts w:hint="eastAsia" w:ascii="Helvetica" w:hAnsi="Helvetica" w:eastAsia="宋体" w:cs="Helvetica"/>
          <w:b/>
          <w:i w:val="0"/>
          <w:caps w:val="0"/>
          <w:color w:val="000000"/>
          <w:spacing w:val="0"/>
          <w:kern w:val="0"/>
          <w:sz w:val="52"/>
          <w:szCs w:val="52"/>
          <w:bdr w:val="none" w:color="auto" w:sz="0" w:space="0"/>
          <w:lang w:val="en-US" w:eastAsia="zh-CN" w:bidi="ar"/>
        </w:rPr>
        <w:t>水利局重大执法决定法制审核目录清单</w:t>
      </w:r>
    </w:p>
    <w:tbl>
      <w:tblPr>
        <w:tblW w:w="1464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0"/>
        <w:gridCol w:w="1020"/>
        <w:gridCol w:w="3795"/>
        <w:gridCol w:w="3780"/>
        <w:gridCol w:w="499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right="0"/>
              <w:jc w:val="center"/>
              <w:textAlignment w:val="center"/>
              <w:rPr>
                <w:rFonts w:hint="eastAsia" w:ascii="Helvetica" w:hAnsi="Helvetica" w:eastAsia="Helvetica" w:cs="Helvetica"/>
                <w:b/>
                <w:i w:val="0"/>
                <w:caps w:val="0"/>
                <w:color w:val="000000"/>
                <w:spacing w:val="0"/>
                <w:sz w:val="24"/>
                <w:szCs w:val="24"/>
              </w:rPr>
            </w:pPr>
            <w:r>
              <w:rPr>
                <w:rFonts w:hint="default" w:ascii="Helvetica" w:hAnsi="Helvetica" w:eastAsia="Helvetica" w:cs="Helvetica"/>
                <w:b/>
                <w:i w:val="0"/>
                <w:caps w:val="0"/>
                <w:color w:val="000000"/>
                <w:spacing w:val="0"/>
                <w:kern w:val="0"/>
                <w:sz w:val="24"/>
                <w:szCs w:val="24"/>
                <w:bdr w:val="none" w:color="auto" w:sz="0" w:space="0"/>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b/>
                <w:i w:val="0"/>
                <w:caps w:val="0"/>
                <w:color w:val="000000"/>
                <w:spacing w:val="0"/>
                <w:sz w:val="24"/>
                <w:szCs w:val="24"/>
              </w:rPr>
            </w:pPr>
            <w:r>
              <w:rPr>
                <w:rFonts w:hint="default" w:ascii="Helvetica" w:hAnsi="Helvetica" w:eastAsia="Helvetica" w:cs="Helvetica"/>
                <w:b/>
                <w:i w:val="0"/>
                <w:caps w:val="0"/>
                <w:color w:val="000000"/>
                <w:spacing w:val="0"/>
                <w:kern w:val="0"/>
                <w:sz w:val="24"/>
                <w:szCs w:val="24"/>
                <w:bdr w:val="none" w:color="auto" w:sz="0" w:space="0"/>
                <w:lang w:val="en-US" w:eastAsia="zh-CN" w:bidi="ar"/>
              </w:rPr>
              <w:t>执法项目大类</w:t>
            </w: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b/>
                <w:i w:val="0"/>
                <w:caps w:val="0"/>
                <w:color w:val="000000"/>
                <w:spacing w:val="0"/>
                <w:sz w:val="24"/>
                <w:szCs w:val="24"/>
              </w:rPr>
            </w:pPr>
            <w:r>
              <w:rPr>
                <w:rFonts w:hint="default" w:ascii="Helvetica" w:hAnsi="Helvetica" w:eastAsia="Helvetica" w:cs="Helvetica"/>
                <w:b/>
                <w:i w:val="0"/>
                <w:caps w:val="0"/>
                <w:color w:val="000000"/>
                <w:spacing w:val="0"/>
                <w:kern w:val="0"/>
                <w:sz w:val="24"/>
                <w:szCs w:val="24"/>
                <w:bdr w:val="none" w:color="auto" w:sz="0" w:space="0"/>
                <w:lang w:val="en-US" w:eastAsia="zh-CN" w:bidi="ar"/>
              </w:rPr>
              <w:t>审核的具体执法决定项目</w:t>
            </w:r>
          </w:p>
        </w:tc>
        <w:tc>
          <w:tcPr>
            <w:tcW w:w="3780" w:type="dxa"/>
            <w:tcBorders>
              <w:top w:val="single" w:color="000000" w:sz="4" w:space="0"/>
              <w:left w:val="single" w:color="000000" w:sz="4" w:space="0"/>
              <w:bottom w:val="single" w:color="000000" w:sz="4" w:space="0"/>
              <w:right w:val="single" w:color="DDDDDD" w:sz="6"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b/>
                <w:i w:val="0"/>
                <w:caps w:val="0"/>
                <w:color w:val="000000"/>
                <w:spacing w:val="0"/>
                <w:sz w:val="24"/>
                <w:szCs w:val="24"/>
              </w:rPr>
            </w:pPr>
            <w:r>
              <w:rPr>
                <w:rFonts w:hint="default" w:ascii="Helvetica" w:hAnsi="Helvetica" w:eastAsia="Helvetica" w:cs="Helvetica"/>
                <w:b/>
                <w:i w:val="0"/>
                <w:caps w:val="0"/>
                <w:color w:val="000000"/>
                <w:spacing w:val="0"/>
                <w:kern w:val="0"/>
                <w:sz w:val="24"/>
                <w:szCs w:val="24"/>
                <w:bdr w:val="none" w:color="auto" w:sz="0" w:space="0"/>
                <w:lang w:val="en-US" w:eastAsia="zh-CN" w:bidi="ar"/>
              </w:rPr>
              <w:t>应提交的审核资料</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b/>
                <w:i w:val="0"/>
                <w:caps w:val="0"/>
                <w:color w:val="000000"/>
                <w:spacing w:val="0"/>
                <w:sz w:val="24"/>
                <w:szCs w:val="24"/>
              </w:rPr>
            </w:pPr>
            <w:r>
              <w:rPr>
                <w:rFonts w:hint="default" w:ascii="Helvetica" w:hAnsi="Helvetica" w:eastAsia="Helvetica" w:cs="Helvetica"/>
                <w:b/>
                <w:i w:val="0"/>
                <w:caps w:val="0"/>
                <w:color w:val="000000"/>
                <w:spacing w:val="0"/>
                <w:kern w:val="0"/>
                <w:sz w:val="24"/>
                <w:szCs w:val="24"/>
                <w:bdr w:val="none" w:color="auto" w:sz="0" w:space="0"/>
                <w:lang w:val="en-US" w:eastAsia="zh-CN" w:bidi="ar"/>
              </w:rPr>
              <w:t>审核重点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行政许可类决定</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需与人民政府名义作出行政许可决定的；</w:t>
            </w:r>
          </w:p>
        </w:tc>
        <w:tc>
          <w:tcPr>
            <w:tcW w:w="3780" w:type="dxa"/>
            <w:tcBorders>
              <w:top w:val="single" w:color="000000" w:sz="4" w:space="0"/>
              <w:left w:val="single" w:color="000000" w:sz="4" w:space="0"/>
              <w:bottom w:val="single" w:color="000000" w:sz="4"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《行政许可申请书》《核查笔录》《行政许可决定书（代拟稿》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审核申请材料是否齐备、现场调查核实认定事实是否清楚、证据是否确凿，程序是否合法。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拟作出的不予（变更、延续）行政许可决定或者撤销行政许可决定；</w:t>
            </w:r>
          </w:p>
        </w:tc>
        <w:tc>
          <w:tcPr>
            <w:tcW w:w="3780" w:type="dxa"/>
            <w:tcBorders>
              <w:top w:val="single" w:color="000000" w:sz="4" w:space="0"/>
              <w:left w:val="single" w:color="000000" w:sz="4" w:space="0"/>
              <w:bottom w:val="single" w:color="000000" w:sz="4" w:space="0"/>
              <w:right w:val="single" w:color="DDDDDD" w:sz="6"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《不予（变更、延续）行政许可决定书（代拟稿》《撤销行政许可决定》（代拟稿）及其情况说明</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不予（变更、延续）、撤销行政许可的事实是否清楚和理由是否适当、依据是否充分，程序是否合法。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行政许可利害关系人提出陈述、申辩的行政许可</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《行政许可申请书》《核查笔录》《陈述（申辩）笔录》《行政许可决定书（代拟稿》</w:t>
            </w:r>
          </w:p>
        </w:tc>
        <w:tc>
          <w:tcPr>
            <w:tcW w:w="4995" w:type="dxa"/>
            <w:tcBorders>
              <w:top w:val="single" w:color="DDDDDD" w:sz="6"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审核申请材料是否齐备、现场调查核实认定事实是否清楚、是否告知并听取利害关系人陈述申辩权、证据是否确凿、程序是否合法。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经特别程序（听证、招标、拍卖、检验、监测、鉴定和专家评审等）审查的行政许可</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《行政许可申请书》《核查笔录》《行政许可听证笔录》《专家评审讨论记录》《行政许可决定书（代拟稿》</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审核申请材料是否齐备、现场调查核实认定事实是否清楚、是否对听证进行公告、举行听证和专家评审的程序是否合法，认定事实是否准确、证据是否确凿、程序是否合法。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案件承办机构负责人认为应当提请法制审核的其他重大、复杂、疑难的行政许可决定</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《行政许可申请书》《核查笔录》《行政许可决定书（代拟稿》及其情况说明</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审核申请材料是否齐备、现场调查核实认定事实是否清楚、认定事实是否准确、证据是否确凿、程序是否合法。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行政处罚类决定</w:t>
            </w: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拟对公民处以1000元以上罚款，对法人或者其他组织处以2万元以上罚款的行政处罚决定</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《调查终结报告》《陈述申辩笔录》《行政处罚决定书（代拟稿）》和相关证据资料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拟做出没收违法所得或没收非法财物价值相当于前项规定数额的行政处罚决定；</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《调查终结报告》《陈述申辩笔录》《行政罚没决定书（代拟稿）》和相关证据资料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拟做出责令停产、停业决定的；</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《调查终结报告》《陈述申辩笔录》《听证笔录》《行政处罚决定书（代拟稿）》和相关证据资料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拟做出给予暂扣或者吊销许可证决定的</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《调查终结报告》《陈述申辩笔录》《听证笔录》《行政处罚决定书（代拟稿）》和相关证据资料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经听证程序后作出的行政处罚决定；</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《调查终结报告》《陈述申辩笔录》《听证笔录》《行政处罚决定书（代拟稿）》和相关证据资料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超出自由裁量权标准，拟作出减轻或加重处罚的；</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《调查终结报告》《陈述申辩笔录》《行政处罚决定书（代拟稿）》、作出减轻或加重处罚的说明；和相关证据资料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作出减轻或加重处罚的事实、证据、依据是否清楚、确凿、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案件承办机构负责人认为应当提请法制审核的其他重大、复杂、疑难的行政处罚决定。</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《调查终结报告》《陈述申辩笔录》《行政处罚决定书（代拟稿）》情况说明和相关证据资料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行政强制类决定</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拟作出封存决定的</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《行政强制措施审批表》《封存通知书》《行政强制措施当场告知书》《行政强制措施现场笔录》《封存决定书（代拟稿）》封存必要性的情况说明和相关证据资料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执法主体是否合法，执法人员是否具备执法资格；主要事实是否清楚，证据是否确凿、充分；适用依据是否准确；封存的必要性是否适当；程序是否合法，是否充分保障行政相对人权利。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拟作出加处罚款或减缓征收滞纳金或征收滞纳金超过本金的</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《行政强制执行审批表》《加处滞纳金（罚款）决定书》（代拟稿）及相关情况说明</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执法主体是否合法，执法人员是否具备执法资格；补缴通知是否送达；欠缴主要事实是否清楚，证据是否确凿；滞纳金超过本金或减缓征缴滞纳金是否符合法律规定；</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pPr>
              <w:jc w:val="center"/>
              <w:rPr>
                <w:rFonts w:hint="default" w:ascii="Helvetica" w:hAnsi="Helvetica" w:eastAsia="Helvetica" w:cs="Helvetica"/>
                <w:i w:val="0"/>
                <w:caps w:val="0"/>
                <w:color w:val="000000"/>
                <w:spacing w:val="0"/>
                <w:sz w:val="22"/>
                <w:szCs w:val="22"/>
              </w:rPr>
            </w:pPr>
          </w:p>
        </w:tc>
        <w:tc>
          <w:tcPr>
            <w:tcW w:w="3795" w:type="dxa"/>
            <w:tcBorders>
              <w:top w:val="single" w:color="000000" w:sz="4" w:space="0"/>
              <w:left w:val="single" w:color="000000" w:sz="4" w:space="0"/>
              <w:bottom w:val="single" w:color="000000" w:sz="4" w:space="0"/>
              <w:right w:val="single" w:color="000000" w:sz="4"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案件承办机构负责人认为应当提请法制审核的其他重大、复杂、疑难的行政强制决定。</w:t>
            </w:r>
          </w:p>
        </w:tc>
        <w:tc>
          <w:tcPr>
            <w:tcW w:w="3780" w:type="dxa"/>
            <w:tcBorders>
              <w:top w:val="single" w:color="000000" w:sz="4" w:space="0"/>
              <w:left w:val="single" w:color="000000" w:sz="4" w:space="0"/>
              <w:bottom w:val="single" w:color="000000" w:sz="4" w:space="0"/>
              <w:right w:val="single" w:color="000000" w:sz="4"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《行政强制措施审批表》《行政强制决定书（代拟稿）》情况说明和相关证据资料</w:t>
            </w:r>
          </w:p>
        </w:tc>
        <w:tc>
          <w:tcPr>
            <w:tcW w:w="4995" w:type="dxa"/>
            <w:tcBorders>
              <w:top w:val="single" w:color="000000" w:sz="4" w:space="0"/>
              <w:left w:val="single" w:color="000000" w:sz="4" w:space="0"/>
              <w:bottom w:val="single" w:color="000000" w:sz="4" w:space="0"/>
              <w:right w:val="single" w:color="000000" w:sz="4"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center"/>
              <w:textAlignment w:val="center"/>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kern w:val="0"/>
                <w:sz w:val="24"/>
                <w:szCs w:val="24"/>
                <w:bdr w:val="none" w:color="auto" w:sz="0" w:space="0"/>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其他类</w:t>
            </w:r>
          </w:p>
        </w:tc>
        <w:tc>
          <w:tcPr>
            <w:tcW w:w="37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其他行政执法决定涉嫌犯罪需要移送司法机关的</w:t>
            </w:r>
          </w:p>
        </w:tc>
        <w:tc>
          <w:tcPr>
            <w:tcW w:w="3780"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《行政处罚案件处理内部审批表》《行政违法案件移送函》（代拟稿）和案件情况调查报告、涉嫌犯罪案件有关材料、涉案物品清单</w:t>
            </w:r>
          </w:p>
        </w:tc>
        <w:tc>
          <w:tcPr>
            <w:tcW w:w="499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keepNext w:val="0"/>
              <w:keepLines w:val="0"/>
              <w:widowControl/>
              <w:suppressLineNumbers w:val="0"/>
              <w:spacing w:before="0" w:beforeAutospacing="0" w:after="0" w:afterAutospacing="0" w:line="27" w:lineRule="atLeast"/>
              <w:ind w:left="0" w:right="0" w:firstLine="0"/>
              <w:jc w:val="left"/>
              <w:textAlignment w:val="center"/>
              <w:rPr>
                <w:rFonts w:hint="default" w:ascii="Helvetica" w:hAnsi="Helvetica" w:eastAsia="Helvetica" w:cs="Helvetica"/>
                <w:i w:val="0"/>
                <w:caps w:val="0"/>
                <w:color w:val="000000"/>
                <w:spacing w:val="0"/>
                <w:sz w:val="22"/>
                <w:szCs w:val="22"/>
              </w:rPr>
            </w:pPr>
            <w:r>
              <w:rPr>
                <w:rFonts w:hint="default" w:ascii="Helvetica" w:hAnsi="Helvetica" w:eastAsia="Helvetica" w:cs="Helvetica"/>
                <w:i w:val="0"/>
                <w:caps w:val="0"/>
                <w:color w:val="000000"/>
                <w:spacing w:val="0"/>
                <w:kern w:val="0"/>
                <w:sz w:val="22"/>
                <w:szCs w:val="22"/>
                <w:bdr w:val="none" w:color="auto" w:sz="0" w:space="0"/>
                <w:lang w:val="en-US" w:eastAsia="zh-CN" w:bidi="ar"/>
              </w:rPr>
              <w:t>涉嫌犯罪的事实是否清楚，证据是否确凿、充分，适用依据是否准确；调查办案程序是否合法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16C3C"/>
    <w:rsid w:val="56E16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2019-12-30T09:39:00Z</dcterms:created>
  <dc:creator>晚江</dc:creator>
  <cp:lastModifiedBy>晚江</cp:lastModifiedBy>
  <dcterms:modified xsi:type="dcterms:W3CDTF">2019-12-30T09:40:39Z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