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丰都县水利局（本级）</w:t>
      </w: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pacing w:before="0" w:beforeAutospacing="0" w:after="0" w:afterAutospacing="0" w:line="596" w:lineRule="exact"/>
        <w:rPr>
          <w:rFonts w:hint="default"/>
          <w:sz w:val="27"/>
          <w:szCs w:val="27"/>
          <w:shd w:val="clear" w:color="auto" w:fill="FFFF00"/>
        </w:rPr>
      </w:pPr>
    </w:p>
    <w:p>
      <w:pPr>
        <w:pStyle w:val="9"/>
        <w:spacing w:before="0" w:beforeAutospacing="0" w:after="0" w:afterAutospacing="0" w:line="596" w:lineRule="exact"/>
        <w:ind w:firstLine="641"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pPr>
        <w:pStyle w:val="9"/>
        <w:spacing w:before="0" w:beforeAutospacing="0" w:after="0" w:afterAutospacing="0" w:line="596" w:lineRule="exact"/>
        <w:ind w:firstLine="641" w:firstLineChars="200"/>
        <w:rPr>
          <w:rFonts w:hint="default" w:ascii="Times New Roman" w:hAnsi="Times New Roman" w:eastAsia="方正仿宋_GBK"/>
          <w:sz w:val="32"/>
          <w:szCs w:val="32"/>
        </w:rPr>
      </w:pPr>
      <w:r>
        <w:rPr>
          <w:rStyle w:val="13"/>
          <w:rFonts w:hint="default" w:ascii="Times New Roman" w:hAnsi="Times New Roman" w:eastAsia="楷体"/>
          <w:sz w:val="32"/>
          <w:szCs w:val="32"/>
          <w:shd w:val="clear" w:color="auto" w:fill="FFFFFF"/>
        </w:rPr>
        <w:t>（一）职能职责</w:t>
      </w:r>
    </w:p>
    <w:p>
      <w:pPr>
        <w:pStyle w:val="9"/>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（1）负责保障水资源的合理开发利用。贯彻执行水利法律法规规章及方针政策。研究提出全县水资源战略规划和政策建议，组织编制全县水资源战略规划、重要江河流域综合规划、防洪规划等重大水利规划。</w:t>
      </w:r>
    </w:p>
    <w:p>
      <w:pPr>
        <w:pStyle w:val="9"/>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负责生活、生产经营和生态环境用水的统筹和保障。组织实施最严格水资源管理制度，实施水资源的统一监督管理，拟订全县水中长期供求规划、水量分配方案并监督实施。负责重要流域、乡镇以及调水工程的水资源调度。按权限组织实施取水许可、水资源论证和防洪论证制度，指导开展水资源有偿使用工作。指导水利行业供水和村镇供水工作。</w:t>
      </w:r>
    </w:p>
    <w:p>
      <w:pPr>
        <w:pStyle w:val="9"/>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按规定制定水利工程建设有关制度并组织实施，负责提出全县水利固定资产投资规模、方向、具体安排建议并组织指导实施，按县政府规定权限审批、核准规划内和年度计划规模内固定资产投资项目，提出县级及以上水利资金安排建议并负责项目实施的监督管理。</w:t>
      </w:r>
    </w:p>
    <w:p>
      <w:pPr>
        <w:pStyle w:val="9"/>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（4）负责水资源保护工作。组织编制并实施水资源保护规划。指导饮用水水源保护有关工作，指导地下水开发利用和地下水资源管理保护。</w:t>
      </w:r>
    </w:p>
    <w:p>
      <w:pPr>
        <w:pStyle w:val="9"/>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（5）负责节约用水工作。贯彻实施节约用水政策，组织编制节约用水规划并监督实施。组织实施用水总量控制等管理制度，指导和推动节水型社会建设工作。</w:t>
      </w:r>
    </w:p>
    <w:p>
      <w:pPr>
        <w:pStyle w:val="9"/>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指导水文工作。负责全县水文水资源监测、水文站网建设和管理。对江河水库和地下水实施监测，受权发布水文水资源信息、情报预报和丰都县水资源公报。按规定组织开展水资源、水能资源调查评价和水资源承载能力监测预警工作。</w:t>
      </w:r>
    </w:p>
    <w:p>
      <w:pPr>
        <w:pStyle w:val="9"/>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组织和指导水利设施、水域及其岸线的管理、保护与综合利用。组织和指导水利基础设施网络建设。指导重要江河水库及河口的治理、开发和保护。指导河库水生态保护与修复、生态流量水量管理以及水系连通工作。承担全县河（库）长制工作的组织和协调及丰都县河长办公室日常工作。</w:t>
      </w:r>
    </w:p>
    <w:p>
      <w:pPr>
        <w:pStyle w:val="9"/>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指导监督水利工程建设与运行管理。组织实施具有控制性的和跨乡镇跨流域的重要水利工程建设与运行管理。贯彻落实三峡水库运行和三峡后续工程建设的有关政策措施，指导监督工程安全运行，组织工程验收有关工作，督促指导乡镇配套工程建设。</w:t>
      </w:r>
    </w:p>
    <w:p>
      <w:pPr>
        <w:pStyle w:val="9"/>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负责水土保持工作。拟订水土保持规划并监督实施，组织实施水土流失的综合防治、监测预报并定期公告。负责建设项目水土保持监督管理工作，指导重点水土保持建设项目的实施。承担丰都县水土保持委员会办公室日常工作。</w:t>
      </w:r>
    </w:p>
    <w:p>
      <w:pPr>
        <w:pStyle w:val="9"/>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10）负责农村水利工作。组织开展大中型灌排工程建设与改造。组织和指导农村饮水安全工程建设管理工作，组织和指导节水灌溉有关工作。指导农村水利改革创新和社会化服务体系建设。指导农村水能资源开发、小水电改造和水电农村电气化工作。</w:t>
      </w:r>
    </w:p>
    <w:p>
      <w:pPr>
        <w:pStyle w:val="9"/>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11）负责水利工程移民管理工作。贯彻水利工程移民有关政策，执行水利工程移民安置验收、监督评估等制度。负责和指导监督水库移民后期扶持政策的实施，负责三峡工程后续工作规划的综合协调、组织实施和监督管理，负责三峡库区对口支援等工作。承担丰都县三峡库区对口支援办公室日常工作。</w:t>
      </w:r>
    </w:p>
    <w:p>
      <w:pPr>
        <w:pStyle w:val="9"/>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12）负责涉水违法事件的查处，协调跨流域、跨乡镇的水事纠纷，指导水政监察和水行政执法。依法负责水利行业安全生产工作，组织指导水库、水电站大坝、农村水电站的安全监管。指导水利建设市场的监督管理，组织实施水利工程建设的监督。</w:t>
      </w:r>
    </w:p>
    <w:p>
      <w:pPr>
        <w:pStyle w:val="9"/>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（13）开展水利行业质量监督工作。贯彻执行水利行业的技术标准和规程规范并监督实施，组织水利技术推广。</w:t>
      </w:r>
    </w:p>
    <w:p>
      <w:pPr>
        <w:pStyle w:val="9"/>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14）负责落实综合防灾减灾规划相关要求，组织编制和指导实施全县洪水干旱灾害防治规划。承担水情旱情监测预警工作。组织编制重要江河水库和重要水工程的防御洪水抗御旱灾调度及应急水量调度方案，按程序报批并组织实施。承担防御洪水应急抢险的技术支撑工作。</w:t>
      </w:r>
    </w:p>
    <w:p>
      <w:pPr>
        <w:pStyle w:val="9"/>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（15）负责局机关和所属单位的安全监管、信访稳定和水利扶贫工作。</w:t>
      </w:r>
    </w:p>
    <w:p>
      <w:pPr>
        <w:pStyle w:val="9"/>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（16）完成县委和县政府交办的其他任务。</w:t>
      </w:r>
    </w:p>
    <w:p>
      <w:pPr>
        <w:pStyle w:val="9"/>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17）职能转变。丰都县水利局应切实加强水资源合理利用、优化配置和节约保护。坚持节水优先，从增加供给转向更加重视需求管理，严格控制用水总量和提高用水效率。坚持保护优先，加强水资源、水域和水利工程的管理保护，维护河库健康美丽。坚持统筹兼顾，保障合理用水需求和水资源的可持续利用，为经济社会发展提供水安全保障 。</w:t>
      </w:r>
    </w:p>
    <w:p>
      <w:pPr>
        <w:pStyle w:val="9"/>
        <w:spacing w:before="0" w:beforeAutospacing="0" w:after="0" w:afterAutospacing="0" w:line="596" w:lineRule="exact"/>
        <w:ind w:firstLine="640" w:firstLineChars="200"/>
        <w:rPr>
          <w:rFonts w:hint="default" w:ascii="Times New Roman" w:hAnsi="Times New Roman" w:eastAsia="楷体"/>
          <w:sz w:val="32"/>
          <w:szCs w:val="32"/>
        </w:rPr>
      </w:pPr>
      <w:r>
        <w:rPr>
          <w:rFonts w:hint="default" w:ascii="Times New Roman" w:hAnsi="Times New Roman" w:eastAsia="方正仿宋_GBK"/>
          <w:sz w:val="32"/>
          <w:szCs w:val="32"/>
          <w:shd w:val="clear" w:color="auto" w:fill="FFFFFF"/>
        </w:rPr>
        <w:t>（18）与有关单位职责分工。关于防汛抗旱工作。丰都县水利局负责落实综合防灾减灾规划相关要求，组织编制洪水干旱灾害防治规划和防护标准并指导实施；承担日常水情旱情监测预警工作；组织编制重要江河水库和重要水工程的防御洪水抗御旱灾调度和应急水量调度方案，按程序报批并组织实施；承担防御洪水应急抢险的技术支撑工作。丰都县应急管理局负责组织编制全县总体应急预案，综合协调应急预案衔接工作，组织开展预案演练，组织协调防汛抗旱应急救援工作；承担应对重大灾害指挥部工作，组织重大灾害应急处置工作，组织编制综合防灾减灾规划，指导协调相关单位水旱灾害等防治工作；会同县级有关单位建立统一的应急管理信息平台，建立监测预警和灾情报告制度，健全自然灾害信息资源获取和共享机制，依法统一发布灾情，开展多灾种和灾害综合监测预警，指导开展自然灾害综合风险评估。</w:t>
      </w:r>
      <w:r>
        <w:rPr>
          <w:rStyle w:val="13"/>
          <w:rFonts w:hint="default" w:ascii="Times New Roman" w:hAnsi="Times New Roman" w:eastAsia="楷体"/>
          <w:sz w:val="32"/>
          <w:szCs w:val="32"/>
          <w:shd w:val="clear" w:color="auto" w:fill="FFFFFF"/>
        </w:rPr>
        <w:t>（二）机构设置</w:t>
      </w:r>
    </w:p>
    <w:p>
      <w:pPr>
        <w:pStyle w:val="9"/>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我单位是县政府工作单位，为正科级，挂丰都县三峡水库管理局牌子，设11个内设机构：办公室、规划计划科、政策法规科（信访科）、监督与内审科（安全应急科）、财务科、行政审批服务科、建设管理科、水生态与河长制工作科、水利水电水保科、移民后期扶持科、三峡库区工作科。</w:t>
      </w:r>
    </w:p>
    <w:p>
      <w:pPr>
        <w:pStyle w:val="9"/>
        <w:spacing w:before="0" w:beforeAutospacing="0" w:after="0" w:afterAutospacing="0" w:line="596" w:lineRule="exact"/>
        <w:ind w:firstLine="641" w:firstLineChars="200"/>
        <w:rPr>
          <w:rFonts w:hint="default" w:ascii="Times New Roman" w:hAnsi="Times New Roman" w:eastAsia="方正仿宋_GBK"/>
          <w:sz w:val="32"/>
          <w:szCs w:val="32"/>
        </w:rPr>
      </w:pPr>
      <w:r>
        <w:rPr>
          <w:rStyle w:val="13"/>
          <w:rFonts w:hint="default" w:ascii="Times New Roman" w:hAnsi="Times New Roman" w:eastAsia="黑体"/>
          <w:sz w:val="32"/>
          <w:szCs w:val="32"/>
          <w:shd w:val="clear" w:color="auto" w:fill="FFFFFF"/>
        </w:rPr>
        <w:t>二、单位决算收支情况说明</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9"/>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2024年度收、支总计均为86290.82万元。收、支与2023年度相比，增加9388.73万元，增长12.2%，主要原因是</w:t>
      </w:r>
      <w:r>
        <w:rPr>
          <w:rFonts w:ascii="Times New Roman" w:hAnsi="Times New Roman" w:eastAsia="方正仿宋_GBK"/>
          <w:sz w:val="32"/>
          <w:szCs w:val="32"/>
          <w:shd w:val="clear" w:color="auto" w:fill="FFFFFF"/>
        </w:rPr>
        <w:t>十直水库、蔡家沟水库、海螺沟水库等项目增加、人员变动</w:t>
      </w:r>
      <w:r>
        <w:rPr>
          <w:rFonts w:hint="default" w:ascii="Times New Roman" w:hAnsi="Times New Roman" w:eastAsia="方正仿宋_GBK"/>
          <w:sz w:val="32"/>
          <w:szCs w:val="32"/>
          <w:shd w:val="clear" w:color="auto" w:fill="FFFFFF"/>
        </w:rPr>
        <w:t>、晋级调资等，我单位职工社保、职业年金等调整基数，增加相关预算。</w:t>
      </w:r>
    </w:p>
    <w:p>
      <w:pPr>
        <w:pStyle w:val="9"/>
        <w:spacing w:before="0" w:beforeAutospacing="0" w:after="0" w:afterAutospacing="0" w:line="596" w:lineRule="exact"/>
        <w:ind w:firstLine="641"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2024年度收入合计86290.82万元，与2023年度相比，增加10318.47万元，增长13.6%，主要原因是</w:t>
      </w:r>
      <w:r>
        <w:rPr>
          <w:rFonts w:ascii="Times New Roman" w:hAnsi="Times New Roman" w:eastAsia="方正仿宋_GBK"/>
          <w:sz w:val="32"/>
          <w:szCs w:val="32"/>
          <w:shd w:val="clear" w:color="auto" w:fill="FFFFFF"/>
        </w:rPr>
        <w:t>十直水库、蔡家沟水库、海螺沟水库等项目增加、人员变动</w:t>
      </w:r>
      <w:r>
        <w:rPr>
          <w:rFonts w:hint="default" w:ascii="Times New Roman" w:hAnsi="Times New Roman" w:eastAsia="方正仿宋_GBK"/>
          <w:sz w:val="32"/>
          <w:szCs w:val="32"/>
          <w:shd w:val="clear" w:color="auto" w:fill="FFFFFF"/>
        </w:rPr>
        <w:t>、晋级调资等，我单位职工社保、职业年金等调整基数，增加相关预算。其中：财政拨款收入86290.82万元，占100.0%；事业收入0.00万元，占0.0%；经营收入0.00万元，占0.0%；其他收入0.00万元，占0.0%。此外，使用非财政拨款结余（含专用结余）0.00万元，年初结转和结余0.00万元。</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2024年度支出合计86290.82万元，与2023年度相比，增加9388.73万元，增长12.2%，主要原因是</w:t>
      </w:r>
      <w:r>
        <w:rPr>
          <w:rFonts w:ascii="Times New Roman" w:hAnsi="Times New Roman" w:eastAsia="方正仿宋_GBK"/>
          <w:sz w:val="32"/>
          <w:szCs w:val="32"/>
          <w:shd w:val="clear" w:color="auto" w:fill="FFFFFF"/>
        </w:rPr>
        <w:t>十直水库、蔡家沟水库、海螺沟水库等项目增加、人员变动</w:t>
      </w:r>
      <w:r>
        <w:rPr>
          <w:rFonts w:hint="default" w:ascii="Times New Roman" w:hAnsi="Times New Roman" w:eastAsia="方正仿宋_GBK"/>
          <w:sz w:val="32"/>
          <w:szCs w:val="32"/>
          <w:shd w:val="clear" w:color="auto" w:fill="FFFFFF"/>
        </w:rPr>
        <w:t>、晋级调资等，我单位职工社保、职业年金等调整基数，增加相关预算。其中：基本支出718.44万元，占0.8%；项目支出85572.37万元，占99.2%；经营支出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万元，占0.0%。此外，结余分配0.00万元。</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rPr>
      </w:pPr>
      <w:r>
        <w:rPr>
          <w:rStyle w:val="13"/>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2024年度年末结转和结余0.00万元，与2023年度相比，无增减，主要原因是无结转结余。</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2024年度财政拨款收、支总计均为86290.82万元。与2023年度相比，财政拨款收、支总计各增加9388.73万元，增长12.2%。主要原因是</w:t>
      </w:r>
      <w:r>
        <w:rPr>
          <w:rFonts w:ascii="Times New Roman" w:hAnsi="Times New Roman" w:eastAsia="方正仿宋_GBK"/>
          <w:sz w:val="32"/>
          <w:szCs w:val="32"/>
          <w:shd w:val="clear" w:color="auto" w:fill="FFFFFF"/>
        </w:rPr>
        <w:t>十直水库、蔡家沟水库、海螺沟水库等项目增加、人员变动</w:t>
      </w:r>
      <w:r>
        <w:rPr>
          <w:rFonts w:hint="default" w:ascii="Times New Roman" w:hAnsi="Times New Roman" w:eastAsia="方正仿宋_GBK"/>
          <w:sz w:val="32"/>
          <w:szCs w:val="32"/>
          <w:shd w:val="clear" w:color="auto" w:fill="FFFFFF"/>
        </w:rPr>
        <w:t>、晋级调资等，我单位职工社保、职业年金等调整基数，增加相关预算。</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rPr>
      </w:pPr>
      <w:r>
        <w:rPr>
          <w:rStyle w:val="13"/>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2024年度一般公共预算财政拨款收入46944.93万元，与2023年度相比，增加26783.73万元，增长132.9%。主要原因是</w:t>
      </w:r>
      <w:r>
        <w:rPr>
          <w:rFonts w:ascii="Times New Roman" w:hAnsi="Times New Roman" w:eastAsia="方正仿宋_GBK"/>
          <w:sz w:val="32"/>
          <w:szCs w:val="32"/>
          <w:shd w:val="clear" w:color="auto" w:fill="FFFFFF"/>
        </w:rPr>
        <w:t>十直水库、蔡家沟水库、海螺沟水库等项目增加、人员变动</w:t>
      </w:r>
      <w:r>
        <w:rPr>
          <w:rFonts w:hint="default" w:ascii="Times New Roman" w:hAnsi="Times New Roman" w:eastAsia="方正仿宋_GBK"/>
          <w:sz w:val="32"/>
          <w:szCs w:val="32"/>
          <w:shd w:val="clear" w:color="auto" w:fill="FFFFFF"/>
        </w:rPr>
        <w:t>、晋级调资等，我单位职工社保、职业年金等调整基数，增加相关预算。较年初预算数增加34834.47万元，增长287.6%。主要原因是</w:t>
      </w:r>
      <w:r>
        <w:rPr>
          <w:rFonts w:ascii="Times New Roman" w:hAnsi="Times New Roman" w:eastAsia="方正仿宋_GBK"/>
          <w:sz w:val="32"/>
          <w:szCs w:val="32"/>
          <w:shd w:val="clear" w:color="auto" w:fill="FFFFFF"/>
        </w:rPr>
        <w:t>十直水库、蔡家沟水库、海螺沟水库等项目增加、人员变动</w:t>
      </w:r>
      <w:r>
        <w:rPr>
          <w:rFonts w:hint="default" w:ascii="Times New Roman" w:hAnsi="Times New Roman" w:eastAsia="方正仿宋_GBK"/>
          <w:sz w:val="32"/>
          <w:szCs w:val="32"/>
          <w:shd w:val="clear" w:color="auto" w:fill="FFFFFF"/>
        </w:rPr>
        <w:t>、晋级调资等，我单位职工社保、职业年金等调整基数，增加相关预算。此外，年初财政拨款结转和结余0.00万元。</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2024年度一般公共预算财政拨款支出46944.93万元，与2023年度相比，增加25997.02万元，增长124.1%。主要原因是</w:t>
      </w:r>
      <w:r>
        <w:rPr>
          <w:rFonts w:ascii="Times New Roman" w:hAnsi="Times New Roman" w:eastAsia="方正仿宋_GBK"/>
          <w:sz w:val="32"/>
          <w:szCs w:val="32"/>
          <w:shd w:val="clear" w:color="auto" w:fill="FFFFFF"/>
        </w:rPr>
        <w:t>十直水库、蔡家沟水库、海螺沟水库等项目增加、人员变动</w:t>
      </w:r>
      <w:r>
        <w:rPr>
          <w:rFonts w:hint="default" w:ascii="Times New Roman" w:hAnsi="Times New Roman" w:eastAsia="方正仿宋_GBK"/>
          <w:sz w:val="32"/>
          <w:szCs w:val="32"/>
          <w:shd w:val="clear" w:color="auto" w:fill="FFFFFF"/>
        </w:rPr>
        <w:t>、晋级调资等，我单位职工社保、职业年金等调整基数，增加相关预算。较年初预算数增加34834.47万元，增长287.6%。主要原因是</w:t>
      </w:r>
      <w:r>
        <w:rPr>
          <w:rFonts w:ascii="Times New Roman" w:hAnsi="Times New Roman" w:eastAsia="方正仿宋_GBK"/>
          <w:sz w:val="32"/>
          <w:szCs w:val="32"/>
          <w:shd w:val="clear" w:color="auto" w:fill="FFFFFF"/>
        </w:rPr>
        <w:t>十直水库、蔡家沟水库、海螺沟水库等项目增加、人员变动</w:t>
      </w:r>
      <w:r>
        <w:rPr>
          <w:rFonts w:hint="default" w:ascii="Times New Roman" w:hAnsi="Times New Roman" w:eastAsia="方正仿宋_GBK"/>
          <w:sz w:val="32"/>
          <w:szCs w:val="32"/>
          <w:shd w:val="clear" w:color="auto" w:fill="FFFFFF"/>
        </w:rPr>
        <w:t>、晋级调资等，我单位职工社保、职业年金等调整基数，增加相关预算。</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（1）一般公共服务支出21.86万元，占0.1%，较年初预算数增加21.86万元，增长100.0%，主要原因是</w:t>
      </w:r>
      <w:r>
        <w:rPr>
          <w:rFonts w:ascii="Times New Roman" w:hAnsi="Times New Roman" w:eastAsia="方正仿宋_GBK"/>
          <w:sz w:val="32"/>
          <w:szCs w:val="32"/>
          <w:shd w:val="clear" w:color="auto" w:fill="FFFFFF"/>
        </w:rPr>
        <w:t>项目增加、</w:t>
      </w:r>
      <w:r>
        <w:rPr>
          <w:rFonts w:hint="default" w:ascii="Times New Roman" w:hAnsi="Times New Roman" w:eastAsia="方正仿宋_GBK"/>
          <w:sz w:val="32"/>
          <w:szCs w:val="32"/>
          <w:shd w:val="clear" w:color="auto" w:fill="FFFFFF"/>
        </w:rPr>
        <w:t>人员变动、晋级调资等，我单位职工社保、职业年金等调整基数，增加相关预算。</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（2）社会保障和就业支出245.54万元，占0.5%，较年初预算数增加49.17万元，增长25.0%，主要原因是人员变动、晋级调资等，我单位职工社保、职业年金等调整基数，增加相关预算。</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（3）卫生健康支出41.59万元，占0.1%，较年初预算数减少1.67万元，下降3.9%，主要原因是人员调出、退休等，减少了医疗保障相关支出。</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（4）城乡社区支出4285.40万元，占9.1%，较年初预算数增加4285.40万元，增长100.0%，主要原因是城乡社区建设、规划等相关开支增加。</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（5）农林水支出37967.52万元，占80.9%，较年初预算数增加30481.77万元，增长407.2%，主要原因是</w:t>
      </w:r>
      <w:r>
        <w:rPr>
          <w:rFonts w:ascii="Times New Roman" w:hAnsi="Times New Roman" w:eastAsia="方正仿宋_GBK"/>
          <w:sz w:val="32"/>
          <w:szCs w:val="32"/>
          <w:shd w:val="clear" w:color="auto" w:fill="FFFFFF"/>
        </w:rPr>
        <w:t>十直水库、蔡家沟水库、海螺沟水库等项目增加</w:t>
      </w:r>
      <w:r>
        <w:rPr>
          <w:rFonts w:hint="default" w:ascii="Times New Roman" w:hAnsi="Times New Roman" w:eastAsia="方正仿宋_GBK"/>
          <w:sz w:val="32"/>
          <w:szCs w:val="32"/>
          <w:shd w:val="clear" w:color="auto" w:fill="FFFFFF"/>
        </w:rPr>
        <w:t>，相关项目开支增加。</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w:t>
      </w:r>
      <w:r>
        <w:rPr>
          <w:rFonts w:hint="default" w:ascii="Times New Roman" w:hAnsi="Times New Roman" w:eastAsia="方正仿宋_GBK"/>
          <w:sz w:val="32"/>
          <w:szCs w:val="32"/>
        </w:rPr>
        <w:t>自然资源海洋气象等支出</w:t>
      </w:r>
      <w:r>
        <w:rPr>
          <w:rFonts w:hint="default" w:ascii="Times New Roman" w:hAnsi="Times New Roman" w:eastAsia="方正仿宋_GBK"/>
          <w:sz w:val="32"/>
          <w:szCs w:val="32"/>
          <w:shd w:val="clear" w:color="auto" w:fill="FFFFFF"/>
        </w:rPr>
        <w:t>4350.00万元，占9.3%，较年初预算数无增减，主要原因是用于监测、巡航设备等开支。</w:t>
      </w:r>
    </w:p>
    <w:p>
      <w:pPr>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w:t>
      </w:r>
      <w:r>
        <w:rPr>
          <w:rFonts w:hint="default" w:ascii="Times New Roman" w:hAnsi="Times New Roman" w:eastAsia="方正仿宋_GBK"/>
          <w:sz w:val="32"/>
          <w:szCs w:val="32"/>
        </w:rPr>
        <w:t>住房保障支出</w:t>
      </w:r>
      <w:r>
        <w:rPr>
          <w:rFonts w:hint="default" w:ascii="Times New Roman" w:hAnsi="Times New Roman" w:eastAsia="方正仿宋_GBK"/>
          <w:sz w:val="32"/>
          <w:szCs w:val="32"/>
          <w:shd w:val="clear" w:color="auto" w:fill="FFFFFF"/>
        </w:rPr>
        <w:t>33.02万元，占0.1%，较年初预算数减少2.07万元，下降5.9%，主要原因是人员调出、退休等，减少了相关住房保障支出。</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2024年度年末一般公共预算财政拨款结转和结余0.00万元，与2023年度相比，无增减，主要原因是无结转结余。</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2024年度一般公共财政拨款基本支出718.44万元。</w:t>
      </w:r>
    </w:p>
    <w:p>
      <w:pPr>
        <w:pStyle w:val="9"/>
        <w:snapToGrid w:val="0"/>
        <w:spacing w:before="0" w:beforeAutospacing="0" w:after="0" w:afterAutospacing="0" w:line="596" w:lineRule="exact"/>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人员经费606.95万元，与2023年度相比，减少135.41万元，下降18.2%，主要原因是退休、调出等人员减少，相关经费减少。人员经费用途主要包括工资、考核奖及五险两金支出等。</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公用经费111.49万元，与2023年度相比，增加17.91万元，增长19.1%，主要原因是事业单位公务接待费、公车运行维护费未单独预算。公用经费用途主要包括公务接待费、公务用车运行维护、办公日常开支等。</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政府性基金预算财政拨款年初结转结余0.00万元，年末结转结余0.00万元。本年收入39345.88万元，与2023年度相比，减少16465.27万元，下降29.5%，主要原因是三峡后续等项目减少，相关项目支出减少。本年支出39345.88万元，与2023年度相比，减少16608.30万元，下降29.7%，主要原因是三峡后续等项目减少，相关项目支出减少。</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本单位2024年度无国有资本经营预算财政拨款支出。</w:t>
      </w:r>
    </w:p>
    <w:p>
      <w:pPr>
        <w:pStyle w:val="9"/>
        <w:spacing w:before="0" w:beforeAutospacing="0" w:after="0" w:afterAutospacing="0" w:line="596" w:lineRule="exact"/>
        <w:ind w:firstLine="641"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三、财政拨款“三公”经费情况说明</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16.15万元，较年初预算数减少1.35万元，下降7.7%，主要原因是人员退休、调出等减少相关支出。较上年支出数增加7.15万元，增长79.4%，主要原因是本年度事业单位公务接待费、公车运行维护费未单独预算。</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2024年度本单位因公出国（境）费用0.00万元。费用支出较年初预算数无增减，主要原因是无相关支出。较上年支出数无增减，主要原因是无相关支出。</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公务用车购置费0.00万元。费用支出较年初预算数无增减，主要原因是未购置公务用车。较上年支出数无增减，主要原因是未购置公务用车。</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公务用车运行维护费4.65万元，主要用于公务车加油、维修等。费用支出较年初预算数减少1.35万元，下降22.5%，主要原因是电车</w:t>
      </w:r>
      <w:r>
        <w:rPr>
          <w:rFonts w:ascii="Times New Roman" w:hAnsi="Times New Roman" w:eastAsia="方正仿宋_GBK"/>
          <w:sz w:val="32"/>
          <w:szCs w:val="32"/>
          <w:shd w:val="clear" w:color="auto" w:fill="FFFFFF"/>
        </w:rPr>
        <w:t>用电</w:t>
      </w:r>
      <w:r>
        <w:rPr>
          <w:rFonts w:hint="default" w:ascii="Times New Roman" w:hAnsi="Times New Roman" w:eastAsia="方正仿宋_GBK"/>
          <w:sz w:val="32"/>
          <w:szCs w:val="32"/>
          <w:shd w:val="clear" w:color="auto" w:fill="FFFFFF"/>
        </w:rPr>
        <w:t>成本降低。较上年支出数增加1.65万元，增长55.0%，主要原因是主要原因是</w:t>
      </w:r>
      <w:r>
        <w:rPr>
          <w:rFonts w:ascii="Times New Roman" w:hAnsi="Times New Roman" w:eastAsia="方正仿宋_GBK"/>
          <w:sz w:val="32"/>
          <w:szCs w:val="32"/>
          <w:shd w:val="clear" w:color="auto" w:fill="FFFFFF"/>
        </w:rPr>
        <w:t>车辆老化</w:t>
      </w:r>
      <w:r>
        <w:rPr>
          <w:rFonts w:hint="default" w:ascii="Times New Roman" w:hAnsi="Times New Roman" w:eastAsia="方正仿宋_GBK"/>
          <w:sz w:val="32"/>
          <w:szCs w:val="32"/>
          <w:shd w:val="clear" w:color="auto" w:fill="FFFFFF"/>
        </w:rPr>
        <w:t>等</w:t>
      </w:r>
      <w:r>
        <w:rPr>
          <w:rFonts w:ascii="Times New Roman" w:hAnsi="Times New Roman" w:eastAsia="方正仿宋_GBK"/>
          <w:sz w:val="32"/>
          <w:szCs w:val="32"/>
          <w:shd w:val="clear" w:color="auto" w:fill="FFFFFF"/>
        </w:rPr>
        <w:t>维修费用</w:t>
      </w:r>
      <w:r>
        <w:rPr>
          <w:rFonts w:hint="default" w:ascii="Times New Roman" w:hAnsi="Times New Roman" w:eastAsia="方正仿宋_GBK"/>
          <w:sz w:val="32"/>
          <w:szCs w:val="32"/>
          <w:shd w:val="clear" w:color="auto" w:fill="FFFFFF"/>
        </w:rPr>
        <w:t>增加，增加相关支出</w:t>
      </w:r>
      <w:r>
        <w:rPr>
          <w:rFonts w:ascii="Times New Roman" w:hAnsi="Times New Roman" w:eastAsia="方正仿宋_GBK"/>
          <w:sz w:val="32"/>
          <w:szCs w:val="32"/>
          <w:shd w:val="clear" w:color="auto" w:fill="FFFFFF"/>
        </w:rPr>
        <w:t>，同时</w:t>
      </w:r>
      <w:r>
        <w:rPr>
          <w:rFonts w:hint="default" w:ascii="Times New Roman" w:hAnsi="Times New Roman" w:eastAsia="方正仿宋_GBK"/>
          <w:sz w:val="32"/>
          <w:szCs w:val="32"/>
          <w:shd w:val="clear" w:color="auto" w:fill="FFFFFF"/>
        </w:rPr>
        <w:t>事业单位（执法支队）撤销后，公车由本级统一调派使用，增加相关支出。</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公务接待费11.50万元，主要用于接待上级单位来人检查、调研等。费用支出较年初预算数无增减，主要原因是严格按照预算执行。较上年支出数增加5.50万元，增长91.7%，主要原因是事业单位未单独预算。</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共计0个团组，0人；公务用车购置0辆，公务车保有量为2辆；国内公务接待166批次1320人，其中：国内外事接待0批次，0人；国（境）外公务接待0批次，0人。2024年本单位人均接待费87.12元，车均购置费0万元，车均维护费2.33万元。</w:t>
      </w:r>
    </w:p>
    <w:p>
      <w:pPr>
        <w:pStyle w:val="9"/>
        <w:spacing w:before="0" w:beforeAutospacing="0" w:after="0" w:afterAutospacing="0" w:line="596" w:lineRule="exact"/>
        <w:ind w:firstLine="641"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四、其他需要说明的事项</w:t>
      </w:r>
    </w:p>
    <w:p>
      <w:pPr>
        <w:pStyle w:val="9"/>
        <w:spacing w:before="0" w:beforeAutospacing="0" w:after="0" w:afterAutospacing="0" w:line="596" w:lineRule="exact"/>
        <w:ind w:firstLine="641" w:firstLineChars="200"/>
        <w:jc w:val="both"/>
        <w:rPr>
          <w:rFonts w:hint="default" w:ascii="Times New Roman" w:hAnsi="Times New Roman" w:eastAsia="楷体"/>
          <w:b/>
          <w:bCs/>
          <w:sz w:val="32"/>
          <w:szCs w:val="32"/>
          <w:shd w:val="clear" w:color="auto" w:fill="FFFFFF"/>
        </w:rPr>
      </w:pPr>
      <w:r>
        <w:rPr>
          <w:rFonts w:hint="default" w:ascii="Times New Roman" w:hAnsi="Times New Roman" w:eastAsia="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本年度会议费支出0.42万元，与2023年度相比，增加0.42万元，增长100.0%，主要原因是召开了</w:t>
      </w:r>
      <w:r>
        <w:rPr>
          <w:rFonts w:ascii="Times New Roman" w:hAnsi="Times New Roman" w:eastAsia="方正仿宋_GBK"/>
          <w:sz w:val="32"/>
          <w:szCs w:val="32"/>
          <w:shd w:val="clear" w:color="auto" w:fill="FFFFFF"/>
        </w:rPr>
        <w:t>对口支援</w:t>
      </w:r>
      <w:r>
        <w:rPr>
          <w:rFonts w:hint="default" w:ascii="Times New Roman" w:hAnsi="Times New Roman" w:eastAsia="方正仿宋_GBK"/>
          <w:sz w:val="32"/>
          <w:szCs w:val="32"/>
          <w:shd w:val="clear" w:color="auto" w:fill="FFFFFF"/>
        </w:rPr>
        <w:t>培训等业务会议。本年度培训费支出1.47万元，与2023年度相比，减少0.30万元，下降17.0%，主要原因是职工退休、调出，减少了专技人员继续教育培训支出。本年度差旅费支出16.66</w:t>
      </w:r>
      <w:r>
        <w:rPr>
          <w:rFonts w:hint="default" w:ascii="Times New Roman" w:hAnsi="Times New Roman" w:eastAsia="方正仿宋_GBK"/>
          <w:sz w:val="32"/>
          <w:szCs w:val="32"/>
        </w:rPr>
        <w:t>万元，</w:t>
      </w:r>
      <w:r>
        <w:rPr>
          <w:rFonts w:hint="default" w:ascii="Times New Roman" w:hAnsi="Times New Roman" w:eastAsia="方正仿宋_GBK"/>
          <w:sz w:val="32"/>
          <w:szCs w:val="32"/>
          <w:shd w:val="clear" w:color="auto" w:fill="FFFFFF"/>
        </w:rPr>
        <w:t>与2023年度相比，增加0.91万元，增长5.8%，主要原因是新增到上级对接工作、外出培训等差旅支出。</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机关运行经费支出111.49万元，机关运行经费主要用于开支食堂经费、工会经费、办公用品采购等。机关运行经费较上年支出数增加17.91万元，增长19.1%，主要原因是行政执法支队撤销后人员合并、新录入人员采购电脑等增加了相关开支。</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2辆，其中，副部（省）级及以上领导用车0辆、主要负责人用车0辆、机要通信用车0辆、应急保障用车2辆、执法执勤用车0辆，特种专业技术用车0辆，离退休干部用车0辆。单价100万元（含）以上专用设备0台（套）。</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woUserID w:val="1"/>
        </w:rPr>
      </w:pPr>
      <w:r>
        <w:rPr>
          <w:rFonts w:hint="default" w:ascii="Times New Roman" w:hAnsi="Times New Roman" w:eastAsia="方正仿宋_GBK"/>
          <w:sz w:val="32"/>
          <w:szCs w:val="32"/>
          <w:shd w:val="clear" w:color="auto" w:fill="FFFFFF"/>
        </w:rPr>
        <w:t>2024年度本单位政府采购支出总额1505.87万元，其中：政府采购货物支出1505.87万元、政府采购工程支出0.00万元、政府采购服务支出0.00万元。授予中小企业合同金额598.10</w:t>
      </w:r>
      <w:r>
        <w:rPr>
          <w:rFonts w:hint="default" w:ascii="Times New Roman" w:hAnsi="Times New Roman" w:eastAsia="方正仿宋_GBK"/>
          <w:sz w:val="32"/>
          <w:szCs w:val="32"/>
        </w:rPr>
        <w:t>万</w:t>
      </w:r>
      <w:r>
        <w:rPr>
          <w:rFonts w:hint="default" w:ascii="Times New Roman" w:hAnsi="Times New Roman" w:eastAsia="方正仿宋_GBK"/>
          <w:sz w:val="32"/>
          <w:szCs w:val="32"/>
          <w:shd w:val="clear" w:color="auto" w:fill="FFFFFF"/>
        </w:rPr>
        <w:t>元，占政府采购支出总额的39.7%，其中：授予小微企业合同金额283.81万元，占政府采购支出总额的18.9 %。</w:t>
      </w:r>
      <w:r>
        <w:rPr>
          <w:rFonts w:hint="default" w:ascii="Times New Roman" w:hAnsi="Times New Roman" w:eastAsia="方正仿宋_GBK"/>
          <w:sz w:val="32"/>
          <w:szCs w:val="32"/>
          <w:shd w:val="clear" w:color="auto" w:fill="FFFFFF"/>
          <w:woUserID w:val="1"/>
        </w:rPr>
        <w:t>主要用于法律咨询、项目前期等服务费支出。</w:t>
      </w:r>
      <w:bookmarkStart w:id="0" w:name="_GoBack"/>
      <w:bookmarkEnd w:id="0"/>
    </w:p>
    <w:p>
      <w:pPr>
        <w:pStyle w:val="15"/>
        <w:spacing w:before="0" w:beforeAutospacing="0" w:after="0" w:afterAutospacing="0" w:line="596" w:lineRule="exact"/>
        <w:ind w:firstLine="641" w:firstLineChars="200"/>
        <w:rPr>
          <w:rStyle w:val="13"/>
          <w:rFonts w:ascii="Times New Roman" w:hAnsi="Times New Roman" w:eastAsia="黑体"/>
          <w:sz w:val="32"/>
          <w:szCs w:val="32"/>
          <w:shd w:val="clear" w:color="auto" w:fill="FFFFFF"/>
        </w:rPr>
      </w:pPr>
      <w:r>
        <w:rPr>
          <w:rStyle w:val="13"/>
          <w:rFonts w:ascii="Times New Roman" w:hAnsi="Times New Roman" w:eastAsia="黑体"/>
          <w:sz w:val="32"/>
          <w:szCs w:val="32"/>
          <w:shd w:val="clear" w:color="auto" w:fill="FFFFFF"/>
        </w:rPr>
        <w:t>五、2024年度预算绩效管理情况说明</w:t>
      </w:r>
    </w:p>
    <w:p>
      <w:pPr>
        <w:pStyle w:val="15"/>
        <w:autoSpaceDE w:val="0"/>
        <w:spacing w:before="0" w:beforeAutospacing="0" w:after="0" w:afterAutospacing="0" w:line="596" w:lineRule="exact"/>
        <w:ind w:firstLine="641" w:firstLineChars="200"/>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根据预算绩效管理要求，我单位对297个项目开展了绩效自评，涉及财政拨款项目支出资金85572.37万元。</w:t>
      </w:r>
    </w:p>
    <w:p>
      <w:pPr>
        <w:pStyle w:val="15"/>
        <w:spacing w:before="0" w:beforeAutospacing="0" w:after="0" w:afterAutospacing="0" w:line="596" w:lineRule="exact"/>
        <w:ind w:firstLine="641"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pPr>
        <w:pStyle w:val="15"/>
        <w:spacing w:before="0" w:beforeAutospacing="0" w:after="0" w:afterAutospacing="0" w:line="596" w:lineRule="exact"/>
        <w:ind w:firstLine="320" w:firstLineChars="100"/>
        <w:rPr>
          <w:rFonts w:ascii="Times New Roman" w:hAnsi="Times New Roman" w:eastAsia="方正仿宋_GBK"/>
          <w:sz w:val="32"/>
          <w:szCs w:val="32"/>
        </w:rPr>
      </w:pPr>
      <w:r>
        <w:rPr>
          <w:rFonts w:ascii="Times New Roman" w:hAnsi="Times New Roman" w:eastAsia="方正仿宋_GBK"/>
          <w:sz w:val="32"/>
          <w:szCs w:val="32"/>
          <w:shd w:val="clear" w:color="auto" w:fill="FFFFFF"/>
          <w:lang w:bidi="ar"/>
        </w:rPr>
        <w:t>2024年度项目绩效自评表（附件附后）</w:t>
      </w:r>
    </w:p>
    <w:p>
      <w:pPr>
        <w:pStyle w:val="15"/>
        <w:autoSpaceDE w:val="0"/>
        <w:spacing w:before="0" w:beforeAutospacing="0" w:after="0" w:afterAutospacing="0" w:line="596" w:lineRule="exact"/>
        <w:ind w:firstLine="641" w:firstLineChars="200"/>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（二）部门绩效评价情况</w:t>
      </w:r>
    </w:p>
    <w:p>
      <w:pPr>
        <w:pStyle w:val="19"/>
        <w:autoSpaceDE w:val="0"/>
        <w:spacing w:line="596" w:lineRule="exact"/>
        <w:ind w:firstLine="64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对297个项目开展了绩效评价，涉及财政拨款项目资金85572.37万元，评价得分98.32分，评价等次为优，绩效评价发现了水利管理在水利工程的养护与维修上仍显得不足和滞后、城乡供水保障能力不足、农村生产安置条件有待改善、库区的经济发展落后，就业压力大等主要问题，提出建立健全水利工程养护制度、提高管理人员的技能水平、加强水利工程管理的力度、调节水源流量，增加可用供水、高度重视移民后期扶持工作等下一步工作建议。</w:t>
      </w:r>
    </w:p>
    <w:p>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汪锐  </w:t>
      </w:r>
      <w:r>
        <w:rPr>
          <w:rFonts w:ascii="Times New Roman" w:hAnsi="Times New Roman" w:eastAsia="方正仿宋_GBK"/>
          <w:sz w:val="32"/>
          <w:szCs w:val="32"/>
          <w:shd w:val="clear" w:color="auto" w:fill="FFFFFF"/>
        </w:rPr>
        <w:t xml:space="preserve"> 023-70701623</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sz w:val="22"/>
                <w:szCs w:val="22"/>
              </w:rPr>
            </w:pPr>
            <w:r>
              <w:rPr>
                <w:rFonts w:cs="宋体"/>
                <w:sz w:val="20"/>
                <w:szCs w:val="20"/>
              </w:rPr>
              <w:t>单位：</w:t>
            </w:r>
            <w:r>
              <w:rPr>
                <w:sz w:val="20"/>
              </w:rPr>
              <w:t>丰都县水利局（本级）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46,944.93</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21.86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39,345.88</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245.54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41.59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4,325.40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77,273.41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4,350.00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33.02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86,290.82</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86,290.82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86,290.82</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86,290.82</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丰都县水利局（本级）</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86,290.82</w:t>
            </w:r>
            <w:r>
              <w:rPr>
                <w:rFonts w:ascii="Times New Roman" w:hAnsi="Times New Roman"/>
                <w:b/>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86,290.82</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发展与改革事务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2010499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其他发展与改革事务支出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21.86</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21.86</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245.54</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245.54</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245.54</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245.54</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39.75</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39.75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52.00</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52.00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153.79</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153.79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41.59</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41.59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41.59</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41.59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20.93</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20.93</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20.65</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20.65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4,325.40</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4,325.40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城乡社区公共设施</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4,285.40</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4,285.40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2120303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小城镇基础设施建设</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4,285.40</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4,285.40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征地和拆迁补偿支出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40.00</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77,273.41</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77,273.41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水利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36,622.45</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36,622.45</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398.29</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398.29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水利工程建设</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30,879.43</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30,879.43</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水利工程运行与维护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1,297.58</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1,297.58</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水土保持</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24.89</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24.89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2130314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防汛</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335.77</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335.77</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2130315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抗旱</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36.38</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36.38</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2130316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农村水利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962.95</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962.95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2130319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江河湖库水系综合整治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253.98</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253.98</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大中型水库移民后期扶持专项支出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75.28</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75.28</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2130335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农村供水</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166.47</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166.47</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其他水利支出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2,191.44</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2,191.44</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巩固脱贫攻坚成果衔接乡村振兴</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1,259.68</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1,259.68</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2130504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农村基础设施建设</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1,259.68</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1,259.68</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21307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农村综合改革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85.40</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85.40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2130701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对村级公益事业建设的补助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85.40</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85.40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21367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三峡水库库区基金支出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1,060.76</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1,060.76</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2136701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基础设施建设和经济发展</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40.13</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40.13</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2136702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解决移民遗留问题</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1,020.64</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1,020.64</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21369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国家重大水利工程建设基金安排的支出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35,210.49</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35,210.49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2136902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三峡后续工作</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35,210.49</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35,210.49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21372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大中型水库移民后期扶持基金支出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3,034.63</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3,034.63</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2137201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移民补助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1,586.24</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1,586.24</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2137202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基础设施建设和经济发展</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1,448.39</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1,448.39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自然资源海洋气象等支出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22001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自然资源事务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2200106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自然资源利用与保护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4,350.00</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4,350.00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33.02</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33.02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33.02</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33.02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33.02</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33.02</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丰都县水利局（本级）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86,290.82</w:t>
            </w:r>
            <w:r>
              <w:rPr>
                <w:rFonts w:ascii="Times New Roman" w:hAnsi="Times New Roman"/>
                <w:b/>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718.44</w:t>
            </w:r>
            <w:r>
              <w:rPr>
                <w:rFonts w:ascii="Times New Roman" w:hAnsi="Times New Roman"/>
                <w:b/>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85,572.37</w:t>
            </w:r>
            <w:r>
              <w:rPr>
                <w:rFonts w:ascii="Times New Roman" w:hAnsi="Times New Roman"/>
                <w:b/>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发展与改革事务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2010499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其他发展与改革事务支出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21.86</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21.86</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245.54</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245.54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245.54</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245.54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39.75</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39.75</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52.00</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52.00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153.79</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153.79</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41.59</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41.59</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41.59</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41.59</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20.93</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20.93</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20.65</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20.65</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4,325.40</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4,325.40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城乡社区公共设施</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4,285.40</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4,285.40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2120303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小城镇基础设施建设</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4,285.40</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4,285.40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征地和拆迁补偿支出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40.00</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77,273.41</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398.29</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76,875.12</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水利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36,622.45</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398.29</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36,224.16</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398.29</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398.29</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水利工程建设</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30,879.43</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30,879.43</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水利工程运行与维护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1,297.58</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1,297.58</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水土保持</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24.89</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24.89</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2130314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防汛</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335.77</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335.77</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2130315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抗旱</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36.38</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36.38</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2130316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农村水利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962.95</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962.95</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2130319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江河湖库水系综合整治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253.98</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253.98</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大中型水库移民后期扶持专项支出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75.28</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75.28</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2130335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农村供水</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166.47</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166.47</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其他水利支出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2,191.44</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2,191.44</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巩固脱贫攻坚成果衔接乡村振兴</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1,259.68</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1,259.68</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2130504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农村基础设施建设</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1,259.68</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1,259.68</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21307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农村综合改革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85.40</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85.40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2130701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对村级公益事业建设的补助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85.40</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85.40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21367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三峡水库库区基金支出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1,060.76</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1,060.76</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2136701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基础设施建设和经济发展</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40.13</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40.13</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2136702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解决移民遗留问题</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1,020.64</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1,020.64</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21369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国家重大水利工程建设基金安排的支出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35,210.49</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35,210.49</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2136902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三峡后续工作</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35,210.49</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35,210.49</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21372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大中型水库移民后期扶持基金支出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3,034.63</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3,034.63</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2137201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移民补助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1,586.24</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1,586.24</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2137202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基础设施建设和经济发展</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1,448.39</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1,448.39</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自然资源海洋气象等支出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22001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自然资源事务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2200106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自然资源利用与保护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4,350.00</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4,350.00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33.02</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33.02</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33.02</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33.02</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33.02</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33.02</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丰都县水利局（本级）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46,944.93</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21.86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21.86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39,345.88</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245.54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245.54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41.59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41.59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4,325.40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4,285.40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40.00</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77,273.41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37,967.52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39,305.88</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4,350.00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4,350.00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33.02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33.02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86,290.82</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86,290.82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46,944.93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39,345.88</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86,290.82</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86,290.82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46,944.93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39,345.88</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丰都县水利局（本级）</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46,944.93</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718.44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46,226.49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21.86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发展与改革事务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21.86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2010499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其他发展与改革事务支出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21.86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21.86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245.54</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245.54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245.54</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245.54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39.75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39.75</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52.00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52.00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153.79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153.79</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41.59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41.59</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41.59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41.59</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20.93</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20.93</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20.65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20.65</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4,285.40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4,285.40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4,285.40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4,285.40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4,285.40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4,285.40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37,967.52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398.29</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37,569.24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36,622.45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398.29</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36,224.16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398.29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398.29</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水利工程建设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30,879.43</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30,879.43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水利工程运行与维护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1,297.58</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1,297.58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水土保持</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24.89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24.89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防汛</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335.77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335.77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抗旱</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36.38</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36.38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农村水利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962.95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962.95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江河湖库水系综合整治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253.98</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253.98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大中型水库移民后期扶持专项支出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75.28</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75.28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2130335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农村供水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166.47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166.47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其他水利支出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2,191.44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2,191.44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1,259.68</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1,259.68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1,259.68</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1,259.68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85.40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85.40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85.40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85.40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4,350.00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4,350.00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2200106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4,350.00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4,350.00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33.02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33.02</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33.02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33.02</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33.02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33.02</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丰都县水利局（本级）</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经济分类科目（按“款”级经济分类科目）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经济分类科目（按“款”级经济分类科目）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经济分类科目（按“款”级经济分类科目）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444.84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111.49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99.72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29.31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62.07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0.43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109.63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0.30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0.28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39.75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0.55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52.00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5.21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25.51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16.00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0.08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14.79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33.02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0.18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7.07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162.11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0.42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1.47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11.50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155.70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2.96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6.40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19.54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0.95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4.65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15.31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3.66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606.95</w:t>
            </w:r>
            <w:r>
              <w:rPr>
                <w:rFonts w:ascii="Times New Roman" w:hAnsi="Times New Roman"/>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111.49</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丰都县水利局（本级）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39,345.88</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39,345.88</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39,345.88</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2120801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213</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农林水支出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39,305.88</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39,305.88</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39,305.88</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21367</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三峡水库库区基金支出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1,060.76</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1,060.76</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1,060.76</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2136701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基础设施建设和经济发展</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40.13</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40.13</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40.13</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2136702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解决移民遗留问题</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1,020.64</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1,020.64</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1,020.64</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21369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国家重大水利工程建设基金安排的支出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35,210.49</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35,210.49</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35,210.49</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2136902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三峡后续工作</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35,210.49</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35,210.49</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35,210.49</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21372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大中型水库移民后期扶持基金支出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3,034.63</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3,034.63</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3,034.63</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2137201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移民补助</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1,586.24</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1,586.24</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1,586.24</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2137202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基础设施建设和经济发展</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1,448.39</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1,448.39</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1,448.39</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丰都县水利局（本级）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丰都县水利局（本级）</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111.49</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16.15</w:t>
            </w: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16.15</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111.49</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4.65</w:t>
            </w: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4.65</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4.65</w:t>
            </w: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4.65</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11.50</w:t>
            </w: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11.50</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11.50</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166</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1,505.87</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1,505.87</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1,320</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598.10</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283.81</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0.42</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1.47</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16.66</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3000509000000000000"/>
    <w:charset w:val="86"/>
    <w:family w:val="script"/>
    <w:pitch w:val="default"/>
    <w:sig w:usb0="00000000" w:usb1="00000000" w:usb2="00000010" w:usb3="00000000" w:csb0="00040000" w:csb1="00000000"/>
  </w:font>
  <w:font w:name="方正仿宋_GBK">
    <w:altName w:val="汉仪仿宋KW"/>
    <w:panose1 w:val="03000509000000000000"/>
    <w:charset w:val="86"/>
    <w:family w:val="script"/>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27F7C"/>
    <w:rsid w:val="0044504F"/>
    <w:rsid w:val="00466C9B"/>
    <w:rsid w:val="00486CFC"/>
    <w:rsid w:val="00491DDD"/>
    <w:rsid w:val="00550ABE"/>
    <w:rsid w:val="00623A85"/>
    <w:rsid w:val="00676705"/>
    <w:rsid w:val="00770383"/>
    <w:rsid w:val="007819D4"/>
    <w:rsid w:val="007B419D"/>
    <w:rsid w:val="007B7C4B"/>
    <w:rsid w:val="007D3D39"/>
    <w:rsid w:val="008978A8"/>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DB02D5"/>
    <w:rsid w:val="0F836721"/>
    <w:rsid w:val="0FA25D96"/>
    <w:rsid w:val="107B59E5"/>
    <w:rsid w:val="10EC0126"/>
    <w:rsid w:val="10F70B9A"/>
    <w:rsid w:val="111445C7"/>
    <w:rsid w:val="114278C6"/>
    <w:rsid w:val="1158083A"/>
    <w:rsid w:val="11643A4B"/>
    <w:rsid w:val="11ED0F98"/>
    <w:rsid w:val="11F03528"/>
    <w:rsid w:val="12C921C4"/>
    <w:rsid w:val="130A2198"/>
    <w:rsid w:val="13314057"/>
    <w:rsid w:val="13871C70"/>
    <w:rsid w:val="13A71CB4"/>
    <w:rsid w:val="13AF1D43"/>
    <w:rsid w:val="13CE1647"/>
    <w:rsid w:val="13FD55AB"/>
    <w:rsid w:val="14200702"/>
    <w:rsid w:val="14370EA1"/>
    <w:rsid w:val="163A6CEE"/>
    <w:rsid w:val="173708E3"/>
    <w:rsid w:val="17B2075E"/>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7D05536"/>
    <w:rsid w:val="292F44DF"/>
    <w:rsid w:val="29310A5F"/>
    <w:rsid w:val="29C37A35"/>
    <w:rsid w:val="2A076083"/>
    <w:rsid w:val="2A73162E"/>
    <w:rsid w:val="2B167953"/>
    <w:rsid w:val="2B200583"/>
    <w:rsid w:val="2B2729C0"/>
    <w:rsid w:val="2B8209DE"/>
    <w:rsid w:val="2B821C91"/>
    <w:rsid w:val="2BF81A22"/>
    <w:rsid w:val="2BFC79E2"/>
    <w:rsid w:val="2C3964D8"/>
    <w:rsid w:val="2C636760"/>
    <w:rsid w:val="2C6762A3"/>
    <w:rsid w:val="2E905A9E"/>
    <w:rsid w:val="2F2969EB"/>
    <w:rsid w:val="2FCA4B37"/>
    <w:rsid w:val="2FE029D7"/>
    <w:rsid w:val="2FF06E00"/>
    <w:rsid w:val="30586FEC"/>
    <w:rsid w:val="315F0B22"/>
    <w:rsid w:val="31A15828"/>
    <w:rsid w:val="31D84415"/>
    <w:rsid w:val="32285F6F"/>
    <w:rsid w:val="32770556"/>
    <w:rsid w:val="329C0913"/>
    <w:rsid w:val="32AA0460"/>
    <w:rsid w:val="32F53439"/>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056493"/>
    <w:rsid w:val="3B1705E5"/>
    <w:rsid w:val="3B18334B"/>
    <w:rsid w:val="3B36794F"/>
    <w:rsid w:val="3B4A51A8"/>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B33338"/>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9C2904"/>
    <w:rsid w:val="56FF7E9E"/>
    <w:rsid w:val="57813689"/>
    <w:rsid w:val="578867FC"/>
    <w:rsid w:val="5842572D"/>
    <w:rsid w:val="596B5F25"/>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6C365E"/>
    <w:rsid w:val="63C25DC5"/>
    <w:rsid w:val="63C62057"/>
    <w:rsid w:val="64025D52"/>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773014"/>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9231F9"/>
    <w:rsid w:val="72DB435C"/>
    <w:rsid w:val="72E2613A"/>
    <w:rsid w:val="72F771F4"/>
    <w:rsid w:val="73934AD2"/>
    <w:rsid w:val="750837F0"/>
    <w:rsid w:val="754758CF"/>
    <w:rsid w:val="75595ECD"/>
    <w:rsid w:val="764F62AB"/>
    <w:rsid w:val="765C45EC"/>
    <w:rsid w:val="768A7619"/>
    <w:rsid w:val="76BD23AB"/>
    <w:rsid w:val="772E1EBA"/>
    <w:rsid w:val="781926BC"/>
    <w:rsid w:val="79144124"/>
    <w:rsid w:val="796D60A4"/>
    <w:rsid w:val="79A031D5"/>
    <w:rsid w:val="79B47FDF"/>
    <w:rsid w:val="79E569A9"/>
    <w:rsid w:val="7A1525F7"/>
    <w:rsid w:val="7B420052"/>
    <w:rsid w:val="7B7163EE"/>
    <w:rsid w:val="7BC86FBA"/>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Micorosoft</Company>
  <Pages>1</Pages>
  <Words>3398</Words>
  <Characters>19374</Characters>
  <Lines>161</Lines>
  <Paragraphs>45</Paragraphs>
  <TotalTime>5</TotalTime>
  <ScaleCrop>false</ScaleCrop>
  <LinksUpToDate>false</LinksUpToDate>
  <CharactersWithSpaces>22727</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Micorosoft</cp:lastModifiedBy>
  <dcterms:modified xsi:type="dcterms:W3CDTF">2025-09-15T22:31:28Z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BB46EABDBB2749749395447164B066B3_12</vt:lpwstr>
  </property>
  <property fmtid="{D5CDD505-2E9C-101B-9397-08002B2CF9AE}" pid="4" name="KSOTemplateDocerSaveRecord">
    <vt:lpwstr>eyJoZGlkIjoiOTRkMzRlMDE5ZDQyNjdiYWY3MjBhMzE1NzZhMDk5YjMiLCJ1c2VySWQiOiIzMjAwODgxNDkifQ==</vt:lpwstr>
  </property>
</Properties>
</file>