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left"/>
        <w:textAlignment w:val="auto"/>
        <w:outlineLvl w:val="9"/>
        <w:rPr>
          <w:rFonts w:hint="eastAsia" w:ascii="Calibri" w:hAnsi="Calibri" w:eastAsia="方正小标宋_GBK" w:cs="Times New Roman"/>
          <w:bCs/>
          <w:spacing w:val="-6"/>
          <w:kern w:val="2"/>
          <w:sz w:val="28"/>
          <w:szCs w:val="28"/>
          <w:lang w:val="en-US" w:eastAsia="zh-CN" w:bidi="ar-SA"/>
        </w:rPr>
      </w:pPr>
      <w:r>
        <w:rPr>
          <w:rFonts w:hint="eastAsia" w:ascii="Calibri" w:hAnsi="Calibri" w:eastAsia="方正小标宋_GBK" w:cs="Times New Roman"/>
          <w:bCs/>
          <w:spacing w:val="-6"/>
          <w:kern w:val="2"/>
          <w:sz w:val="28"/>
          <w:szCs w:val="28"/>
          <w:lang w:val="en-US" w:eastAsia="zh-CN" w:bidi="ar-SA"/>
        </w:rPr>
        <w:t>附件1：丰都县市场监督管理局重大行政执法决定法制审核目录清单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center"/>
        <w:textAlignment w:val="auto"/>
        <w:outlineLvl w:val="9"/>
        <w:rPr>
          <w:rFonts w:hint="eastAsia" w:ascii="Calibri" w:hAnsi="Calibri" w:eastAsia="方正小标宋_GBK" w:cs="Times New Roman"/>
          <w:bCs/>
          <w:spacing w:val="-6"/>
          <w:kern w:val="2"/>
          <w:sz w:val="44"/>
          <w:szCs w:val="44"/>
          <w:lang w:val="en-US" w:eastAsia="zh-CN" w:bidi="ar-SA"/>
        </w:rPr>
      </w:pPr>
      <w:bookmarkStart w:id="0" w:name="_GoBack"/>
      <w:bookmarkEnd w:id="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6375"/>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eastAsia" w:ascii="方正黑体_GBK" w:hAnsi="方正黑体_GBK" w:eastAsia="方正黑体_GBK" w:cs="方正黑体_GBK"/>
                <w:b w:val="0"/>
                <w:bCs w:val="0"/>
                <w:color w:val="000000"/>
                <w:kern w:val="0"/>
                <w:sz w:val="32"/>
                <w:szCs w:val="32"/>
                <w:vertAlign w:val="baseline"/>
                <w:lang w:eastAsia="zh-CN"/>
              </w:rPr>
            </w:pPr>
            <w:r>
              <w:rPr>
                <w:rFonts w:hint="eastAsia" w:ascii="方正黑体_GBK" w:hAnsi="方正黑体_GBK" w:eastAsia="方正黑体_GBK" w:cs="方正黑体_GBK"/>
                <w:b w:val="0"/>
                <w:bCs w:val="0"/>
                <w:color w:val="000000"/>
                <w:kern w:val="0"/>
                <w:sz w:val="32"/>
                <w:szCs w:val="32"/>
                <w:vertAlign w:val="baseline"/>
                <w:lang w:eastAsia="zh-CN"/>
              </w:rPr>
              <w:t>序号</w:t>
            </w:r>
          </w:p>
        </w:tc>
        <w:tc>
          <w:tcPr>
            <w:tcW w:w="637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eastAsia" w:ascii="方正黑体_GBK" w:hAnsi="方正黑体_GBK" w:eastAsia="方正黑体_GBK" w:cs="方正黑体_GBK"/>
                <w:b w:val="0"/>
                <w:bCs w:val="0"/>
                <w:color w:val="000000"/>
                <w:kern w:val="0"/>
                <w:sz w:val="32"/>
                <w:szCs w:val="32"/>
                <w:vertAlign w:val="baseline"/>
                <w:lang w:eastAsia="zh-CN"/>
              </w:rPr>
            </w:pPr>
            <w:r>
              <w:rPr>
                <w:rFonts w:hint="eastAsia" w:ascii="方正黑体_GBK" w:hAnsi="方正黑体_GBK" w:eastAsia="方正黑体_GBK" w:cs="方正黑体_GBK"/>
                <w:b w:val="0"/>
                <w:bCs w:val="0"/>
                <w:color w:val="000000"/>
                <w:kern w:val="0"/>
                <w:sz w:val="32"/>
                <w:szCs w:val="32"/>
                <w:vertAlign w:val="baseline"/>
                <w:lang w:eastAsia="zh-CN"/>
              </w:rPr>
              <w:t>清单内容</w:t>
            </w:r>
          </w:p>
        </w:tc>
        <w:tc>
          <w:tcPr>
            <w:tcW w:w="1082"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eastAsia" w:ascii="方正黑体_GBK" w:hAnsi="方正黑体_GBK" w:eastAsia="方正黑体_GBK" w:cs="方正黑体_GBK"/>
                <w:b w:val="0"/>
                <w:bCs w:val="0"/>
                <w:color w:val="000000"/>
                <w:kern w:val="0"/>
                <w:sz w:val="32"/>
                <w:szCs w:val="32"/>
                <w:vertAlign w:val="baseline"/>
                <w:lang w:eastAsia="zh-CN"/>
              </w:rPr>
            </w:pPr>
            <w:r>
              <w:rPr>
                <w:rFonts w:hint="eastAsia" w:ascii="方正黑体_GBK" w:hAnsi="方正黑体_GBK" w:eastAsia="方正黑体_GBK" w:cs="方正黑体_GBK"/>
                <w:b w:val="0"/>
                <w:bCs w:val="0"/>
                <w:color w:val="000000"/>
                <w:kern w:val="0"/>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default" w:ascii="Times New Roman" w:hAnsi="Times New Roman" w:eastAsia="方正仿宋_GBK"/>
                <w:color w:val="000000"/>
                <w:kern w:val="0"/>
                <w:sz w:val="32"/>
                <w:szCs w:val="32"/>
                <w:vertAlign w:val="baseline"/>
                <w:lang w:val="en-US" w:eastAsia="zh-CN"/>
              </w:rPr>
            </w:pPr>
            <w:r>
              <w:rPr>
                <w:rFonts w:hint="eastAsia" w:ascii="Times New Roman" w:hAnsi="Times New Roman" w:eastAsia="方正仿宋_GBK"/>
                <w:color w:val="000000"/>
                <w:kern w:val="0"/>
                <w:sz w:val="32"/>
                <w:szCs w:val="32"/>
                <w:vertAlign w:val="baseline"/>
                <w:lang w:val="en-US" w:eastAsia="zh-CN"/>
              </w:rPr>
              <w:t>1</w:t>
            </w:r>
          </w:p>
        </w:tc>
        <w:tc>
          <w:tcPr>
            <w:tcW w:w="637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eastAsia" w:ascii="Times New Roman" w:hAnsi="Times New Roman" w:eastAsia="方正仿宋_GBK"/>
                <w:color w:val="000000"/>
                <w:kern w:val="0"/>
                <w:sz w:val="32"/>
                <w:szCs w:val="32"/>
                <w:vertAlign w:val="baseline"/>
                <w:lang w:eastAsia="zh-CN"/>
              </w:rPr>
            </w:pPr>
            <w:r>
              <w:rPr>
                <w:rFonts w:hint="default" w:ascii="Times New Roman" w:hAnsi="Times New Roman" w:eastAsia="方正仿宋_GBK" w:cs="Times New Roman"/>
                <w:color w:val="000000"/>
                <w:kern w:val="0"/>
                <w:sz w:val="32"/>
                <w:szCs w:val="32"/>
              </w:rPr>
              <w:t>涉及重大国家利益、公共利益、安全问题或者有重大社会影响的案件；</w:t>
            </w:r>
          </w:p>
        </w:tc>
        <w:tc>
          <w:tcPr>
            <w:tcW w:w="1082"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eastAsia" w:ascii="Times New Roman" w:hAnsi="Times New Roman" w:eastAsia="方正仿宋_GBK"/>
                <w:color w:val="000000"/>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default" w:ascii="Times New Roman" w:hAnsi="Times New Roman" w:eastAsia="方正仿宋_GBK"/>
                <w:color w:val="000000"/>
                <w:kern w:val="0"/>
                <w:sz w:val="32"/>
                <w:szCs w:val="32"/>
                <w:vertAlign w:val="baseline"/>
                <w:lang w:val="en-US" w:eastAsia="zh-CN"/>
              </w:rPr>
            </w:pPr>
            <w:r>
              <w:rPr>
                <w:rFonts w:hint="eastAsia" w:ascii="Times New Roman" w:hAnsi="Times New Roman" w:eastAsia="方正仿宋_GBK"/>
                <w:color w:val="000000"/>
                <w:kern w:val="0"/>
                <w:sz w:val="32"/>
                <w:szCs w:val="32"/>
                <w:vertAlign w:val="baseline"/>
                <w:lang w:val="en-US" w:eastAsia="zh-CN"/>
              </w:rPr>
              <w:t>2</w:t>
            </w:r>
          </w:p>
        </w:tc>
        <w:tc>
          <w:tcPr>
            <w:tcW w:w="637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eastAsia" w:ascii="Times New Roman" w:hAnsi="Times New Roman" w:eastAsia="方正仿宋_GBK"/>
                <w:color w:val="000000"/>
                <w:kern w:val="0"/>
                <w:sz w:val="32"/>
                <w:szCs w:val="32"/>
                <w:vertAlign w:val="baseline"/>
                <w:lang w:eastAsia="zh-CN"/>
              </w:rPr>
            </w:pPr>
            <w:r>
              <w:rPr>
                <w:rFonts w:hint="default" w:ascii="Times New Roman" w:hAnsi="Times New Roman" w:eastAsia="方正仿宋_GBK" w:cs="Times New Roman"/>
                <w:color w:val="000000"/>
                <w:spacing w:val="-7"/>
                <w:kern w:val="0"/>
                <w:sz w:val="32"/>
                <w:szCs w:val="32"/>
              </w:rPr>
              <w:t>拟罚款、没收违法所得和非法财物价值数额较大的案件</w:t>
            </w:r>
            <w:r>
              <w:rPr>
                <w:rFonts w:hint="default" w:ascii="Times New Roman" w:hAnsi="Times New Roman" w:eastAsia="方正仿宋_GBK" w:cs="Times New Roman"/>
                <w:color w:val="000000"/>
                <w:kern w:val="0"/>
                <w:sz w:val="32"/>
                <w:szCs w:val="32"/>
              </w:rPr>
              <w:t>；</w:t>
            </w:r>
          </w:p>
        </w:tc>
        <w:tc>
          <w:tcPr>
            <w:tcW w:w="1082"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eastAsia" w:ascii="Times New Roman" w:hAnsi="Times New Roman" w:eastAsia="方正仿宋_GBK"/>
                <w:color w:val="000000"/>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default" w:ascii="Times New Roman" w:hAnsi="Times New Roman" w:eastAsia="方正仿宋_GBK"/>
                <w:color w:val="000000"/>
                <w:kern w:val="0"/>
                <w:sz w:val="32"/>
                <w:szCs w:val="32"/>
                <w:vertAlign w:val="baseline"/>
                <w:lang w:val="en-US" w:eastAsia="zh-CN"/>
              </w:rPr>
            </w:pPr>
            <w:r>
              <w:rPr>
                <w:rFonts w:hint="eastAsia" w:ascii="Times New Roman" w:hAnsi="Times New Roman" w:eastAsia="方正仿宋_GBK"/>
                <w:color w:val="000000"/>
                <w:kern w:val="0"/>
                <w:sz w:val="32"/>
                <w:szCs w:val="32"/>
                <w:vertAlign w:val="baseline"/>
                <w:lang w:val="en-US" w:eastAsia="zh-CN"/>
              </w:rPr>
              <w:t>3</w:t>
            </w:r>
          </w:p>
        </w:tc>
        <w:tc>
          <w:tcPr>
            <w:tcW w:w="6375" w:type="dxa"/>
          </w:tcPr>
          <w:p>
            <w:pPr>
              <w:pStyle w:val="2"/>
              <w:keepNext w:val="0"/>
              <w:keepLines w:val="0"/>
              <w:pageBreakBefore w:val="0"/>
              <w:widowControl w:val="0"/>
              <w:kinsoku/>
              <w:wordWrap/>
              <w:overflowPunct/>
              <w:topLinePunct w:val="0"/>
              <w:autoSpaceDE/>
              <w:autoSpaceDN/>
              <w:bidi w:val="0"/>
              <w:adjustRightInd/>
              <w:snapToGrid/>
              <w:spacing w:line="592" w:lineRule="exact"/>
              <w:ind w:left="0" w:leftChars="0" w:right="0" w:rightChars="0" w:firstLine="0" w:firstLineChars="0"/>
              <w:jc w:val="both"/>
              <w:textAlignment w:val="auto"/>
              <w:outlineLvl w:val="9"/>
              <w:rPr>
                <w:rFonts w:hint="eastAsia" w:ascii="Times New Roman" w:hAnsi="Times New Roman" w:eastAsia="方正仿宋_GBK"/>
                <w:color w:val="000000"/>
                <w:kern w:val="0"/>
                <w:sz w:val="32"/>
                <w:szCs w:val="32"/>
                <w:vertAlign w:val="baseline"/>
                <w:lang w:eastAsia="zh-CN"/>
              </w:rPr>
            </w:pPr>
            <w:r>
              <w:rPr>
                <w:rFonts w:hint="default" w:ascii="Times New Roman" w:hAnsi="Times New Roman" w:eastAsia="方正仿宋_GBK" w:cs="Times New Roman"/>
                <w:color w:val="000000"/>
                <w:spacing w:val="-7"/>
                <w:kern w:val="0"/>
                <w:sz w:val="32"/>
                <w:szCs w:val="32"/>
              </w:rPr>
              <w:t>拟责令停产停业、责令关闭、限制从业、降低资质等级、吊销许可证件或者营业执照，经过听证程序的案件；</w:t>
            </w:r>
          </w:p>
        </w:tc>
        <w:tc>
          <w:tcPr>
            <w:tcW w:w="1082"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eastAsia" w:ascii="Times New Roman" w:hAnsi="Times New Roman" w:eastAsia="方正仿宋_GBK"/>
                <w:color w:val="000000"/>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default" w:ascii="Times New Roman" w:hAnsi="Times New Roman" w:eastAsia="方正仿宋_GBK"/>
                <w:color w:val="000000"/>
                <w:kern w:val="0"/>
                <w:sz w:val="32"/>
                <w:szCs w:val="32"/>
                <w:vertAlign w:val="baseline"/>
                <w:lang w:val="en-US" w:eastAsia="zh-CN"/>
              </w:rPr>
            </w:pPr>
            <w:r>
              <w:rPr>
                <w:rFonts w:hint="eastAsia" w:ascii="Times New Roman" w:hAnsi="Times New Roman" w:eastAsia="方正仿宋_GBK"/>
                <w:color w:val="000000"/>
                <w:kern w:val="0"/>
                <w:sz w:val="32"/>
                <w:szCs w:val="32"/>
                <w:vertAlign w:val="baseline"/>
                <w:lang w:val="en-US" w:eastAsia="zh-CN"/>
              </w:rPr>
              <w:t>4</w:t>
            </w:r>
          </w:p>
        </w:tc>
        <w:tc>
          <w:tcPr>
            <w:tcW w:w="6375" w:type="dxa"/>
          </w:tcPr>
          <w:p>
            <w:pPr>
              <w:pStyle w:val="2"/>
              <w:spacing w:line="592" w:lineRule="exact"/>
              <w:ind w:left="0" w:leftChars="0" w:firstLine="0" w:firstLineChars="0"/>
              <w:rPr>
                <w:rFonts w:hint="eastAsia" w:ascii="Times New Roman" w:hAnsi="Times New Roman" w:eastAsia="方正仿宋_GBK"/>
                <w:color w:val="000000"/>
                <w:kern w:val="0"/>
                <w:sz w:val="32"/>
                <w:szCs w:val="32"/>
                <w:vertAlign w:val="baseline"/>
                <w:lang w:eastAsia="zh-CN"/>
              </w:rPr>
            </w:pPr>
            <w:r>
              <w:rPr>
                <w:rFonts w:hint="default" w:ascii="Times New Roman" w:hAnsi="Times New Roman" w:eastAsia="方正仿宋_GBK" w:cs="Times New Roman"/>
                <w:color w:val="000000"/>
                <w:spacing w:val="-7"/>
                <w:kern w:val="0"/>
                <w:sz w:val="32"/>
                <w:szCs w:val="32"/>
              </w:rPr>
              <w:t>第</w:t>
            </w:r>
            <w:r>
              <w:rPr>
                <w:rFonts w:hint="eastAsia" w:ascii="Times New Roman" w:hAnsi="Times New Roman" w:eastAsia="方正仿宋_GBK" w:cs="Times New Roman"/>
                <w:color w:val="000000"/>
                <w:spacing w:val="-7"/>
                <w:kern w:val="0"/>
                <w:sz w:val="32"/>
                <w:szCs w:val="32"/>
                <w:lang w:eastAsia="zh-CN"/>
              </w:rPr>
              <w:t>（三）</w:t>
            </w:r>
            <w:r>
              <w:rPr>
                <w:rFonts w:hint="default" w:ascii="Times New Roman" w:hAnsi="Times New Roman" w:eastAsia="方正仿宋_GBK" w:cs="Times New Roman"/>
                <w:color w:val="000000"/>
                <w:spacing w:val="-7"/>
                <w:kern w:val="0"/>
                <w:sz w:val="32"/>
                <w:szCs w:val="32"/>
              </w:rPr>
              <w:t>项</w:t>
            </w:r>
            <w:r>
              <w:rPr>
                <w:rFonts w:hint="eastAsia" w:ascii="Times New Roman" w:hAnsi="Times New Roman" w:eastAsia="方正仿宋_GBK" w:cs="Times New Roman"/>
                <w:color w:val="000000"/>
                <w:spacing w:val="-7"/>
                <w:kern w:val="0"/>
                <w:sz w:val="32"/>
                <w:szCs w:val="32"/>
                <w:lang w:eastAsia="zh-CN"/>
              </w:rPr>
              <w:t>以外的</w:t>
            </w:r>
            <w:r>
              <w:rPr>
                <w:rFonts w:hint="default" w:ascii="Times New Roman" w:hAnsi="Times New Roman" w:eastAsia="方正仿宋_GBK" w:cs="Times New Roman"/>
                <w:color w:val="000000"/>
                <w:spacing w:val="-7"/>
                <w:kern w:val="0"/>
                <w:sz w:val="32"/>
                <w:szCs w:val="32"/>
              </w:rPr>
              <w:t>经过听证程序的案件</w:t>
            </w:r>
            <w:r>
              <w:rPr>
                <w:rFonts w:hint="default" w:ascii="Times New Roman" w:hAnsi="Times New Roman" w:eastAsia="方正仿宋_GBK" w:cs="Times New Roman"/>
                <w:color w:val="000000"/>
                <w:kern w:val="0"/>
                <w:sz w:val="32"/>
                <w:szCs w:val="32"/>
              </w:rPr>
              <w:t>；</w:t>
            </w:r>
          </w:p>
        </w:tc>
        <w:tc>
          <w:tcPr>
            <w:tcW w:w="1082"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eastAsia" w:ascii="Times New Roman" w:hAnsi="Times New Roman" w:eastAsia="方正仿宋_GBK"/>
                <w:color w:val="000000"/>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default" w:ascii="Times New Roman" w:hAnsi="Times New Roman" w:eastAsia="方正仿宋_GBK"/>
                <w:color w:val="000000"/>
                <w:kern w:val="0"/>
                <w:sz w:val="32"/>
                <w:szCs w:val="32"/>
                <w:vertAlign w:val="baseline"/>
                <w:lang w:val="en-US" w:eastAsia="zh-CN"/>
              </w:rPr>
            </w:pPr>
            <w:r>
              <w:rPr>
                <w:rFonts w:hint="eastAsia" w:ascii="Times New Roman" w:hAnsi="Times New Roman" w:eastAsia="方正仿宋_GBK"/>
                <w:color w:val="000000"/>
                <w:kern w:val="0"/>
                <w:sz w:val="32"/>
                <w:szCs w:val="32"/>
                <w:vertAlign w:val="baseline"/>
                <w:lang w:val="en-US" w:eastAsia="zh-CN"/>
              </w:rPr>
              <w:t>5</w:t>
            </w:r>
          </w:p>
        </w:tc>
        <w:tc>
          <w:tcPr>
            <w:tcW w:w="6375" w:type="dxa"/>
          </w:tcPr>
          <w:p>
            <w:pPr>
              <w:pStyle w:val="2"/>
              <w:spacing w:line="592" w:lineRule="exact"/>
              <w:ind w:left="0" w:leftChars="0" w:firstLine="0" w:firstLineChars="0"/>
              <w:rPr>
                <w:rFonts w:hint="eastAsia" w:ascii="Times New Roman" w:hAnsi="Times New Roman" w:eastAsia="方正仿宋_GBK"/>
                <w:color w:val="000000"/>
                <w:kern w:val="0"/>
                <w:sz w:val="32"/>
                <w:szCs w:val="32"/>
                <w:vertAlign w:val="baseline"/>
                <w:lang w:eastAsia="zh-CN"/>
              </w:rPr>
            </w:pPr>
            <w:r>
              <w:rPr>
                <w:rFonts w:hint="default" w:ascii="Times New Roman" w:hAnsi="Times New Roman" w:eastAsia="方正仿宋_GBK" w:cs="Times New Roman"/>
                <w:color w:val="000000"/>
                <w:spacing w:val="-7"/>
                <w:kern w:val="0"/>
                <w:sz w:val="32"/>
                <w:szCs w:val="32"/>
              </w:rPr>
              <w:t>案件情况疑难复杂、涉及多个法律关系的案件；</w:t>
            </w:r>
          </w:p>
        </w:tc>
        <w:tc>
          <w:tcPr>
            <w:tcW w:w="1082"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eastAsia" w:ascii="Times New Roman" w:hAnsi="Times New Roman" w:eastAsia="方正仿宋_GBK"/>
                <w:color w:val="000000"/>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default" w:ascii="Times New Roman" w:hAnsi="Times New Roman" w:eastAsia="方正仿宋_GBK"/>
                <w:color w:val="000000"/>
                <w:kern w:val="0"/>
                <w:sz w:val="32"/>
                <w:szCs w:val="32"/>
                <w:vertAlign w:val="baseline"/>
                <w:lang w:val="en-US" w:eastAsia="zh-CN"/>
              </w:rPr>
            </w:pPr>
            <w:r>
              <w:rPr>
                <w:rFonts w:hint="eastAsia" w:ascii="Times New Roman" w:hAnsi="Times New Roman" w:eastAsia="方正仿宋_GBK"/>
                <w:color w:val="000000"/>
                <w:kern w:val="0"/>
                <w:sz w:val="32"/>
                <w:szCs w:val="32"/>
                <w:vertAlign w:val="baseline"/>
                <w:lang w:val="en-US" w:eastAsia="zh-CN"/>
              </w:rPr>
              <w:t>6</w:t>
            </w:r>
          </w:p>
        </w:tc>
        <w:tc>
          <w:tcPr>
            <w:tcW w:w="6375" w:type="dxa"/>
          </w:tcPr>
          <w:p>
            <w:pPr>
              <w:pStyle w:val="2"/>
              <w:spacing w:line="592" w:lineRule="exact"/>
              <w:ind w:left="0" w:leftChars="0" w:firstLine="0" w:firstLineChars="0"/>
              <w:rPr>
                <w:rFonts w:hint="eastAsia" w:ascii="Times New Roman" w:hAnsi="Times New Roman" w:eastAsia="方正仿宋_GBK"/>
                <w:color w:val="000000"/>
                <w:kern w:val="0"/>
                <w:sz w:val="32"/>
                <w:szCs w:val="32"/>
                <w:vertAlign w:val="baseline"/>
                <w:lang w:eastAsia="zh-CN"/>
              </w:rPr>
            </w:pPr>
            <w:r>
              <w:rPr>
                <w:rFonts w:hint="default" w:ascii="Times New Roman" w:hAnsi="Times New Roman" w:eastAsia="方正仿宋_GBK" w:cs="Times New Roman"/>
                <w:color w:val="000000"/>
                <w:spacing w:val="-7"/>
                <w:kern w:val="0"/>
                <w:sz w:val="32"/>
                <w:szCs w:val="32"/>
              </w:rPr>
              <w:t>法律、法规规定应当进行法制审核的其他案件；</w:t>
            </w:r>
          </w:p>
        </w:tc>
        <w:tc>
          <w:tcPr>
            <w:tcW w:w="1082"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eastAsia" w:ascii="Times New Roman" w:hAnsi="Times New Roman" w:eastAsia="方正仿宋_GBK"/>
                <w:color w:val="000000"/>
                <w:kern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default" w:ascii="Times New Roman" w:hAnsi="Times New Roman" w:eastAsia="方正仿宋_GBK"/>
                <w:color w:val="000000"/>
                <w:kern w:val="0"/>
                <w:sz w:val="32"/>
                <w:szCs w:val="32"/>
                <w:vertAlign w:val="baseline"/>
                <w:lang w:val="en-US" w:eastAsia="zh-CN"/>
              </w:rPr>
            </w:pPr>
            <w:r>
              <w:rPr>
                <w:rFonts w:hint="eastAsia" w:ascii="Times New Roman" w:hAnsi="Times New Roman" w:eastAsia="方正仿宋_GBK"/>
                <w:color w:val="000000"/>
                <w:kern w:val="0"/>
                <w:sz w:val="32"/>
                <w:szCs w:val="32"/>
                <w:vertAlign w:val="baseline"/>
                <w:lang w:val="en-US" w:eastAsia="zh-CN"/>
              </w:rPr>
              <w:t>7</w:t>
            </w:r>
          </w:p>
        </w:tc>
        <w:tc>
          <w:tcPr>
            <w:tcW w:w="6375" w:type="dxa"/>
          </w:tcPr>
          <w:p>
            <w:pPr>
              <w:pStyle w:val="2"/>
              <w:spacing w:line="592" w:lineRule="exact"/>
              <w:ind w:left="0" w:leftChars="0" w:firstLine="0" w:firstLineChars="0"/>
              <w:rPr>
                <w:rFonts w:hint="eastAsia" w:ascii="Times New Roman" w:hAnsi="Times New Roman" w:eastAsia="方正仿宋_GBK"/>
                <w:color w:val="000000"/>
                <w:kern w:val="0"/>
                <w:sz w:val="32"/>
                <w:szCs w:val="32"/>
                <w:vertAlign w:val="baseline"/>
                <w:lang w:eastAsia="zh-CN"/>
              </w:rPr>
            </w:pPr>
            <w:r>
              <w:rPr>
                <w:rFonts w:hint="eastAsia" w:ascii="Times New Roman" w:hAnsi="Times New Roman" w:eastAsia="方正仿宋_GBK" w:cs="Times New Roman"/>
                <w:color w:val="000000"/>
                <w:spacing w:val="-7"/>
                <w:kern w:val="0"/>
                <w:sz w:val="32"/>
                <w:szCs w:val="32"/>
                <w:lang w:eastAsia="zh-CN"/>
              </w:rPr>
              <w:t>本局</w:t>
            </w:r>
            <w:r>
              <w:rPr>
                <w:rFonts w:hint="default" w:ascii="Times New Roman" w:hAnsi="Times New Roman" w:eastAsia="方正仿宋_GBK" w:cs="Times New Roman"/>
                <w:color w:val="000000"/>
                <w:spacing w:val="-7"/>
                <w:kern w:val="0"/>
                <w:sz w:val="32"/>
                <w:szCs w:val="32"/>
              </w:rPr>
              <w:t>主要负责人、分管执法办案工作或者分管法制工作的负责人认为应当进行法制审核的案件。</w:t>
            </w:r>
          </w:p>
        </w:tc>
        <w:tc>
          <w:tcPr>
            <w:tcW w:w="1082" w:type="dxa"/>
          </w:tcPr>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right="0" w:rightChars="0"/>
              <w:jc w:val="both"/>
              <w:textAlignment w:val="auto"/>
              <w:outlineLvl w:val="9"/>
              <w:rPr>
                <w:rFonts w:hint="eastAsia" w:ascii="Times New Roman" w:hAnsi="Times New Roman" w:eastAsia="方正仿宋_GBK"/>
                <w:color w:val="000000"/>
                <w:kern w:val="0"/>
                <w:sz w:val="32"/>
                <w:szCs w:val="32"/>
                <w:vertAlign w:val="baseline"/>
                <w:lang w:eastAsia="zh-CN"/>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right="0" w:rightChars="0" w:firstLine="640" w:firstLineChars="200"/>
        <w:jc w:val="both"/>
        <w:textAlignment w:val="auto"/>
        <w:outlineLvl w:val="9"/>
        <w:rPr>
          <w:rFonts w:hint="eastAsia" w:ascii="Times New Roman" w:hAnsi="Times New Roman" w:eastAsia="方正仿宋_GBK"/>
          <w:color w:val="000000"/>
          <w:kern w:val="0"/>
          <w:sz w:val="32"/>
          <w:szCs w:val="32"/>
          <w:lang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92" w:lineRule="exact"/>
        <w:ind w:left="0" w:leftChars="0" w:right="0" w:rightChars="0" w:firstLine="640" w:firstLineChars="200"/>
        <w:jc w:val="both"/>
        <w:textAlignment w:val="auto"/>
        <w:outlineLvl w:val="9"/>
        <w:rPr>
          <w:rFonts w:hint="default" w:ascii="Times New Roman" w:hAnsi="Times New Roman" w:eastAsia="方正仿宋_GBK"/>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0YWMyZGI0NjA3Mjc1OTIxOGNiZmQ1NzVlNTNjYzkifQ=="/>
  </w:docVars>
  <w:rsids>
    <w:rsidRoot w:val="00000000"/>
    <w:rsid w:val="606A27E4"/>
    <w:rsid w:val="6E52019D"/>
    <w:rsid w:val="7F807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pPr>
    <w:rPr>
      <w:rFonts w:ascii="仿宋" w:hAnsi="仿宋" w:eastAsia="仿宋"/>
      <w:sz w:val="30"/>
      <w:szCs w:val="30"/>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2024-02-29T08:33:00Z</dcterms:created>
  <dc:creator>Administrator</dc:creator>
  <cp:lastModifiedBy>Administrator</cp:lastModifiedBy>
  <dcterms:modified xsi:type="dcterms:W3CDTF">2024-02-29T10:11:50Z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9DB1E9C3C35B471D8762BC7CB63A4114_12</vt:lpwstr>
  </property>
</Properties>
</file>