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b/>
          <w:bCs/>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lang w:eastAsia="zh-CN"/>
        </w:rPr>
      </w:pPr>
      <w:r>
        <w:rPr>
          <w:rFonts w:hint="eastAsia" w:eastAsia="方正小标宋_GBK"/>
          <w:sz w:val="44"/>
          <w:szCs w:val="44"/>
          <w:lang w:eastAsia="zh-CN"/>
        </w:rPr>
        <w:t>丰都县人力资源和社会保障局</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关于进一步放宽卫生专业技术人员职称申报</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条件的通知</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rPr>
      </w:pPr>
    </w:p>
    <w:p>
      <w:pPr>
        <w:spacing w:line="700" w:lineRule="exact"/>
        <w:jc w:val="center"/>
        <w:rPr>
          <w:rFonts w:hint="eastAsia" w:eastAsia="方正仿宋_GBK" w:cs="宋体"/>
          <w:kern w:val="0"/>
          <w:sz w:val="32"/>
          <w:szCs w:val="32"/>
          <w:lang w:bidi="ar-SA"/>
        </w:rPr>
      </w:pPr>
      <w:r>
        <w:rPr>
          <w:rFonts w:hint="eastAsia" w:eastAsia="方正仿宋_GBK" w:cs="宋体"/>
          <w:kern w:val="0"/>
          <w:sz w:val="32"/>
          <w:szCs w:val="32"/>
          <w:lang w:bidi="ar-SA"/>
        </w:rPr>
        <w:t>丰人社发〔2020〕80号</w:t>
      </w:r>
    </w:p>
    <w:p>
      <w:pPr>
        <w:spacing w:line="700" w:lineRule="exact"/>
        <w:jc w:val="both"/>
        <w:rPr>
          <w:rFonts w:hint="eastAsia" w:eastAsia="方正仿宋_GBK" w:cs="宋体"/>
          <w:kern w:val="0"/>
          <w:sz w:val="32"/>
          <w:szCs w:val="32"/>
          <w:lang w:bidi="ar-SA"/>
        </w:rPr>
      </w:pPr>
      <w:bookmarkStart w:id="0" w:name="_GoBack"/>
      <w:bookmarkEnd w:id="0"/>
    </w:p>
    <w:p>
      <w:pPr>
        <w:spacing w:line="700" w:lineRule="exact"/>
        <w:rPr>
          <w:rFonts w:hint="eastAsia" w:eastAsia="方正仿宋_GBK" w:cs="宋体"/>
          <w:kern w:val="0"/>
          <w:sz w:val="32"/>
          <w:szCs w:val="32"/>
          <w:lang w:bidi="ar-SA"/>
        </w:rPr>
      </w:pPr>
      <w:r>
        <w:rPr>
          <w:rFonts w:hint="eastAsia" w:eastAsia="方正仿宋_GBK" w:cs="宋体"/>
          <w:kern w:val="0"/>
          <w:sz w:val="32"/>
          <w:szCs w:val="32"/>
          <w:lang w:bidi="ar-SA"/>
        </w:rPr>
        <w:t>各乡镇党委、政府，各街道党工委、办事处，县委各部委，县级各部门，各企事业单位：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cs="仿宋_GB2312"/>
          <w:sz w:val="32"/>
          <w:szCs w:val="32"/>
          <w:lang w:bidi="ar-SA"/>
        </w:rPr>
        <w:t>按照《丰都县落实中央脱贫攻坚专项巡视</w:t>
      </w:r>
      <w:r>
        <w:rPr>
          <w:rFonts w:hint="eastAsia" w:eastAsia="方正仿宋_GBK" w:cs="仿宋_GB2312"/>
          <w:sz w:val="32"/>
          <w:szCs w:val="32"/>
          <w:lang w:bidi="ar-SA"/>
        </w:rPr>
        <w:t>“回头看”</w:t>
      </w:r>
      <w:r>
        <w:rPr>
          <w:rFonts w:eastAsia="方正仿宋_GBK" w:cs="仿宋_GB2312"/>
          <w:sz w:val="32"/>
          <w:szCs w:val="32"/>
          <w:lang w:bidi="ar-SA"/>
        </w:rPr>
        <w:t>和国家脱贫攻坚成效考核反馈意见整改工作方案》要求，进一步取消贫困区县卫生专业技术人员申报评审高级职称计算机、外语条件，落实学历放宽至中专，并适当放宽论文、科研条件政策。根据</w:t>
      </w:r>
      <w:r>
        <w:rPr>
          <w:rFonts w:hint="eastAsia" w:eastAsia="方正仿宋_GBK" w:cs="仿宋_GB2312"/>
          <w:sz w:val="32"/>
          <w:szCs w:val="32"/>
          <w:lang w:bidi="ar-SA"/>
        </w:rPr>
        <w:t>《</w:t>
      </w:r>
      <w:r>
        <w:rPr>
          <w:rFonts w:eastAsia="方正仿宋_GBK" w:cs="仿宋_GB2312"/>
          <w:sz w:val="32"/>
          <w:szCs w:val="32"/>
          <w:lang w:bidi="ar-SA"/>
        </w:rPr>
        <w:t>重庆市人力资源和社会保障局</w:t>
      </w:r>
      <w:r>
        <w:rPr>
          <w:rFonts w:hint="eastAsia" w:eastAsia="方正仿宋_GBK" w:cs="仿宋_GB2312"/>
          <w:sz w:val="32"/>
          <w:szCs w:val="32"/>
          <w:lang w:bidi="ar-SA"/>
        </w:rPr>
        <w:t>关于调整全市职称外语和计算机考试政策的通知》（渝人社发〔2017〕67号）和《重庆市基层医疗卫生机构</w:t>
      </w:r>
      <w:r>
        <w:rPr>
          <w:rFonts w:eastAsia="方正仿宋_GBK" w:cs="仿宋_GB2312"/>
          <w:sz w:val="32"/>
          <w:szCs w:val="32"/>
          <w:lang w:bidi="ar-SA"/>
        </w:rPr>
        <w:t>全科</w:t>
      </w:r>
      <w:r>
        <w:rPr>
          <w:rFonts w:hint="eastAsia" w:eastAsia="方正仿宋_GBK" w:cs="仿宋_GB2312"/>
          <w:sz w:val="32"/>
          <w:szCs w:val="32"/>
          <w:lang w:bidi="ar-SA"/>
        </w:rPr>
        <w:t>医生职称评聘办法》（渝人社发〔2015〕132号）精神，</w:t>
      </w:r>
      <w:r>
        <w:rPr>
          <w:rFonts w:eastAsia="方正仿宋_GBK" w:cs="仿宋_GB2312"/>
          <w:sz w:val="32"/>
          <w:szCs w:val="32"/>
          <w:lang w:bidi="ar-SA"/>
        </w:rPr>
        <w:t>结合我县实际，现就进一步放宽卫生专业技术人员职称申报条件具体政策明确如下，</w:t>
      </w:r>
      <w:r>
        <w:rPr>
          <w:rFonts w:hint="eastAsia" w:eastAsia="方正仿宋_GBK" w:cs="仿宋_GB2312"/>
          <w:sz w:val="32"/>
          <w:szCs w:val="32"/>
          <w:lang w:bidi="ar-SA"/>
        </w:rPr>
        <w:t>请认真贯彻执行</w:t>
      </w:r>
      <w:r>
        <w:rPr>
          <w:rFonts w:eastAsia="方正仿宋_GBK" w:cs="仿宋_GB2312"/>
          <w:sz w:val="32"/>
          <w:szCs w:val="32"/>
          <w:lang w:bidi="ar-SA"/>
        </w:rPr>
        <w:t>，结合整改要求，进一步放宽职称评聘条件</w:t>
      </w:r>
      <w:r>
        <w:rPr>
          <w:rFonts w:hint="eastAsia" w:eastAsia="方正仿宋_GBK" w:cs="仿宋_GB2312"/>
          <w:sz w:val="32"/>
          <w:szCs w:val="32"/>
          <w:lang w:bidi="ar-SA"/>
        </w:rPr>
        <w:t>。</w:t>
      </w:r>
      <w:r>
        <w:rPr>
          <w:rFonts w:eastAsia="方正仿宋_GBK" w:cs="仿宋_GB2312"/>
          <w:sz w:val="32"/>
          <w:szCs w:val="32"/>
          <w:lang w:bidi="ar-SA"/>
        </w:rPr>
        <w:t>确保高质量完成整改任务。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lang w:bidi="ar-SA"/>
        </w:rPr>
      </w:pPr>
      <w:r>
        <w:rPr>
          <w:rFonts w:eastAsia="方正仿宋_GBK" w:cs="仿宋_GB2312"/>
          <w:sz w:val="32"/>
          <w:szCs w:val="32"/>
          <w:lang w:bidi="ar-SA"/>
        </w:rPr>
        <w:t>一、</w:t>
      </w:r>
      <w:r>
        <w:rPr>
          <w:rFonts w:eastAsia="方正仿宋_GBK"/>
          <w:sz w:val="32"/>
          <w:szCs w:val="32"/>
          <w:lang w:bidi="ar-SA"/>
        </w:rPr>
        <w:t>全县卫生专业技术人员</w:t>
      </w:r>
      <w:r>
        <w:rPr>
          <w:rFonts w:hint="eastAsia" w:eastAsia="方正仿宋_GBK"/>
          <w:sz w:val="32"/>
          <w:szCs w:val="32"/>
          <w:lang w:bidi="ar-SA"/>
        </w:rPr>
        <w:t>（高校、科研单位和三甲医院除外）</w:t>
      </w:r>
      <w:r>
        <w:rPr>
          <w:rFonts w:eastAsia="方正仿宋_GBK"/>
          <w:sz w:val="32"/>
          <w:szCs w:val="32"/>
          <w:lang w:bidi="ar-SA"/>
        </w:rPr>
        <w:t>和</w:t>
      </w:r>
      <w:r>
        <w:rPr>
          <w:rFonts w:hint="eastAsia" w:eastAsia="方正仿宋_GBK"/>
          <w:sz w:val="32"/>
          <w:szCs w:val="32"/>
          <w:lang w:bidi="ar-SA"/>
        </w:rPr>
        <w:t>乡镇、街道</w:t>
      </w:r>
      <w:r>
        <w:rPr>
          <w:rFonts w:eastAsia="方正仿宋_GBK"/>
          <w:sz w:val="32"/>
          <w:szCs w:val="32"/>
          <w:lang w:bidi="ar-SA"/>
        </w:rPr>
        <w:t>卫生医疗机构专业技术人员不作职称外语和计算机应用能力要求。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r>
        <w:rPr>
          <w:rFonts w:eastAsia="方正仿宋_GBK"/>
          <w:sz w:val="32"/>
          <w:szCs w:val="32"/>
          <w:lang w:bidi="ar-SA"/>
        </w:rPr>
        <w:t xml:space="preserve">    二、</w:t>
      </w:r>
      <w:r>
        <w:rPr>
          <w:rFonts w:eastAsia="方正仿宋_GBK"/>
          <w:sz w:val="32"/>
          <w:szCs w:val="32"/>
        </w:rPr>
        <w:t>在基层医疗卫生机构工作的全科医生，可提前1年申报评审重庆市全科医生（基层）高级（含副高、正高）职称。对于达不到规定学历的全科医生，具备中专学历且在基层医疗卫生机构从事专业技术工作满20年，可申报全科医生（基层）副高级职称；具备中专或大专学历且在基层医疗卫生机构从事专业技术工作分别满30年或25年，可申报</w:t>
      </w:r>
      <w:r>
        <w:rPr>
          <w:rFonts w:hint="eastAsia" w:eastAsia="方正仿宋_GBK"/>
          <w:sz w:val="32"/>
          <w:szCs w:val="32"/>
        </w:rPr>
        <w:t>评审</w:t>
      </w:r>
      <w:r>
        <w:rPr>
          <w:rFonts w:eastAsia="方正仿宋_GBK"/>
          <w:sz w:val="32"/>
          <w:szCs w:val="32"/>
        </w:rPr>
        <w:t>全科医生（基层）正高级职称。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三、基层医疗卫生机构全科医生评聘各级专业技术职务，免考职称外语和计算机，不作科研和论文要求。</w:t>
      </w:r>
    </w:p>
    <w:p>
      <w:pPr>
        <w:spacing w:line="700" w:lineRule="exact"/>
        <w:ind w:firstLine="3200" w:firstLineChars="1000"/>
        <w:rPr>
          <w:rFonts w:hint="eastAsia"/>
          <w:sz w:val="32"/>
          <w:szCs w:val="32"/>
          <w:lang w:val="en-US" w:eastAsia="zh-CN"/>
        </w:rPr>
      </w:pPr>
      <w:r>
        <w:rPr>
          <w:rFonts w:hint="eastAsia" w:eastAsia="方正仿宋_GBK"/>
          <w:sz w:val="32"/>
          <w:szCs w:val="32"/>
        </w:rPr>
        <w:t xml:space="preserve">  </w:t>
      </w:r>
      <w:r>
        <w:rPr>
          <w:rFonts w:eastAsia="方正仿宋_GBK"/>
          <w:sz w:val="32"/>
          <w:szCs w:val="32"/>
        </w:rPr>
        <w:t xml:space="preserve"> </w:t>
      </w:r>
      <w:r>
        <w:rPr>
          <w:rFonts w:hint="eastAsia"/>
          <w:sz w:val="32"/>
          <w:szCs w:val="32"/>
          <w:lang w:val="en-US" w:eastAsia="zh-CN"/>
        </w:rPr>
        <w:t xml:space="preserve">   </w:t>
      </w:r>
    </w:p>
    <w:p>
      <w:pPr>
        <w:spacing w:line="700" w:lineRule="exact"/>
        <w:jc w:val="right"/>
        <w:rPr>
          <w:rFonts w:eastAsia="方正仿宋_GBK" w:cs="仿宋_GB2312"/>
          <w:sz w:val="32"/>
          <w:szCs w:val="32"/>
          <w:lang w:bidi="ar-SA"/>
        </w:rPr>
      </w:pPr>
      <w:r>
        <w:rPr>
          <w:rFonts w:hint="eastAsia" w:eastAsia="方正仿宋_GBK"/>
          <w:sz w:val="32"/>
          <w:szCs w:val="32"/>
        </w:rPr>
        <w:t>丰都县人力资源和社会保障局</w:t>
      </w:r>
    </w:p>
    <w:p>
      <w:pPr>
        <w:widowControl/>
        <w:spacing w:beforeAutospacing="0" w:after="150" w:afterAutospacing="0" w:line="600" w:lineRule="atLeast"/>
        <w:ind w:firstLine="645"/>
        <w:jc w:val="center"/>
        <w:rPr>
          <w:rFonts w:hint="eastAsia" w:ascii="方正仿宋_GBK" w:hAnsi="方正仿宋_GBK" w:eastAsia="方正仿宋_GBK" w:cs="方正仿宋_GBK"/>
          <w:sz w:val="32"/>
          <w:szCs w:val="32"/>
        </w:rPr>
      </w:pPr>
      <w:r>
        <w:rPr>
          <w:rFonts w:hint="eastAsia"/>
          <w:sz w:val="32"/>
          <w:szCs w:val="32"/>
          <w:lang w:val="en-US" w:eastAsia="zh-CN"/>
        </w:rPr>
        <w:t xml:space="preserve">                            </w:t>
      </w:r>
      <w:r>
        <w:rPr>
          <w:rFonts w:hint="eastAsia" w:eastAsia="方正仿宋_GBK"/>
          <w:sz w:val="32"/>
          <w:szCs w:val="32"/>
        </w:rPr>
        <w:t>20</w:t>
      </w:r>
      <w:r>
        <w:rPr>
          <w:rFonts w:eastAsia="方正仿宋_GBK"/>
          <w:sz w:val="32"/>
          <w:szCs w:val="32"/>
        </w:rPr>
        <w:t>20</w:t>
      </w:r>
      <w:r>
        <w:rPr>
          <w:rFonts w:hint="eastAsia" w:eastAsia="方正仿宋_GBK"/>
          <w:sz w:val="32"/>
          <w:szCs w:val="32"/>
        </w:rPr>
        <w:t>年</w:t>
      </w:r>
      <w:r>
        <w:rPr>
          <w:rFonts w:hint="eastAsia"/>
          <w:sz w:val="32"/>
          <w:szCs w:val="32"/>
          <w:lang w:val="en-US" w:eastAsia="zh-CN"/>
        </w:rPr>
        <w:t>8</w:t>
      </w:r>
      <w:r>
        <w:rPr>
          <w:rFonts w:hint="eastAsia" w:eastAsia="方正仿宋_GBK"/>
          <w:sz w:val="32"/>
          <w:szCs w:val="32"/>
        </w:rPr>
        <w:t>月</w:t>
      </w:r>
      <w:r>
        <w:rPr>
          <w:rFonts w:hint="eastAsia"/>
          <w:sz w:val="32"/>
          <w:szCs w:val="32"/>
          <w:lang w:val="en-US" w:eastAsia="zh-CN"/>
        </w:rPr>
        <w:t>19</w:t>
      </w:r>
      <w:r>
        <w:rPr>
          <w:rFonts w:hint="eastAsia" w:eastAsia="方正仿宋_GBK"/>
          <w:sz w:val="32"/>
          <w:szCs w:val="32"/>
        </w:rPr>
        <w:t>日</w:t>
      </w:r>
      <w:r>
        <w:rPr>
          <w:rFonts w:hint="eastAsia" w:ascii="方正仿宋_GBK" w:hAnsi="方正仿宋_GBK" w:eastAsia="方正仿宋_GBK" w:cs="方正仿宋_GBK"/>
          <w:sz w:val="32"/>
          <w:szCs w:val="32"/>
        </w:rPr>
        <w:t>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eastAsia="方正仿宋_GBK"/>
          <w:sz w:val="32"/>
          <w:szCs w:val="32"/>
        </w:rPr>
      </w:pPr>
    </w:p>
    <w:p>
      <w:pPr>
        <w:spacing w:line="700" w:lineRule="exact"/>
        <w:jc w:val="both"/>
        <w:rPr>
          <w:rFonts w:hint="eastAsia" w:eastAsia="方正仿宋_GBK"/>
          <w:sz w:val="32"/>
          <w:szCs w:val="32"/>
        </w:rPr>
      </w:pPr>
      <w:r>
        <w:rPr>
          <w:rFonts w:hint="eastAsia" w:eastAsia="方正仿宋_GBK"/>
          <w:sz w:val="32"/>
          <w:szCs w:val="32"/>
          <w:lang w:val="en-US" w:eastAsia="zh-CN"/>
        </w:rPr>
        <w:t>（此件公开发布）</w:t>
      </w: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rPr>
      </w:pPr>
    </w:p>
    <w:sectPr>
      <w:footerReference r:id="rId5" w:type="default"/>
      <w:footerReference r:id="rId6" w:type="even"/>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B61D83"/>
    <w:rsid w:val="05DC76C0"/>
    <w:rsid w:val="0820659F"/>
    <w:rsid w:val="118C697C"/>
    <w:rsid w:val="135B130A"/>
    <w:rsid w:val="153A4CB8"/>
    <w:rsid w:val="17986E4C"/>
    <w:rsid w:val="1BC03E50"/>
    <w:rsid w:val="25535CDC"/>
    <w:rsid w:val="262D6296"/>
    <w:rsid w:val="28232B38"/>
    <w:rsid w:val="2D094E21"/>
    <w:rsid w:val="328A38FB"/>
    <w:rsid w:val="3AB20060"/>
    <w:rsid w:val="3CB77B48"/>
    <w:rsid w:val="3D093051"/>
    <w:rsid w:val="3DCB4E17"/>
    <w:rsid w:val="428A4A90"/>
    <w:rsid w:val="49795D1C"/>
    <w:rsid w:val="543541C6"/>
    <w:rsid w:val="544D5FC7"/>
    <w:rsid w:val="544F3263"/>
    <w:rsid w:val="58280538"/>
    <w:rsid w:val="59EA4D7A"/>
    <w:rsid w:val="5E104308"/>
    <w:rsid w:val="60B26345"/>
    <w:rsid w:val="62721782"/>
    <w:rsid w:val="65F35C6E"/>
    <w:rsid w:val="67B600EF"/>
    <w:rsid w:val="67ED25B2"/>
    <w:rsid w:val="6B532367"/>
    <w:rsid w:val="6B78242E"/>
    <w:rsid w:val="6C97002E"/>
    <w:rsid w:val="752A081C"/>
    <w:rsid w:val="77615D65"/>
    <w:rsid w:val="78B6163A"/>
    <w:rsid w:val="79F90F3A"/>
    <w:rsid w:val="7A0F0FDE"/>
    <w:rsid w:val="7C007C7E"/>
    <w:rsid w:val="D7EEF292"/>
    <w:rsid w:val="FEFF4C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10</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2017-01-07T06:32:00Z</dcterms:created>
  <dc:creator>办公室</dc:creator>
  <cp:lastModifiedBy>fengdu</cp:lastModifiedBy>
  <cp:lastPrinted>2016-07-08T01:53:00Z</cp:lastPrinted>
  <dcterms:modified xsi:type="dcterms:W3CDTF">2023-12-21T10:08:55Z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