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jc w:val="center"/>
      </w:pPr>
      <w:r>
        <w:rPr>
          <w:rFonts w:hint="eastAsia"/>
          <w:sz w:val="54"/>
          <w:szCs w:val="54"/>
        </w:rPr>
        <w:t>重庆市丰都县人力资源和社会保障局（本级）</w:t>
      </w:r>
    </w:p>
    <w:p>
      <w:pPr>
        <w:pStyle w:val="4"/>
        <w:shd w:val="clear" w:color="auto" w:fill="FFFFFF"/>
        <w:jc w:val="center"/>
        <w:rPr>
          <w:rFonts w:hint="eastAsia"/>
        </w:rPr>
      </w:pPr>
      <w:r>
        <w:rPr>
          <w:rFonts w:hint="eastAsia"/>
          <w:sz w:val="54"/>
          <w:szCs w:val="54"/>
        </w:rPr>
        <w:t>2021年度部门决算情况说明</w:t>
      </w:r>
    </w:p>
    <w:p>
      <w:pPr>
        <w:pStyle w:val="4"/>
        <w:shd w:val="clear" w:color="auto" w:fill="FFFFFF"/>
        <w:rPr>
          <w:rFonts w:hint="eastAsia"/>
        </w:rPr>
      </w:pPr>
      <w:r>
        <w:rPr>
          <w:rStyle w:val="7"/>
          <w:rFonts w:hint="eastAsia"/>
          <w:sz w:val="33"/>
          <w:szCs w:val="33"/>
        </w:rPr>
        <w:t>  一、部门基本情况</w:t>
      </w:r>
    </w:p>
    <w:p>
      <w:pPr>
        <w:pStyle w:val="4"/>
        <w:shd w:val="clear" w:color="auto" w:fill="FFFFFF"/>
        <w:rPr>
          <w:rFonts w:hint="eastAsia"/>
        </w:rPr>
      </w:pPr>
      <w:r>
        <w:rPr>
          <w:rStyle w:val="7"/>
          <w:rFonts w:hint="eastAsia"/>
          <w:sz w:val="27"/>
          <w:szCs w:val="27"/>
        </w:rPr>
        <w:t>  （一）职能职责。</w:t>
      </w:r>
    </w:p>
    <w:p>
      <w:pPr>
        <w:pStyle w:val="4"/>
        <w:snapToGrid w:val="0"/>
        <w:spacing w:before="0" w:beforeAutospacing="0" w:after="0" w:afterAutospacing="0" w:line="600" w:lineRule="exact"/>
        <w:ind w:firstLine="540" w:firstLineChars="200"/>
        <w:rPr>
          <w:rFonts w:hint="eastAsia" w:ascii="Times New Roman" w:hAnsi="Times New Roman" w:cs="Times New Roman"/>
        </w:rPr>
      </w:pPr>
      <w:r>
        <w:rPr>
          <w:rFonts w:hint="eastAsia"/>
          <w:color w:val="FF0000"/>
          <w:sz w:val="27"/>
          <w:szCs w:val="27"/>
        </w:rPr>
        <w:t> </w:t>
      </w:r>
      <w:r>
        <w:rPr>
          <w:rFonts w:ascii="Times New Roman" w:hAnsi="Times New Roman" w:cs="Times New Roman"/>
          <w:sz w:val="27"/>
          <w:szCs w:val="27"/>
        </w:rPr>
        <w:t>1</w:t>
      </w:r>
      <w:r>
        <w:rPr>
          <w:rFonts w:hint="eastAsia" w:ascii="Times New Roman" w:cs="Times New Roman"/>
          <w:sz w:val="27"/>
          <w:szCs w:val="27"/>
        </w:rPr>
        <w:t>、贯彻执行人力资源和社会保障法律、法规、规章和方针政策；拟订人力资源和社会保障事业发展规划、政策措施，并组织实施和监督检查；拟订机构改革人员定岗和分流政策。</w:t>
      </w:r>
    </w:p>
    <w:p>
      <w:pPr>
        <w:snapToGrid w:val="0"/>
        <w:spacing w:line="600" w:lineRule="exact"/>
        <w:ind w:firstLine="540" w:firstLineChars="200"/>
        <w:rPr>
          <w:rFonts w:ascii="Times New Roman" w:hAnsi="Times New Roman" w:cs="Times New Roman"/>
          <w:sz w:val="27"/>
          <w:szCs w:val="27"/>
        </w:rPr>
      </w:pPr>
      <w:r>
        <w:rPr>
          <w:rFonts w:ascii="Times New Roman" w:hAnsi="Times New Roman" w:cs="Times New Roman"/>
          <w:sz w:val="27"/>
          <w:szCs w:val="27"/>
        </w:rPr>
        <w:t>2</w:t>
      </w:r>
      <w:r>
        <w:rPr>
          <w:rFonts w:hint="eastAsia" w:ascii="Times New Roman" w:cs="Times New Roman"/>
          <w:sz w:val="27"/>
          <w:szCs w:val="27"/>
        </w:rPr>
        <w:t>、拟订人力资源市场发展规划和人力资源流动政策，建立统一规范的人力资源市场，促进人力资源合理流动、有效配置；综合管理人力资源市场和流动调配工作；负责人才开发和管理工作。</w:t>
      </w:r>
    </w:p>
    <w:p>
      <w:pPr>
        <w:snapToGrid w:val="0"/>
        <w:spacing w:line="600" w:lineRule="exact"/>
        <w:ind w:firstLine="540" w:firstLineChars="200"/>
        <w:rPr>
          <w:rFonts w:ascii="Times New Roman" w:hAnsi="Times New Roman" w:cs="Times New Roman"/>
          <w:sz w:val="27"/>
          <w:szCs w:val="27"/>
        </w:rPr>
      </w:pPr>
      <w:r>
        <w:rPr>
          <w:rFonts w:ascii="Times New Roman" w:hAnsi="Times New Roman" w:cs="Times New Roman"/>
          <w:sz w:val="27"/>
          <w:szCs w:val="27"/>
        </w:rPr>
        <w:t>3</w:t>
      </w:r>
      <w:r>
        <w:rPr>
          <w:rFonts w:hint="eastAsia" w:ascii="Times New Roman" w:cs="Times New Roman"/>
          <w:sz w:val="27"/>
          <w:szCs w:val="27"/>
        </w:rPr>
        <w:t>、负责促进就业工作，拟订统筹城乡的就业发展规划和政策措施，完善公共就业服务体系；牵头组织实施就业援助制度；牵头拟订高校毕业生就业政策措施；拟订国（境）外人员在本县的就业管理政策措施。</w:t>
      </w:r>
    </w:p>
    <w:p>
      <w:pPr>
        <w:snapToGrid w:val="0"/>
        <w:spacing w:line="600" w:lineRule="exact"/>
        <w:ind w:firstLine="540" w:firstLineChars="200"/>
        <w:rPr>
          <w:rFonts w:ascii="Times New Roman" w:hAnsi="Times New Roman" w:cs="Times New Roman"/>
          <w:sz w:val="27"/>
          <w:szCs w:val="27"/>
        </w:rPr>
      </w:pPr>
      <w:r>
        <w:rPr>
          <w:rFonts w:ascii="Times New Roman" w:hAnsi="Times New Roman" w:cs="Times New Roman"/>
          <w:sz w:val="27"/>
          <w:szCs w:val="27"/>
        </w:rPr>
        <w:t>4</w:t>
      </w:r>
      <w:r>
        <w:rPr>
          <w:rFonts w:hint="eastAsia" w:ascii="Times New Roman" w:cs="Times New Roman"/>
          <w:sz w:val="27"/>
          <w:szCs w:val="27"/>
        </w:rPr>
        <w:t>、负责国（境）外人才、智力引进以及人力资源和社会保障领域的地区、国际交流与合作工作，组织协调相关涉外业务技术合作和人才交流；负责出国（境）</w:t>
      </w:r>
      <w:r>
        <w:rPr>
          <w:rFonts w:ascii="Times New Roman" w:hAnsi="Times New Roman" w:cs="Times New Roman"/>
          <w:sz w:val="27"/>
          <w:szCs w:val="27"/>
        </w:rPr>
        <w:t xml:space="preserve"> </w:t>
      </w:r>
      <w:r>
        <w:rPr>
          <w:rFonts w:hint="eastAsia" w:ascii="Times New Roman" w:cs="Times New Roman"/>
          <w:sz w:val="27"/>
          <w:szCs w:val="27"/>
        </w:rPr>
        <w:t>培训工作。</w:t>
      </w:r>
    </w:p>
    <w:p>
      <w:pPr>
        <w:snapToGrid w:val="0"/>
        <w:spacing w:line="600" w:lineRule="exact"/>
        <w:ind w:firstLine="540" w:firstLineChars="200"/>
        <w:rPr>
          <w:rFonts w:ascii="Times New Roman" w:hAnsi="Times New Roman" w:cs="Times New Roman"/>
          <w:sz w:val="27"/>
          <w:szCs w:val="27"/>
        </w:rPr>
      </w:pPr>
      <w:r>
        <w:rPr>
          <w:rFonts w:ascii="Times New Roman" w:hAnsi="Times New Roman" w:cs="Times New Roman"/>
          <w:sz w:val="27"/>
          <w:szCs w:val="27"/>
        </w:rPr>
        <w:t>5</w:t>
      </w:r>
      <w:r>
        <w:rPr>
          <w:rFonts w:hint="eastAsia" w:ascii="Times New Roman" w:cs="Times New Roman"/>
          <w:sz w:val="27"/>
          <w:szCs w:val="27"/>
        </w:rPr>
        <w:t>、负责职业能力建设，拟订城乡劳动者职业培训和高技能人才、农村实用人才培养和激励办法；拟订技工学校、职业培训机构、职业技能鉴定机构发展规划并负责管理和监督；贯彻实施职（执）业资格制度，统筹建立面向城乡劳动者的职业培训制度。</w:t>
      </w:r>
    </w:p>
    <w:p>
      <w:pPr>
        <w:snapToGrid w:val="0"/>
        <w:spacing w:line="600" w:lineRule="exact"/>
        <w:ind w:firstLine="540" w:firstLineChars="200"/>
        <w:rPr>
          <w:rFonts w:ascii="Times New Roman" w:hAnsi="Times New Roman" w:cs="Times New Roman"/>
          <w:sz w:val="27"/>
          <w:szCs w:val="27"/>
        </w:rPr>
      </w:pPr>
      <w:r>
        <w:rPr>
          <w:rFonts w:ascii="Times New Roman" w:hAnsi="Times New Roman" w:cs="Times New Roman"/>
          <w:sz w:val="27"/>
          <w:szCs w:val="27"/>
        </w:rPr>
        <w:t>6</w:t>
      </w:r>
      <w:r>
        <w:rPr>
          <w:rFonts w:hint="eastAsia" w:ascii="Times New Roman" w:cs="Times New Roman"/>
          <w:sz w:val="27"/>
          <w:szCs w:val="27"/>
        </w:rPr>
        <w:t>、统筹建立覆盖城乡的社会保障体系，负责城乡社会保险及其补充保险政策的组织实施工作；承担社会保险及其补充保险基金行政监督责任。</w:t>
      </w:r>
    </w:p>
    <w:p>
      <w:pPr>
        <w:snapToGrid w:val="0"/>
        <w:spacing w:line="600" w:lineRule="exact"/>
        <w:ind w:firstLine="540" w:firstLineChars="200"/>
        <w:rPr>
          <w:rFonts w:ascii="Times New Roman" w:hAnsi="Times New Roman" w:cs="Times New Roman"/>
          <w:sz w:val="27"/>
          <w:szCs w:val="27"/>
        </w:rPr>
      </w:pPr>
      <w:r>
        <w:rPr>
          <w:rFonts w:ascii="Times New Roman" w:hAnsi="Times New Roman" w:cs="Times New Roman"/>
          <w:sz w:val="27"/>
          <w:szCs w:val="27"/>
        </w:rPr>
        <w:t>7</w:t>
      </w:r>
      <w:r>
        <w:rPr>
          <w:rFonts w:hint="eastAsia" w:ascii="Times New Roman" w:cs="Times New Roman"/>
          <w:sz w:val="27"/>
          <w:szCs w:val="27"/>
        </w:rPr>
        <w:t>、负责就业、失业、社会保险基金预测预警和信息引导，拟订应对预案并组织实施。</w:t>
      </w:r>
    </w:p>
    <w:p>
      <w:pPr>
        <w:snapToGrid w:val="0"/>
        <w:spacing w:line="600" w:lineRule="exact"/>
        <w:ind w:firstLine="540" w:firstLineChars="200"/>
        <w:rPr>
          <w:rFonts w:ascii="Times New Roman" w:hAnsi="Times New Roman" w:cs="Times New Roman"/>
          <w:sz w:val="27"/>
          <w:szCs w:val="27"/>
        </w:rPr>
      </w:pPr>
      <w:r>
        <w:rPr>
          <w:rFonts w:ascii="Times New Roman" w:hAnsi="Times New Roman" w:cs="Times New Roman"/>
          <w:sz w:val="27"/>
          <w:szCs w:val="27"/>
        </w:rPr>
        <w:t>8</w:t>
      </w:r>
      <w:r>
        <w:rPr>
          <w:rFonts w:hint="eastAsia" w:ascii="Times New Roman" w:cs="Times New Roman"/>
          <w:sz w:val="27"/>
          <w:szCs w:val="27"/>
        </w:rPr>
        <w:t>、组织实施机关事业单位人员工资收入分配、津贴补贴、福利和退休管理工作，宏观调控管理企业职工工资收入分配，建立机关企事业单位人员工资正常增长和支付保障机制；负责参加社会养老保险人员享受养老保险待遇的审批；负责机关企事业单位人员工（公）伤认定；负责伤（病）残等级鉴定工作。</w:t>
      </w:r>
    </w:p>
    <w:p>
      <w:pPr>
        <w:snapToGrid w:val="0"/>
        <w:spacing w:line="600" w:lineRule="exact"/>
        <w:ind w:firstLine="540" w:firstLineChars="200"/>
        <w:rPr>
          <w:rFonts w:ascii="Times New Roman" w:hAnsi="Times New Roman" w:cs="Times New Roman"/>
          <w:sz w:val="27"/>
          <w:szCs w:val="27"/>
        </w:rPr>
      </w:pPr>
      <w:r>
        <w:rPr>
          <w:rFonts w:ascii="Times New Roman" w:hAnsi="Times New Roman" w:cs="Times New Roman"/>
          <w:sz w:val="27"/>
          <w:szCs w:val="27"/>
        </w:rPr>
        <w:t>9</w:t>
      </w:r>
      <w:r>
        <w:rPr>
          <w:rFonts w:hint="eastAsia" w:ascii="Times New Roman" w:cs="Times New Roman"/>
          <w:sz w:val="27"/>
          <w:szCs w:val="27"/>
        </w:rPr>
        <w:t>、组织实施事业单位人事制度改革；综合管理事业单位人员和机关工勤人员；综合管理专业技术人员并组织实施继续教育政策；负责职称、专家综合管理和高层次专业技术人才选拔、引进、培养工作；牵头推进深化职称制度改革工作。</w:t>
      </w:r>
    </w:p>
    <w:p>
      <w:pPr>
        <w:snapToGrid w:val="0"/>
        <w:spacing w:line="600" w:lineRule="exact"/>
        <w:ind w:firstLine="540" w:firstLineChars="200"/>
        <w:rPr>
          <w:rFonts w:ascii="Times New Roman" w:hAnsi="Times New Roman" w:cs="Times New Roman"/>
          <w:sz w:val="27"/>
          <w:szCs w:val="27"/>
        </w:rPr>
      </w:pPr>
      <w:r>
        <w:rPr>
          <w:rFonts w:ascii="Times New Roman" w:hAnsi="Times New Roman" w:cs="Times New Roman"/>
          <w:sz w:val="27"/>
          <w:szCs w:val="27"/>
        </w:rPr>
        <w:t>10</w:t>
      </w:r>
      <w:r>
        <w:rPr>
          <w:rFonts w:hint="eastAsia" w:ascii="Times New Roman" w:cs="Times New Roman"/>
          <w:sz w:val="27"/>
          <w:szCs w:val="27"/>
        </w:rPr>
        <w:t>、牵头拟订军队转业干部安置政策和安置计划，负责军队转业干部安置工作；组织实施部分企业军队转业干部解困和稳定政策；协助军队转业干部管理服务和教育培训工作；协调落实军队转业干部随调随迁家属的政策性安置工作。</w:t>
      </w:r>
    </w:p>
    <w:p>
      <w:pPr>
        <w:snapToGrid w:val="0"/>
        <w:spacing w:line="600" w:lineRule="exact"/>
        <w:ind w:firstLine="540" w:firstLineChars="200"/>
        <w:rPr>
          <w:rFonts w:ascii="Times New Roman" w:hAnsi="Times New Roman" w:cs="Times New Roman"/>
          <w:sz w:val="27"/>
          <w:szCs w:val="27"/>
        </w:rPr>
      </w:pPr>
      <w:r>
        <w:rPr>
          <w:rFonts w:ascii="Times New Roman" w:hAnsi="Times New Roman" w:cs="Times New Roman"/>
          <w:sz w:val="27"/>
          <w:szCs w:val="27"/>
        </w:rPr>
        <w:t>11</w:t>
      </w:r>
      <w:r>
        <w:rPr>
          <w:rFonts w:hint="eastAsia" w:ascii="Times New Roman" w:cs="Times New Roman"/>
          <w:sz w:val="27"/>
          <w:szCs w:val="27"/>
        </w:rPr>
        <w:t>、负责行政机关公务员综合管理；组织实施公务员分类、录用、考核、职务任免与升降、奖惩、培训、交流与回避、辞职辞退、申诉控告、职位聘任等方面的法律、法规、规章和方针政策；负责组织参照公务员法单位的申报和管理工作；承办法定、委托或授权管理领导人员的人事任免事项；综合管理奖励表彰工作。</w:t>
      </w:r>
    </w:p>
    <w:p>
      <w:pPr>
        <w:snapToGrid w:val="0"/>
        <w:spacing w:line="600" w:lineRule="exact"/>
        <w:ind w:firstLine="540" w:firstLineChars="200"/>
        <w:rPr>
          <w:rFonts w:ascii="Times New Roman" w:hAnsi="Times New Roman" w:cs="Times New Roman"/>
          <w:sz w:val="27"/>
          <w:szCs w:val="27"/>
        </w:rPr>
      </w:pPr>
      <w:r>
        <w:rPr>
          <w:rFonts w:ascii="Times New Roman" w:hAnsi="Times New Roman" w:cs="Times New Roman"/>
          <w:sz w:val="27"/>
          <w:szCs w:val="27"/>
        </w:rPr>
        <w:t>12</w:t>
      </w:r>
      <w:r>
        <w:rPr>
          <w:rFonts w:hint="eastAsia" w:ascii="Times New Roman" w:cs="Times New Roman"/>
          <w:sz w:val="27"/>
          <w:szCs w:val="27"/>
        </w:rPr>
        <w:t>、组织拟订农村劳务开发管理规划；贯彻执行农民工工作综合性政策；协调解决重点难点问题，维护农民工合法权益。</w:t>
      </w:r>
    </w:p>
    <w:p>
      <w:pPr>
        <w:snapToGrid w:val="0"/>
        <w:spacing w:line="600" w:lineRule="exact"/>
        <w:ind w:firstLine="540" w:firstLineChars="200"/>
        <w:rPr>
          <w:rFonts w:ascii="Times New Roman" w:hAnsi="Times New Roman" w:cs="Times New Roman"/>
          <w:sz w:val="27"/>
          <w:szCs w:val="27"/>
        </w:rPr>
      </w:pPr>
      <w:r>
        <w:rPr>
          <w:rFonts w:ascii="Times New Roman" w:hAnsi="Times New Roman" w:cs="Times New Roman"/>
          <w:sz w:val="27"/>
          <w:szCs w:val="27"/>
        </w:rPr>
        <w:t>13</w:t>
      </w:r>
      <w:r>
        <w:rPr>
          <w:rFonts w:hint="eastAsia" w:ascii="Times New Roman" w:cs="Times New Roman"/>
          <w:sz w:val="27"/>
          <w:szCs w:val="27"/>
        </w:rPr>
        <w:t>、统筹实施劳动、人事争议调解仲裁制度；落实劳动关系政策，完善劳动关系协调机制；监督落实消除非法使用童工政策和女工、未成年工的特殊劳动保护政策；组织实施劳动保障监察，协调劳动者维权工作，依法查处重大案件。</w:t>
      </w:r>
    </w:p>
    <w:p>
      <w:pPr>
        <w:snapToGrid w:val="0"/>
        <w:spacing w:line="600" w:lineRule="exact"/>
        <w:ind w:firstLine="540" w:firstLineChars="200"/>
        <w:rPr>
          <w:rFonts w:ascii="Times New Roman" w:hAnsi="Times New Roman" w:cs="Times New Roman"/>
          <w:sz w:val="27"/>
          <w:szCs w:val="27"/>
        </w:rPr>
      </w:pPr>
      <w:r>
        <w:rPr>
          <w:rFonts w:ascii="Times New Roman" w:hAnsi="Times New Roman" w:cs="Times New Roman"/>
          <w:sz w:val="27"/>
          <w:szCs w:val="27"/>
        </w:rPr>
        <w:t>14</w:t>
      </w:r>
      <w:r>
        <w:rPr>
          <w:rFonts w:hint="eastAsia" w:ascii="Times New Roman" w:cs="Times New Roman"/>
          <w:sz w:val="27"/>
          <w:szCs w:val="27"/>
        </w:rPr>
        <w:t>、承办县政府交办的其他事项。</w:t>
      </w:r>
    </w:p>
    <w:p>
      <w:pPr>
        <w:pStyle w:val="4"/>
        <w:shd w:val="clear" w:color="auto" w:fill="FFFFFF"/>
      </w:pPr>
      <w:r>
        <w:rPr>
          <w:rStyle w:val="7"/>
          <w:rFonts w:hint="eastAsia"/>
          <w:sz w:val="27"/>
          <w:szCs w:val="27"/>
        </w:rPr>
        <w:t>  （二）机构设置。</w:t>
      </w:r>
    </w:p>
    <w:p>
      <w:pPr>
        <w:pStyle w:val="4"/>
        <w:shd w:val="clear" w:color="auto" w:fill="FFFFFF"/>
        <w:rPr>
          <w:rFonts w:hint="eastAsia"/>
        </w:rPr>
      </w:pPr>
      <w:r>
        <w:rPr>
          <w:rFonts w:hint="eastAsia"/>
          <w:color w:val="FF0000"/>
          <w:sz w:val="27"/>
          <w:szCs w:val="27"/>
        </w:rPr>
        <w:t> </w:t>
      </w:r>
      <w:r>
        <w:rPr>
          <w:rFonts w:hint="eastAsia" w:ascii="Times New Roman" w:cs="Times New Roman"/>
          <w:sz w:val="27"/>
          <w:szCs w:val="27"/>
        </w:rPr>
        <w:t>丰都县人力资源和社会保障局内设</w:t>
      </w:r>
      <w:r>
        <w:rPr>
          <w:rFonts w:ascii="Times New Roman" w:hAnsi="Times New Roman" w:cs="Times New Roman"/>
          <w:sz w:val="27"/>
          <w:szCs w:val="27"/>
        </w:rPr>
        <w:t>8</w:t>
      </w:r>
      <w:r>
        <w:rPr>
          <w:rFonts w:hint="eastAsia" w:ascii="Times New Roman" w:cs="Times New Roman"/>
          <w:sz w:val="27"/>
          <w:szCs w:val="27"/>
        </w:rPr>
        <w:t>个职能科室，分别是：办公室、事业单位人事管理科（职称改革办公室）、机关事业单位工资福利科、就业和人才科、劳动监察仲裁科（政策法规科）、社会保障科（县劳动能力鉴定委员会办公室）、行政审批服务科、社保基金监督科。</w:t>
      </w:r>
    </w:p>
    <w:p>
      <w:pPr>
        <w:pStyle w:val="4"/>
        <w:shd w:val="clear" w:color="auto" w:fill="FFFFFF"/>
        <w:rPr>
          <w:rFonts w:hint="eastAsia"/>
        </w:rPr>
      </w:pPr>
      <w:r>
        <w:rPr>
          <w:rStyle w:val="7"/>
          <w:rFonts w:hint="eastAsia"/>
          <w:sz w:val="27"/>
          <w:szCs w:val="27"/>
        </w:rPr>
        <w:t>  （三）单位构成。</w:t>
      </w:r>
    </w:p>
    <w:p>
      <w:pPr>
        <w:pStyle w:val="4"/>
        <w:shd w:val="clear" w:color="auto" w:fill="FFFFFF"/>
        <w:ind w:firstLine="529" w:firstLineChars="196"/>
        <w:rPr>
          <w:rFonts w:hint="eastAsia" w:ascii="Times New Roman" w:hAnsi="Times New Roman" w:cs="Times New Roman"/>
        </w:rPr>
      </w:pPr>
      <w:r>
        <w:rPr>
          <w:rFonts w:hint="eastAsia"/>
          <w:sz w:val="27"/>
          <w:szCs w:val="27"/>
        </w:rPr>
        <w:t> </w:t>
      </w:r>
      <w:r>
        <w:rPr>
          <w:rFonts w:hint="eastAsia" w:ascii="Times New Roman" w:cs="Times New Roman"/>
          <w:sz w:val="27"/>
          <w:szCs w:val="27"/>
        </w:rPr>
        <w:t>本单位无下级预算单位</w:t>
      </w:r>
    </w:p>
    <w:p>
      <w:pPr>
        <w:pStyle w:val="4"/>
        <w:shd w:val="clear" w:color="auto" w:fill="FFFFFF"/>
      </w:pPr>
      <w:r>
        <w:rPr>
          <w:rStyle w:val="7"/>
          <w:rFonts w:hint="eastAsia"/>
          <w:sz w:val="33"/>
          <w:szCs w:val="33"/>
        </w:rPr>
        <w:t>  二、部门决算情况说明</w:t>
      </w:r>
    </w:p>
    <w:p>
      <w:pPr>
        <w:pStyle w:val="4"/>
        <w:shd w:val="clear" w:color="auto" w:fill="FFFFFF"/>
        <w:rPr>
          <w:rFonts w:hint="eastAsia"/>
        </w:rPr>
      </w:pPr>
      <w:r>
        <w:rPr>
          <w:rStyle w:val="7"/>
          <w:rFonts w:hint="eastAsia"/>
          <w:sz w:val="27"/>
          <w:szCs w:val="27"/>
        </w:rPr>
        <w:t>  （一）收入支出决算总体情况说明。</w:t>
      </w:r>
    </w:p>
    <w:p>
      <w:pPr>
        <w:pStyle w:val="4"/>
        <w:shd w:val="clear" w:color="auto" w:fill="FFFFFF"/>
        <w:rPr>
          <w:rFonts w:hint="eastAsia"/>
        </w:rPr>
      </w:pPr>
      <w:r>
        <w:rPr>
          <w:rStyle w:val="7"/>
          <w:rFonts w:hint="eastAsia"/>
          <w:sz w:val="27"/>
          <w:szCs w:val="27"/>
        </w:rPr>
        <w:t>  1.总体情况。</w:t>
      </w:r>
      <w:r>
        <w:rPr>
          <w:rFonts w:hint="eastAsia"/>
          <w:sz w:val="27"/>
          <w:szCs w:val="27"/>
        </w:rPr>
        <w:t>2021年度收入总计743.06万元，支出总计743.06万元。收支较上年决算数减少18.61万元、下降2.4%，主要原因是2020年 “</w:t>
      </w:r>
      <w:r>
        <w:rPr>
          <w:rFonts w:hint="eastAsia" w:ascii="Times New Roman" w:cs="Times New Roman"/>
          <w:sz w:val="27"/>
          <w:szCs w:val="27"/>
        </w:rPr>
        <w:t>全县经济工作先进集体和先进个人表彰费用</w:t>
      </w:r>
      <w:r>
        <w:rPr>
          <w:rFonts w:ascii="Times New Roman" w:hAnsi="Times New Roman" w:cs="Times New Roman"/>
          <w:sz w:val="27"/>
          <w:szCs w:val="27"/>
        </w:rPr>
        <w:t>35</w:t>
      </w:r>
      <w:r>
        <w:rPr>
          <w:rFonts w:hint="eastAsia" w:ascii="Times New Roman" w:cs="Times New Roman"/>
          <w:sz w:val="27"/>
          <w:szCs w:val="27"/>
        </w:rPr>
        <w:t>万元、全县抗疫先进个人表彰费用</w:t>
      </w:r>
      <w:r>
        <w:rPr>
          <w:rFonts w:ascii="Times New Roman" w:hAnsi="Times New Roman" w:cs="Times New Roman"/>
          <w:sz w:val="27"/>
          <w:szCs w:val="27"/>
        </w:rPr>
        <w:t>9.6</w:t>
      </w:r>
      <w:r>
        <w:rPr>
          <w:rFonts w:hint="eastAsia" w:ascii="Times New Roman" w:cs="Times New Roman"/>
          <w:sz w:val="27"/>
          <w:szCs w:val="27"/>
        </w:rPr>
        <w:t>万元、社会保障专项转移支付资金</w:t>
      </w:r>
      <w:r>
        <w:rPr>
          <w:rFonts w:ascii="Times New Roman" w:hAnsi="Times New Roman" w:cs="Times New Roman"/>
          <w:sz w:val="27"/>
          <w:szCs w:val="27"/>
        </w:rPr>
        <w:t>68</w:t>
      </w:r>
      <w:r>
        <w:rPr>
          <w:rFonts w:hint="eastAsia" w:ascii="Times New Roman" w:cs="Times New Roman"/>
          <w:sz w:val="27"/>
          <w:szCs w:val="27"/>
        </w:rPr>
        <w:t>万元</w:t>
      </w:r>
      <w:r>
        <w:rPr>
          <w:rFonts w:hint="eastAsia"/>
          <w:sz w:val="27"/>
          <w:szCs w:val="27"/>
        </w:rPr>
        <w:t>”</w:t>
      </w:r>
      <w:r>
        <w:rPr>
          <w:rFonts w:hint="eastAsia" w:ascii="Times New Roman" w:cs="Times New Roman"/>
          <w:sz w:val="27"/>
          <w:szCs w:val="27"/>
        </w:rPr>
        <w:t>支出属于一次性支出，</w:t>
      </w:r>
      <w:r>
        <w:rPr>
          <w:rFonts w:ascii="Times New Roman" w:cs="Times New Roman"/>
          <w:sz w:val="27"/>
          <w:szCs w:val="27"/>
        </w:rPr>
        <w:t>2021</w:t>
      </w:r>
      <w:r>
        <w:rPr>
          <w:rFonts w:hint="eastAsia" w:ascii="Times New Roman" w:cs="Times New Roman"/>
          <w:sz w:val="27"/>
          <w:szCs w:val="27"/>
        </w:rPr>
        <w:t>年没有该三项支出，但因政策性增资，增加了工资、社保、公积金等收入，还有</w:t>
      </w:r>
      <w:r>
        <w:rPr>
          <w:rFonts w:ascii="Times New Roman" w:cs="Times New Roman"/>
          <w:sz w:val="27"/>
          <w:szCs w:val="27"/>
        </w:rPr>
        <w:t>100</w:t>
      </w:r>
      <w:r>
        <w:rPr>
          <w:rFonts w:hint="eastAsia" w:ascii="Times New Roman" w:cs="Times New Roman"/>
          <w:sz w:val="27"/>
          <w:szCs w:val="27"/>
        </w:rPr>
        <w:t>万元农民工工资应急保障金收入。</w:t>
      </w:r>
    </w:p>
    <w:p>
      <w:pPr>
        <w:pStyle w:val="4"/>
        <w:shd w:val="clear" w:color="auto" w:fill="FFFFFF"/>
        <w:rPr>
          <w:rFonts w:hint="eastAsia"/>
        </w:rPr>
      </w:pPr>
      <w:r>
        <w:rPr>
          <w:rStyle w:val="7"/>
          <w:rFonts w:hint="eastAsia"/>
          <w:sz w:val="27"/>
          <w:szCs w:val="27"/>
        </w:rPr>
        <w:t>  2.收入情况。</w:t>
      </w:r>
      <w:r>
        <w:rPr>
          <w:rFonts w:hint="eastAsia"/>
          <w:sz w:val="27"/>
          <w:szCs w:val="27"/>
        </w:rPr>
        <w:t>2021年度收入合计702.03万元，较上年决算数减少4.23万元，下降0.6%，主要原因是2020年 “</w:t>
      </w:r>
      <w:r>
        <w:rPr>
          <w:rFonts w:hint="eastAsia" w:ascii="Times New Roman" w:cs="Times New Roman"/>
          <w:sz w:val="27"/>
          <w:szCs w:val="27"/>
        </w:rPr>
        <w:t>全县经济工作先进集体和先进个人表彰费用</w:t>
      </w:r>
      <w:r>
        <w:rPr>
          <w:rFonts w:ascii="Times New Roman" w:hAnsi="Times New Roman" w:cs="Times New Roman"/>
          <w:sz w:val="27"/>
          <w:szCs w:val="27"/>
        </w:rPr>
        <w:t>35</w:t>
      </w:r>
      <w:r>
        <w:rPr>
          <w:rFonts w:hint="eastAsia" w:ascii="Times New Roman" w:cs="Times New Roman"/>
          <w:sz w:val="27"/>
          <w:szCs w:val="27"/>
        </w:rPr>
        <w:t>万元、全县抗疫先进个人表彰费用</w:t>
      </w:r>
      <w:r>
        <w:rPr>
          <w:rFonts w:ascii="Times New Roman" w:hAnsi="Times New Roman" w:cs="Times New Roman"/>
          <w:sz w:val="27"/>
          <w:szCs w:val="27"/>
        </w:rPr>
        <w:t>9.6</w:t>
      </w:r>
      <w:r>
        <w:rPr>
          <w:rFonts w:hint="eastAsia" w:ascii="Times New Roman" w:cs="Times New Roman"/>
          <w:sz w:val="27"/>
          <w:szCs w:val="27"/>
        </w:rPr>
        <w:t>万元、社会保障专项转移支付资金</w:t>
      </w:r>
      <w:r>
        <w:rPr>
          <w:rFonts w:ascii="Times New Roman" w:hAnsi="Times New Roman" w:cs="Times New Roman"/>
          <w:sz w:val="27"/>
          <w:szCs w:val="27"/>
        </w:rPr>
        <w:t>68</w:t>
      </w:r>
      <w:r>
        <w:rPr>
          <w:rFonts w:hint="eastAsia" w:ascii="Times New Roman" w:cs="Times New Roman"/>
          <w:sz w:val="27"/>
          <w:szCs w:val="27"/>
        </w:rPr>
        <w:t>万元</w:t>
      </w:r>
      <w:r>
        <w:rPr>
          <w:rFonts w:hint="eastAsia"/>
          <w:sz w:val="27"/>
          <w:szCs w:val="27"/>
        </w:rPr>
        <w:t>”</w:t>
      </w:r>
      <w:r>
        <w:rPr>
          <w:rFonts w:hint="eastAsia" w:ascii="Times New Roman" w:cs="Times New Roman"/>
          <w:sz w:val="27"/>
          <w:szCs w:val="27"/>
        </w:rPr>
        <w:t>支出属于一次性支出，</w:t>
      </w:r>
      <w:r>
        <w:rPr>
          <w:rFonts w:ascii="Times New Roman" w:cs="Times New Roman"/>
          <w:sz w:val="27"/>
          <w:szCs w:val="27"/>
        </w:rPr>
        <w:t>2021</w:t>
      </w:r>
      <w:r>
        <w:rPr>
          <w:rFonts w:hint="eastAsia" w:ascii="Times New Roman" w:cs="Times New Roman"/>
          <w:sz w:val="27"/>
          <w:szCs w:val="27"/>
        </w:rPr>
        <w:t>年没有该三项支出，但因政策性增资，增加了工资、社保、公积金等收入，还有</w:t>
      </w:r>
      <w:r>
        <w:rPr>
          <w:rFonts w:ascii="Times New Roman" w:cs="Times New Roman"/>
          <w:sz w:val="27"/>
          <w:szCs w:val="27"/>
        </w:rPr>
        <w:t>100</w:t>
      </w:r>
      <w:r>
        <w:rPr>
          <w:rFonts w:hint="eastAsia" w:ascii="Times New Roman" w:cs="Times New Roman"/>
          <w:sz w:val="27"/>
          <w:szCs w:val="27"/>
        </w:rPr>
        <w:t>万元农民工工资应急保障金收入。</w:t>
      </w:r>
      <w:r>
        <w:rPr>
          <w:rFonts w:hint="eastAsia"/>
          <w:sz w:val="27"/>
          <w:szCs w:val="27"/>
        </w:rPr>
        <w:t>其中：财政拨款收入702.03万元，占100%。此外，使用非财政拨款结余0.00万元，年初结转和结余41.03万元。</w:t>
      </w:r>
    </w:p>
    <w:p>
      <w:pPr>
        <w:pStyle w:val="4"/>
        <w:shd w:val="clear" w:color="auto" w:fill="FFFFFF"/>
        <w:rPr>
          <w:rFonts w:hint="eastAsia"/>
          <w:color w:val="FF0000"/>
          <w:sz w:val="27"/>
          <w:szCs w:val="27"/>
          <w:shd w:val="clear" w:color="auto" w:fill="FFFF00"/>
        </w:rPr>
      </w:pPr>
      <w:r>
        <w:rPr>
          <w:rStyle w:val="7"/>
          <w:rFonts w:hint="eastAsia"/>
          <w:sz w:val="27"/>
          <w:szCs w:val="27"/>
        </w:rPr>
        <w:t>  3.支出情况。</w:t>
      </w:r>
      <w:r>
        <w:rPr>
          <w:rFonts w:hint="eastAsia"/>
          <w:sz w:val="27"/>
          <w:szCs w:val="27"/>
        </w:rPr>
        <w:t>2021年度支出合计605.51万元，较上年决算数减少116.23万元，下降16.1%，主要原因是2020年 “</w:t>
      </w:r>
      <w:r>
        <w:rPr>
          <w:rFonts w:hint="eastAsia" w:ascii="Times New Roman" w:cs="Times New Roman"/>
          <w:sz w:val="27"/>
          <w:szCs w:val="27"/>
        </w:rPr>
        <w:t>全县经济工作先进集体和先进个人表彰费用</w:t>
      </w:r>
      <w:r>
        <w:rPr>
          <w:rFonts w:ascii="Times New Roman" w:hAnsi="Times New Roman" w:cs="Times New Roman"/>
          <w:sz w:val="27"/>
          <w:szCs w:val="27"/>
        </w:rPr>
        <w:t>35</w:t>
      </w:r>
      <w:r>
        <w:rPr>
          <w:rFonts w:hint="eastAsia" w:ascii="Times New Roman" w:cs="Times New Roman"/>
          <w:sz w:val="27"/>
          <w:szCs w:val="27"/>
        </w:rPr>
        <w:t>万元、全县抗疫先进个人表彰费用</w:t>
      </w:r>
      <w:r>
        <w:rPr>
          <w:rFonts w:ascii="Times New Roman" w:hAnsi="Times New Roman" w:cs="Times New Roman"/>
          <w:sz w:val="27"/>
          <w:szCs w:val="27"/>
        </w:rPr>
        <w:t>9.6</w:t>
      </w:r>
      <w:r>
        <w:rPr>
          <w:rFonts w:hint="eastAsia" w:ascii="Times New Roman" w:cs="Times New Roman"/>
          <w:sz w:val="27"/>
          <w:szCs w:val="27"/>
        </w:rPr>
        <w:t>万元、社会保障专项转移支付资金</w:t>
      </w:r>
      <w:r>
        <w:rPr>
          <w:rFonts w:ascii="Times New Roman" w:hAnsi="Times New Roman" w:cs="Times New Roman"/>
          <w:sz w:val="27"/>
          <w:szCs w:val="27"/>
        </w:rPr>
        <w:t>68</w:t>
      </w:r>
      <w:r>
        <w:rPr>
          <w:rFonts w:hint="eastAsia" w:ascii="Times New Roman" w:cs="Times New Roman"/>
          <w:sz w:val="27"/>
          <w:szCs w:val="27"/>
        </w:rPr>
        <w:t>万元</w:t>
      </w:r>
      <w:r>
        <w:rPr>
          <w:rFonts w:hint="eastAsia"/>
          <w:sz w:val="27"/>
          <w:szCs w:val="27"/>
        </w:rPr>
        <w:t>”</w:t>
      </w:r>
      <w:r>
        <w:rPr>
          <w:rFonts w:hint="eastAsia" w:ascii="Times New Roman" w:cs="Times New Roman"/>
          <w:sz w:val="27"/>
          <w:szCs w:val="27"/>
        </w:rPr>
        <w:t>支出属于一次性支出，</w:t>
      </w:r>
      <w:r>
        <w:rPr>
          <w:rFonts w:ascii="Times New Roman" w:cs="Times New Roman"/>
          <w:sz w:val="27"/>
          <w:szCs w:val="27"/>
        </w:rPr>
        <w:t>2021</w:t>
      </w:r>
      <w:r>
        <w:rPr>
          <w:rFonts w:hint="eastAsia" w:ascii="Times New Roman" w:cs="Times New Roman"/>
          <w:sz w:val="27"/>
          <w:szCs w:val="27"/>
        </w:rPr>
        <w:t>年没有该三项支出，但因政策性增资，增加了工资、社保、公积金等收入。</w:t>
      </w:r>
      <w:r>
        <w:rPr>
          <w:rFonts w:hint="eastAsia"/>
          <w:sz w:val="27"/>
          <w:szCs w:val="27"/>
        </w:rPr>
        <w:t>其中：基本支出436.58万元，占72.1%；项目支出168.92万元，占27.9%。此外，结余分配0.00万元。</w:t>
      </w:r>
    </w:p>
    <w:p>
      <w:pPr>
        <w:pStyle w:val="4"/>
        <w:shd w:val="clear" w:color="auto" w:fill="FFFFFF"/>
        <w:rPr>
          <w:rFonts w:hint="eastAsia"/>
        </w:rPr>
      </w:pPr>
      <w:r>
        <w:rPr>
          <w:rStyle w:val="7"/>
          <w:rFonts w:hint="eastAsia"/>
          <w:sz w:val="27"/>
          <w:szCs w:val="27"/>
        </w:rPr>
        <w:t>  4.结转结余情况。</w:t>
      </w:r>
      <w:r>
        <w:rPr>
          <w:rFonts w:hint="eastAsia"/>
          <w:sz w:val="27"/>
          <w:szCs w:val="27"/>
        </w:rPr>
        <w:t>2021年度年末结转和结余137.56万元，较上年决算数增加97.63万元，增长244.5%，主要原因是2021年将</w:t>
      </w:r>
      <w:r>
        <w:rPr>
          <w:rFonts w:ascii="Times New Roman" w:cs="Times New Roman"/>
          <w:sz w:val="27"/>
          <w:szCs w:val="27"/>
        </w:rPr>
        <w:t>100</w:t>
      </w:r>
      <w:r>
        <w:rPr>
          <w:rFonts w:hint="eastAsia" w:ascii="Times New Roman" w:cs="Times New Roman"/>
          <w:sz w:val="27"/>
          <w:szCs w:val="27"/>
        </w:rPr>
        <w:t>万元农民工工资应急保障金有之前的借款转为收入，存于农民工工资应急保障金银行专户。</w:t>
      </w:r>
    </w:p>
    <w:p>
      <w:pPr>
        <w:pStyle w:val="4"/>
        <w:shd w:val="clear" w:color="auto" w:fill="FFFFFF"/>
        <w:rPr>
          <w:rFonts w:hint="eastAsia"/>
        </w:rPr>
      </w:pPr>
      <w:r>
        <w:rPr>
          <w:rStyle w:val="7"/>
          <w:rFonts w:hint="eastAsia"/>
          <w:sz w:val="27"/>
          <w:szCs w:val="27"/>
        </w:rPr>
        <w:t>  （二）财政拨款收入支出决算总体情况说明。</w:t>
      </w:r>
    </w:p>
    <w:p>
      <w:pPr>
        <w:pStyle w:val="4"/>
        <w:shd w:val="clear" w:color="auto" w:fill="FFFFFF"/>
        <w:rPr>
          <w:rFonts w:hint="eastAsia"/>
        </w:rPr>
      </w:pPr>
      <w:r>
        <w:rPr>
          <w:rFonts w:hint="eastAsia"/>
          <w:sz w:val="27"/>
          <w:szCs w:val="27"/>
        </w:rPr>
        <w:t>2021年度财政拨款收、支总计714.25万元。与2020年相比，财政拨款收、支总计各减少18.61万元，下降2.5%。主要原因是2020年 “</w:t>
      </w:r>
      <w:r>
        <w:rPr>
          <w:rFonts w:hint="eastAsia" w:ascii="Times New Roman" w:cs="Times New Roman"/>
          <w:sz w:val="27"/>
          <w:szCs w:val="27"/>
        </w:rPr>
        <w:t>全县经济工作先进集体和先进个人表彰费用</w:t>
      </w:r>
      <w:r>
        <w:rPr>
          <w:rFonts w:ascii="Times New Roman" w:hAnsi="Times New Roman" w:cs="Times New Roman"/>
          <w:sz w:val="27"/>
          <w:szCs w:val="27"/>
        </w:rPr>
        <w:t>35</w:t>
      </w:r>
      <w:r>
        <w:rPr>
          <w:rFonts w:hint="eastAsia" w:ascii="Times New Roman" w:cs="Times New Roman"/>
          <w:sz w:val="27"/>
          <w:szCs w:val="27"/>
        </w:rPr>
        <w:t>万元、全县抗疫先进个人表彰费用</w:t>
      </w:r>
      <w:r>
        <w:rPr>
          <w:rFonts w:ascii="Times New Roman" w:hAnsi="Times New Roman" w:cs="Times New Roman"/>
          <w:sz w:val="27"/>
          <w:szCs w:val="27"/>
        </w:rPr>
        <w:t>9.6</w:t>
      </w:r>
      <w:r>
        <w:rPr>
          <w:rFonts w:hint="eastAsia" w:ascii="Times New Roman" w:cs="Times New Roman"/>
          <w:sz w:val="27"/>
          <w:szCs w:val="27"/>
        </w:rPr>
        <w:t>万元、社会保障专项转移支付资金</w:t>
      </w:r>
      <w:r>
        <w:rPr>
          <w:rFonts w:ascii="Times New Roman" w:hAnsi="Times New Roman" w:cs="Times New Roman"/>
          <w:sz w:val="27"/>
          <w:szCs w:val="27"/>
        </w:rPr>
        <w:t>68</w:t>
      </w:r>
      <w:r>
        <w:rPr>
          <w:rFonts w:hint="eastAsia" w:ascii="Times New Roman" w:cs="Times New Roman"/>
          <w:sz w:val="27"/>
          <w:szCs w:val="27"/>
        </w:rPr>
        <w:t>万元</w:t>
      </w:r>
      <w:r>
        <w:rPr>
          <w:rFonts w:hint="eastAsia"/>
          <w:sz w:val="27"/>
          <w:szCs w:val="27"/>
        </w:rPr>
        <w:t>”</w:t>
      </w:r>
      <w:r>
        <w:rPr>
          <w:rFonts w:hint="eastAsia" w:ascii="Times New Roman" w:cs="Times New Roman"/>
          <w:sz w:val="27"/>
          <w:szCs w:val="27"/>
        </w:rPr>
        <w:t>支出属于一次性支出，</w:t>
      </w:r>
      <w:r>
        <w:rPr>
          <w:rFonts w:ascii="Times New Roman" w:cs="Times New Roman"/>
          <w:sz w:val="27"/>
          <w:szCs w:val="27"/>
        </w:rPr>
        <w:t>2021</w:t>
      </w:r>
      <w:r>
        <w:rPr>
          <w:rFonts w:hint="eastAsia" w:ascii="Times New Roman" w:cs="Times New Roman"/>
          <w:sz w:val="27"/>
          <w:szCs w:val="27"/>
        </w:rPr>
        <w:t>年没有该三项支出，但因政策性增资，增加了工资、社保、公积金等收入，还有</w:t>
      </w:r>
      <w:r>
        <w:rPr>
          <w:rFonts w:ascii="Times New Roman" w:cs="Times New Roman"/>
          <w:sz w:val="27"/>
          <w:szCs w:val="27"/>
        </w:rPr>
        <w:t>100</w:t>
      </w:r>
      <w:r>
        <w:rPr>
          <w:rFonts w:hint="eastAsia" w:ascii="Times New Roman" w:cs="Times New Roman"/>
          <w:sz w:val="27"/>
          <w:szCs w:val="27"/>
        </w:rPr>
        <w:t>万元农民工工资应急保障金收入。</w:t>
      </w:r>
    </w:p>
    <w:p>
      <w:pPr>
        <w:pStyle w:val="4"/>
        <w:shd w:val="clear" w:color="auto" w:fill="FFFFFF"/>
        <w:rPr>
          <w:rFonts w:hint="eastAsia"/>
        </w:rPr>
      </w:pPr>
      <w:r>
        <w:rPr>
          <w:rStyle w:val="7"/>
          <w:rFonts w:hint="eastAsia"/>
          <w:sz w:val="27"/>
          <w:szCs w:val="27"/>
        </w:rPr>
        <w:t>  （三）一般公共预算财政拨款收入支出决算情况说明。</w:t>
      </w:r>
    </w:p>
    <w:p>
      <w:pPr>
        <w:pStyle w:val="4"/>
        <w:shd w:val="clear" w:color="auto" w:fill="FFFFFF"/>
        <w:rPr>
          <w:rFonts w:hint="eastAsia"/>
        </w:rPr>
      </w:pPr>
      <w:r>
        <w:rPr>
          <w:rStyle w:val="7"/>
          <w:rFonts w:hint="eastAsia"/>
          <w:sz w:val="27"/>
          <w:szCs w:val="27"/>
        </w:rPr>
        <w:t>  1.收入情况。</w:t>
      </w:r>
      <w:r>
        <w:rPr>
          <w:rFonts w:hint="eastAsia"/>
          <w:sz w:val="27"/>
          <w:szCs w:val="27"/>
        </w:rPr>
        <w:t>2021年度一般公共预算财政拨款收入702.03万元，较上年决算数减少4.23万元，下降0.6%。主要原因是2020年 “</w:t>
      </w:r>
      <w:r>
        <w:rPr>
          <w:rFonts w:hint="eastAsia" w:ascii="Times New Roman" w:cs="Times New Roman"/>
          <w:sz w:val="27"/>
          <w:szCs w:val="27"/>
        </w:rPr>
        <w:t>全县经济工作先进集体和先进个人表彰费用</w:t>
      </w:r>
      <w:r>
        <w:rPr>
          <w:rFonts w:ascii="Times New Roman" w:hAnsi="Times New Roman" w:cs="Times New Roman"/>
          <w:sz w:val="27"/>
          <w:szCs w:val="27"/>
        </w:rPr>
        <w:t>35</w:t>
      </w:r>
      <w:r>
        <w:rPr>
          <w:rFonts w:hint="eastAsia" w:ascii="Times New Roman" w:cs="Times New Roman"/>
          <w:sz w:val="27"/>
          <w:szCs w:val="27"/>
        </w:rPr>
        <w:t>万元、全县抗疫先进个人表彰费用</w:t>
      </w:r>
      <w:r>
        <w:rPr>
          <w:rFonts w:ascii="Times New Roman" w:hAnsi="Times New Roman" w:cs="Times New Roman"/>
          <w:sz w:val="27"/>
          <w:szCs w:val="27"/>
        </w:rPr>
        <w:t>9.6</w:t>
      </w:r>
      <w:r>
        <w:rPr>
          <w:rFonts w:hint="eastAsia" w:ascii="Times New Roman" w:cs="Times New Roman"/>
          <w:sz w:val="27"/>
          <w:szCs w:val="27"/>
        </w:rPr>
        <w:t>万元、社会保障专项转移支付资金</w:t>
      </w:r>
      <w:r>
        <w:rPr>
          <w:rFonts w:ascii="Times New Roman" w:hAnsi="Times New Roman" w:cs="Times New Roman"/>
          <w:sz w:val="27"/>
          <w:szCs w:val="27"/>
        </w:rPr>
        <w:t>68</w:t>
      </w:r>
      <w:r>
        <w:rPr>
          <w:rFonts w:hint="eastAsia" w:ascii="Times New Roman" w:cs="Times New Roman"/>
          <w:sz w:val="27"/>
          <w:szCs w:val="27"/>
        </w:rPr>
        <w:t>万元</w:t>
      </w:r>
      <w:r>
        <w:rPr>
          <w:rFonts w:hint="eastAsia"/>
          <w:sz w:val="27"/>
          <w:szCs w:val="27"/>
        </w:rPr>
        <w:t>”</w:t>
      </w:r>
      <w:r>
        <w:rPr>
          <w:rFonts w:hint="eastAsia" w:ascii="Times New Roman" w:cs="Times New Roman"/>
          <w:sz w:val="27"/>
          <w:szCs w:val="27"/>
        </w:rPr>
        <w:t>支出属于一次性支出，</w:t>
      </w:r>
      <w:r>
        <w:rPr>
          <w:rFonts w:ascii="Times New Roman" w:cs="Times New Roman"/>
          <w:sz w:val="27"/>
          <w:szCs w:val="27"/>
        </w:rPr>
        <w:t>2021</w:t>
      </w:r>
      <w:r>
        <w:rPr>
          <w:rFonts w:hint="eastAsia" w:ascii="Times New Roman" w:cs="Times New Roman"/>
          <w:sz w:val="27"/>
          <w:szCs w:val="27"/>
        </w:rPr>
        <w:t>年没有该三项支出，但因政策性增资，增加了工资、社保、公积金等收入，还有</w:t>
      </w:r>
      <w:r>
        <w:rPr>
          <w:rFonts w:ascii="Times New Roman" w:cs="Times New Roman"/>
          <w:sz w:val="27"/>
          <w:szCs w:val="27"/>
        </w:rPr>
        <w:t>100</w:t>
      </w:r>
      <w:r>
        <w:rPr>
          <w:rFonts w:hint="eastAsia" w:ascii="Times New Roman" w:cs="Times New Roman"/>
          <w:sz w:val="27"/>
          <w:szCs w:val="27"/>
        </w:rPr>
        <w:t>万元农民工工资应急保障金收入。</w:t>
      </w:r>
      <w:r>
        <w:rPr>
          <w:rFonts w:hint="eastAsia"/>
          <w:sz w:val="27"/>
          <w:szCs w:val="27"/>
        </w:rPr>
        <w:t>较年初预算数增加174.29万元，增长33%。主要原因是2021年将</w:t>
      </w:r>
      <w:r>
        <w:rPr>
          <w:rFonts w:ascii="Times New Roman" w:cs="Times New Roman"/>
          <w:sz w:val="27"/>
          <w:szCs w:val="27"/>
        </w:rPr>
        <w:t>100</w:t>
      </w:r>
      <w:r>
        <w:rPr>
          <w:rFonts w:hint="eastAsia" w:ascii="Times New Roman" w:cs="Times New Roman"/>
          <w:sz w:val="27"/>
          <w:szCs w:val="27"/>
        </w:rPr>
        <w:t>万元农民工工资应急保障金有之前的借款转为收入，还有人员增加导致的工资福利支出增加，年初未纳入预算。</w:t>
      </w:r>
      <w:r>
        <w:rPr>
          <w:rFonts w:hint="eastAsia"/>
          <w:sz w:val="27"/>
          <w:szCs w:val="27"/>
        </w:rPr>
        <w:t>此外，年初财政拨款结转和结余12.22万元。</w:t>
      </w:r>
    </w:p>
    <w:p>
      <w:pPr>
        <w:pStyle w:val="4"/>
        <w:shd w:val="clear" w:color="auto" w:fill="FFFFFF"/>
        <w:rPr>
          <w:rFonts w:hint="eastAsia"/>
        </w:rPr>
      </w:pPr>
      <w:r>
        <w:rPr>
          <w:rStyle w:val="7"/>
          <w:rFonts w:hint="eastAsia"/>
          <w:sz w:val="27"/>
          <w:szCs w:val="27"/>
        </w:rPr>
        <w:t>  2.支出情况。</w:t>
      </w:r>
      <w:r>
        <w:rPr>
          <w:rFonts w:hint="eastAsia"/>
          <w:sz w:val="27"/>
          <w:szCs w:val="27"/>
        </w:rPr>
        <w:t>2021年度一般公共预算财政拨款支出603.13万元，较上年决算数减少118.61万元，下降16.4%。主要原因是2020年 “</w:t>
      </w:r>
      <w:r>
        <w:rPr>
          <w:rFonts w:hint="eastAsia" w:ascii="Times New Roman" w:cs="Times New Roman"/>
          <w:sz w:val="27"/>
          <w:szCs w:val="27"/>
        </w:rPr>
        <w:t>全县经济工作先进集体和先进个人表彰费用</w:t>
      </w:r>
      <w:r>
        <w:rPr>
          <w:rFonts w:ascii="Times New Roman" w:hAnsi="Times New Roman" w:cs="Times New Roman"/>
          <w:sz w:val="27"/>
          <w:szCs w:val="27"/>
        </w:rPr>
        <w:t>35</w:t>
      </w:r>
      <w:r>
        <w:rPr>
          <w:rFonts w:hint="eastAsia" w:ascii="Times New Roman" w:cs="Times New Roman"/>
          <w:sz w:val="27"/>
          <w:szCs w:val="27"/>
        </w:rPr>
        <w:t>万元、全县抗疫先进个人表彰费用</w:t>
      </w:r>
      <w:r>
        <w:rPr>
          <w:rFonts w:ascii="Times New Roman" w:hAnsi="Times New Roman" w:cs="Times New Roman"/>
          <w:sz w:val="27"/>
          <w:szCs w:val="27"/>
        </w:rPr>
        <w:t>9.6</w:t>
      </w:r>
      <w:r>
        <w:rPr>
          <w:rFonts w:hint="eastAsia" w:ascii="Times New Roman" w:cs="Times New Roman"/>
          <w:sz w:val="27"/>
          <w:szCs w:val="27"/>
        </w:rPr>
        <w:t>万元、社会保障专项转移支付资金</w:t>
      </w:r>
      <w:r>
        <w:rPr>
          <w:rFonts w:ascii="Times New Roman" w:hAnsi="Times New Roman" w:cs="Times New Roman"/>
          <w:sz w:val="27"/>
          <w:szCs w:val="27"/>
        </w:rPr>
        <w:t>68</w:t>
      </w:r>
      <w:r>
        <w:rPr>
          <w:rFonts w:hint="eastAsia" w:ascii="Times New Roman" w:cs="Times New Roman"/>
          <w:sz w:val="27"/>
          <w:szCs w:val="27"/>
        </w:rPr>
        <w:t>万元</w:t>
      </w:r>
      <w:r>
        <w:rPr>
          <w:rFonts w:hint="eastAsia"/>
          <w:sz w:val="27"/>
          <w:szCs w:val="27"/>
        </w:rPr>
        <w:t>”</w:t>
      </w:r>
      <w:r>
        <w:rPr>
          <w:rFonts w:hint="eastAsia" w:ascii="Times New Roman" w:cs="Times New Roman"/>
          <w:sz w:val="27"/>
          <w:szCs w:val="27"/>
        </w:rPr>
        <w:t>支出属于一次性支出，</w:t>
      </w:r>
      <w:r>
        <w:rPr>
          <w:rFonts w:ascii="Times New Roman" w:cs="Times New Roman"/>
          <w:sz w:val="27"/>
          <w:szCs w:val="27"/>
        </w:rPr>
        <w:t>2021</w:t>
      </w:r>
      <w:r>
        <w:rPr>
          <w:rFonts w:hint="eastAsia" w:ascii="Times New Roman" w:cs="Times New Roman"/>
          <w:sz w:val="27"/>
          <w:szCs w:val="27"/>
        </w:rPr>
        <w:t>年没有该三项支出，但因政策性增资，增加了工资、社保、公积金等收入，还有</w:t>
      </w:r>
      <w:r>
        <w:rPr>
          <w:rFonts w:ascii="Times New Roman" w:cs="Times New Roman"/>
          <w:sz w:val="27"/>
          <w:szCs w:val="27"/>
        </w:rPr>
        <w:t>100</w:t>
      </w:r>
      <w:r>
        <w:rPr>
          <w:rFonts w:hint="eastAsia" w:ascii="Times New Roman" w:cs="Times New Roman"/>
          <w:sz w:val="27"/>
          <w:szCs w:val="27"/>
        </w:rPr>
        <w:t>万元农民工工资应急保障金收入。</w:t>
      </w:r>
      <w:r>
        <w:rPr>
          <w:rFonts w:hint="eastAsia"/>
          <w:sz w:val="27"/>
          <w:szCs w:val="27"/>
        </w:rPr>
        <w:t>较年初预算数增加75.39万元，增长14.3%。主要原因是</w:t>
      </w:r>
      <w:r>
        <w:rPr>
          <w:rFonts w:hint="eastAsia" w:ascii="Times New Roman" w:cs="Times New Roman"/>
          <w:sz w:val="27"/>
          <w:szCs w:val="27"/>
        </w:rPr>
        <w:t>人员增加导致的工资福利支出增加，年初未纳入预算。</w:t>
      </w:r>
    </w:p>
    <w:p>
      <w:pPr>
        <w:pStyle w:val="4"/>
        <w:shd w:val="clear" w:color="auto" w:fill="FFFFFF"/>
        <w:rPr>
          <w:rFonts w:hint="eastAsia"/>
        </w:rPr>
      </w:pPr>
      <w:r>
        <w:rPr>
          <w:rStyle w:val="7"/>
          <w:rFonts w:hint="eastAsia"/>
          <w:sz w:val="27"/>
          <w:szCs w:val="27"/>
        </w:rPr>
        <w:t>  3.结转结余情况。</w:t>
      </w:r>
      <w:r>
        <w:rPr>
          <w:rFonts w:hint="eastAsia"/>
          <w:sz w:val="27"/>
          <w:szCs w:val="27"/>
        </w:rPr>
        <w:t>2021年度年末一般公共预算财政拨款结转和结余111.12万元，较上年决算数增加100.00万元，增长899.3%，主要原因是2021年将</w:t>
      </w:r>
      <w:r>
        <w:rPr>
          <w:rFonts w:ascii="Times New Roman" w:cs="Times New Roman"/>
          <w:sz w:val="27"/>
          <w:szCs w:val="27"/>
        </w:rPr>
        <w:t>100</w:t>
      </w:r>
      <w:r>
        <w:rPr>
          <w:rFonts w:hint="eastAsia" w:ascii="Times New Roman" w:cs="Times New Roman"/>
          <w:sz w:val="27"/>
          <w:szCs w:val="27"/>
        </w:rPr>
        <w:t>万元农民工工资应急保障金有之前的借款转为收入，存于农民工工资应急保障金银行专户。</w:t>
      </w:r>
    </w:p>
    <w:p>
      <w:pPr>
        <w:pStyle w:val="4"/>
        <w:shd w:val="clear" w:color="auto" w:fill="FFFFFF"/>
        <w:rPr>
          <w:rFonts w:hint="eastAsia"/>
        </w:rPr>
      </w:pPr>
      <w:r>
        <w:rPr>
          <w:rStyle w:val="7"/>
          <w:rFonts w:hint="eastAsia"/>
          <w:sz w:val="27"/>
          <w:szCs w:val="27"/>
        </w:rPr>
        <w:t>  4.比较情况。</w:t>
      </w:r>
      <w:r>
        <w:rPr>
          <w:rFonts w:hint="eastAsia"/>
          <w:sz w:val="27"/>
          <w:szCs w:val="27"/>
        </w:rPr>
        <w:t>本部门2021年度一般公共预算财政拨款支出主要用于以下几个方面：</w:t>
      </w:r>
      <w:r>
        <w:rPr>
          <w:rFonts w:hint="eastAsia"/>
        </w:rPr>
        <w:t xml:space="preserve"> </w:t>
      </w:r>
    </w:p>
    <w:p>
      <w:pPr>
        <w:pStyle w:val="4"/>
        <w:shd w:val="clear" w:color="auto" w:fill="FFFFFF"/>
        <w:rPr>
          <w:rFonts w:hint="eastAsia"/>
          <w:sz w:val="27"/>
          <w:szCs w:val="27"/>
        </w:rPr>
      </w:pPr>
      <w:r>
        <w:rPr>
          <w:rFonts w:hint="eastAsia"/>
          <w:sz w:val="27"/>
          <w:szCs w:val="27"/>
        </w:rPr>
        <w:t>  （1）一般公共服务支出1.80万元，占0.3%，较年初预算数增加1.80万元，增长%，主要原因是年中增加的信访疑难资金1.80万元，年初未预算。</w:t>
      </w:r>
    </w:p>
    <w:p>
      <w:pPr>
        <w:pStyle w:val="4"/>
        <w:shd w:val="clear" w:color="auto" w:fill="FFFFFF"/>
        <w:rPr>
          <w:rFonts w:hint="eastAsia"/>
        </w:rPr>
      </w:pPr>
      <w:r>
        <w:rPr>
          <w:rFonts w:hint="eastAsia"/>
          <w:sz w:val="27"/>
          <w:szCs w:val="27"/>
        </w:rPr>
        <w:t>  （2）社会保障与就业支出558.02万元，占92.5%，较年初预算数增加70.79万元，增长14.5%，主要原因是</w:t>
      </w:r>
      <w:r>
        <w:rPr>
          <w:rFonts w:hint="eastAsia" w:ascii="Times New Roman" w:cs="Times New Roman"/>
          <w:sz w:val="27"/>
          <w:szCs w:val="27"/>
        </w:rPr>
        <w:t>政策性增资调整预算和年中增加项目：</w:t>
      </w:r>
      <w:r>
        <w:rPr>
          <w:rFonts w:hint="eastAsia" w:ascii="Times New Roman" w:cs="Times New Roman"/>
          <w:sz w:val="27"/>
          <w:szCs w:val="27"/>
          <w:lang w:eastAsia="zh-CN"/>
        </w:rPr>
        <w:t>“</w:t>
      </w:r>
      <w:r>
        <w:rPr>
          <w:rFonts w:hint="eastAsia" w:ascii="Times New Roman" w:cs="Times New Roman"/>
          <w:sz w:val="27"/>
          <w:szCs w:val="27"/>
        </w:rPr>
        <w:t>三支一扶</w:t>
      </w:r>
      <w:r>
        <w:rPr>
          <w:rFonts w:hint="eastAsia" w:ascii="Times New Roman" w:cs="Times New Roman"/>
          <w:sz w:val="27"/>
          <w:szCs w:val="27"/>
          <w:lang w:eastAsia="zh-CN"/>
        </w:rPr>
        <w:t>”</w:t>
      </w:r>
      <w:bookmarkStart w:id="0" w:name="_GoBack"/>
      <w:bookmarkEnd w:id="0"/>
      <w:r>
        <w:rPr>
          <w:rFonts w:hint="eastAsia" w:ascii="Times New Roman" w:cs="Times New Roman"/>
          <w:sz w:val="27"/>
          <w:szCs w:val="27"/>
        </w:rPr>
        <w:t>人员安家费</w:t>
      </w:r>
      <w:r>
        <w:rPr>
          <w:rFonts w:ascii="Times New Roman" w:hAnsi="Times New Roman" w:cs="Times New Roman"/>
          <w:sz w:val="27"/>
          <w:szCs w:val="27"/>
        </w:rPr>
        <w:t>4.2</w:t>
      </w:r>
      <w:r>
        <w:rPr>
          <w:rFonts w:hint="eastAsia" w:ascii="Times New Roman" w:cs="Times New Roman"/>
          <w:sz w:val="27"/>
          <w:szCs w:val="27"/>
        </w:rPr>
        <w:t>万元、社会保障专项转移支付资金</w:t>
      </w:r>
      <w:r>
        <w:rPr>
          <w:rFonts w:ascii="Times New Roman" w:hAnsi="Times New Roman" w:cs="Times New Roman"/>
          <w:sz w:val="27"/>
          <w:szCs w:val="27"/>
        </w:rPr>
        <w:t>50</w:t>
      </w:r>
      <w:r>
        <w:rPr>
          <w:rFonts w:hint="eastAsia" w:ascii="Times New Roman" w:cs="Times New Roman"/>
          <w:sz w:val="27"/>
          <w:szCs w:val="27"/>
        </w:rPr>
        <w:t>万元。</w:t>
      </w:r>
    </w:p>
    <w:p>
      <w:pPr>
        <w:pStyle w:val="4"/>
        <w:shd w:val="clear" w:color="auto" w:fill="FFFFFF"/>
        <w:rPr>
          <w:rFonts w:hint="eastAsia"/>
        </w:rPr>
      </w:pPr>
      <w:r>
        <w:rPr>
          <w:rFonts w:hint="eastAsia"/>
          <w:sz w:val="27"/>
          <w:szCs w:val="27"/>
        </w:rPr>
        <w:t>  （3）卫生健康支出26.08万元，占4.3%，较年初预算数增加1.60万元，增长6.5%，主要原因是人员增加和</w:t>
      </w:r>
      <w:r>
        <w:rPr>
          <w:rFonts w:hint="eastAsia" w:ascii="Times New Roman" w:cs="Times New Roman"/>
          <w:sz w:val="27"/>
          <w:szCs w:val="27"/>
        </w:rPr>
        <w:t>政策性增资</w:t>
      </w:r>
      <w:r>
        <w:rPr>
          <w:rFonts w:hint="eastAsia"/>
          <w:sz w:val="27"/>
          <w:szCs w:val="27"/>
        </w:rPr>
        <w:t>。</w:t>
      </w:r>
    </w:p>
    <w:p>
      <w:pPr>
        <w:pStyle w:val="4"/>
        <w:shd w:val="clear" w:color="auto" w:fill="FFFFFF"/>
        <w:rPr>
          <w:rFonts w:hint="eastAsia"/>
        </w:rPr>
      </w:pPr>
      <w:r>
        <w:rPr>
          <w:rFonts w:hint="eastAsia"/>
          <w:sz w:val="27"/>
          <w:szCs w:val="27"/>
        </w:rPr>
        <w:t>   （4）住房保障支出17.23万元，占2.9%，较年初预算数增加1.20万元，增长7.5%，主要原因是人员增加和</w:t>
      </w:r>
      <w:r>
        <w:rPr>
          <w:rFonts w:hint="eastAsia" w:ascii="Times New Roman" w:cs="Times New Roman"/>
          <w:sz w:val="27"/>
          <w:szCs w:val="27"/>
        </w:rPr>
        <w:t>政策性增资</w:t>
      </w:r>
      <w:r>
        <w:rPr>
          <w:rFonts w:hint="eastAsia"/>
          <w:sz w:val="27"/>
          <w:szCs w:val="27"/>
        </w:rPr>
        <w:t>。</w:t>
      </w:r>
    </w:p>
    <w:p>
      <w:pPr>
        <w:pStyle w:val="4"/>
        <w:shd w:val="clear" w:color="auto" w:fill="FFFFFF"/>
        <w:rPr>
          <w:rFonts w:hint="eastAsia"/>
        </w:rPr>
      </w:pPr>
      <w:r>
        <w:rPr>
          <w:rFonts w:hint="eastAsia"/>
          <w:sz w:val="27"/>
          <w:szCs w:val="27"/>
        </w:rPr>
        <w:t> </w:t>
      </w:r>
      <w:r>
        <w:rPr>
          <w:rStyle w:val="7"/>
          <w:rFonts w:hint="eastAsia"/>
          <w:sz w:val="27"/>
          <w:szCs w:val="27"/>
        </w:rPr>
        <w:t>  （四）一般公共预算财政拨款基本支出决算情况说明。</w:t>
      </w:r>
    </w:p>
    <w:p>
      <w:pPr>
        <w:pStyle w:val="4"/>
        <w:shd w:val="clear" w:color="auto" w:fill="FFFFFF"/>
        <w:rPr>
          <w:rFonts w:hint="eastAsia"/>
        </w:rPr>
      </w:pPr>
      <w:r>
        <w:rPr>
          <w:rFonts w:hint="eastAsia"/>
          <w:sz w:val="27"/>
          <w:szCs w:val="27"/>
        </w:rPr>
        <w:t>  2021年度一般公共财政拨款基本支出436.58万元。其中：人员经费382.57万元，较上年决算数增加19.25万元，增长5.3%，主要原因是人员增加和</w:t>
      </w:r>
      <w:r>
        <w:rPr>
          <w:rFonts w:hint="eastAsia" w:ascii="Times New Roman" w:cs="Times New Roman"/>
          <w:sz w:val="27"/>
          <w:szCs w:val="27"/>
        </w:rPr>
        <w:t>政策性增资</w:t>
      </w:r>
      <w:r>
        <w:rPr>
          <w:rFonts w:hint="eastAsia"/>
          <w:sz w:val="27"/>
          <w:szCs w:val="27"/>
        </w:rPr>
        <w:t>。人员经费用途主要包括</w:t>
      </w:r>
      <w:r>
        <w:rPr>
          <w:rFonts w:hint="eastAsia" w:ascii="Times New Roman" w:cs="Times New Roman"/>
          <w:sz w:val="27"/>
          <w:szCs w:val="27"/>
        </w:rPr>
        <w:t>基本工资、津贴补贴、奖金、社会保障缴费、公积金缴费、平时考核、目标绩效考核等。</w:t>
      </w:r>
      <w:r>
        <w:rPr>
          <w:rFonts w:hint="eastAsia"/>
          <w:sz w:val="27"/>
          <w:szCs w:val="27"/>
        </w:rPr>
        <w:t>公用经费54.01万元，较上年决算数增加1.78万元，增长3.4%，主要原因是人员增加。公用经费用途主要包括</w:t>
      </w:r>
      <w:r>
        <w:rPr>
          <w:rFonts w:hint="eastAsia" w:ascii="Times New Roman" w:cs="Times New Roman"/>
          <w:sz w:val="27"/>
          <w:szCs w:val="27"/>
        </w:rPr>
        <w:t>办公费、印刷费、差旅费、食堂用餐伙食费、委托业务费等。</w:t>
      </w:r>
    </w:p>
    <w:p>
      <w:pPr>
        <w:pStyle w:val="4"/>
        <w:shd w:val="clear" w:color="auto" w:fill="FFFFFF"/>
        <w:rPr>
          <w:rFonts w:hint="eastAsia"/>
        </w:rPr>
      </w:pPr>
      <w:r>
        <w:rPr>
          <w:rStyle w:val="7"/>
          <w:rFonts w:hint="eastAsia"/>
          <w:sz w:val="27"/>
          <w:szCs w:val="27"/>
        </w:rPr>
        <w:t>  （五）政府性基金预算收支决算情况说明。</w:t>
      </w:r>
    </w:p>
    <w:p>
      <w:pPr>
        <w:pStyle w:val="4"/>
        <w:shd w:val="clear" w:color="auto" w:fill="FFFFFF"/>
        <w:ind w:firstLine="540" w:firstLineChars="200"/>
        <w:rPr>
          <w:rFonts w:hint="eastAsia"/>
          <w:sz w:val="27"/>
          <w:szCs w:val="27"/>
        </w:rPr>
      </w:pPr>
      <w:r>
        <w:rPr>
          <w:rFonts w:hint="eastAsia"/>
          <w:sz w:val="27"/>
          <w:szCs w:val="27"/>
        </w:rPr>
        <w:t>本单位2021年度无政府性基金预算财政拨款收支。</w:t>
      </w:r>
    </w:p>
    <w:p>
      <w:pPr>
        <w:pStyle w:val="4"/>
        <w:shd w:val="clear" w:color="auto" w:fill="FFFFFF"/>
        <w:rPr>
          <w:rFonts w:hint="eastAsia"/>
        </w:rPr>
      </w:pPr>
      <w:r>
        <w:rPr>
          <w:rStyle w:val="7"/>
          <w:rFonts w:hint="eastAsia"/>
          <w:sz w:val="27"/>
          <w:szCs w:val="27"/>
        </w:rPr>
        <w:t>  （六）国有资本经营预算财政拨款支出决算情况说明。</w:t>
      </w:r>
    </w:p>
    <w:p>
      <w:pPr>
        <w:pStyle w:val="4"/>
        <w:shd w:val="clear" w:color="auto" w:fill="FFFFFF"/>
        <w:ind w:firstLine="540" w:firstLineChars="200"/>
        <w:rPr>
          <w:rFonts w:hint="eastAsia"/>
          <w:sz w:val="27"/>
          <w:szCs w:val="27"/>
        </w:rPr>
      </w:pPr>
      <w:r>
        <w:rPr>
          <w:rFonts w:hint="eastAsia"/>
          <w:sz w:val="27"/>
          <w:szCs w:val="27"/>
        </w:rPr>
        <w:t>本单位2021年度无国有资本经营预算财政拨款支出。</w:t>
      </w:r>
    </w:p>
    <w:p>
      <w:pPr>
        <w:pStyle w:val="4"/>
        <w:shd w:val="clear" w:color="auto" w:fill="FFFFFF"/>
        <w:rPr>
          <w:rFonts w:hint="eastAsia"/>
        </w:rPr>
      </w:pPr>
      <w:r>
        <w:rPr>
          <w:rStyle w:val="7"/>
          <w:rFonts w:hint="eastAsia"/>
          <w:sz w:val="27"/>
          <w:szCs w:val="27"/>
        </w:rPr>
        <w:t>  三、“三公”经费情况说明</w:t>
      </w:r>
    </w:p>
    <w:p>
      <w:pPr>
        <w:pStyle w:val="4"/>
        <w:shd w:val="clear" w:color="auto" w:fill="FFFFFF"/>
        <w:rPr>
          <w:rFonts w:hint="eastAsia"/>
        </w:rPr>
      </w:pPr>
      <w:r>
        <w:rPr>
          <w:rStyle w:val="7"/>
          <w:rFonts w:hint="eastAsia"/>
          <w:sz w:val="27"/>
          <w:szCs w:val="27"/>
        </w:rPr>
        <w:t>  （一）“三公”经费支出总体情况说明。</w:t>
      </w:r>
    </w:p>
    <w:p>
      <w:pPr>
        <w:pStyle w:val="4"/>
        <w:shd w:val="clear" w:color="auto" w:fill="FFFFFF"/>
        <w:rPr>
          <w:rFonts w:hint="eastAsia"/>
        </w:rPr>
      </w:pPr>
      <w:r>
        <w:rPr>
          <w:rFonts w:hint="eastAsia"/>
          <w:sz w:val="27"/>
          <w:szCs w:val="27"/>
        </w:rPr>
        <w:t>  2021年度“三公”经费支出共计0.60万元，较年初预算数减少7.40万元，下降92.5%，主要原因是</w:t>
      </w:r>
      <w:r>
        <w:rPr>
          <w:rFonts w:hint="eastAsia" w:ascii="Times New Roman" w:cs="Times New Roman"/>
          <w:sz w:val="27"/>
          <w:szCs w:val="27"/>
        </w:rPr>
        <w:t>强化公务接待支出管理，严格遵守公务接待开支范围和开支标准等。</w:t>
      </w:r>
      <w:r>
        <w:rPr>
          <w:rFonts w:hint="eastAsia"/>
          <w:sz w:val="27"/>
          <w:szCs w:val="27"/>
        </w:rPr>
        <w:t>较上年支出数减少0.15万元，下降20%，主要原因是</w:t>
      </w:r>
      <w:r>
        <w:rPr>
          <w:rFonts w:hint="eastAsia" w:ascii="Times New Roman" w:cs="Times New Roman"/>
          <w:sz w:val="27"/>
          <w:szCs w:val="27"/>
        </w:rPr>
        <w:t>强化公务接待支出管理，严格遵守公务接待开支范围和开支标准等。</w:t>
      </w:r>
    </w:p>
    <w:p>
      <w:pPr>
        <w:pStyle w:val="4"/>
        <w:shd w:val="clear" w:color="auto" w:fill="FFFFFF"/>
        <w:rPr>
          <w:rFonts w:hint="eastAsia"/>
        </w:rPr>
      </w:pPr>
      <w:r>
        <w:rPr>
          <w:rStyle w:val="7"/>
          <w:rFonts w:hint="eastAsia"/>
          <w:sz w:val="27"/>
          <w:szCs w:val="27"/>
        </w:rPr>
        <w:t>  （二）“三公”经费分项支出情况。</w:t>
      </w:r>
    </w:p>
    <w:p>
      <w:pPr>
        <w:pStyle w:val="4"/>
        <w:shd w:val="clear" w:color="auto" w:fill="FFFFFF"/>
        <w:rPr>
          <w:rFonts w:hint="eastAsia"/>
        </w:rPr>
      </w:pPr>
      <w:r>
        <w:rPr>
          <w:rFonts w:hint="eastAsia"/>
          <w:sz w:val="27"/>
          <w:szCs w:val="27"/>
        </w:rPr>
        <w:t>   本单位2021年度未发生因公出国（境）费用。</w:t>
      </w:r>
    </w:p>
    <w:p>
      <w:pPr>
        <w:pStyle w:val="4"/>
        <w:shd w:val="clear" w:color="auto" w:fill="FFFFFF"/>
        <w:rPr>
          <w:rFonts w:hint="eastAsia"/>
        </w:rPr>
      </w:pPr>
      <w:r>
        <w:rPr>
          <w:rFonts w:hint="eastAsia"/>
          <w:sz w:val="27"/>
          <w:szCs w:val="27"/>
        </w:rPr>
        <w:t>   本单位2021年度未发生公务车购置费。</w:t>
      </w:r>
    </w:p>
    <w:p>
      <w:pPr>
        <w:pStyle w:val="4"/>
        <w:shd w:val="clear" w:color="auto" w:fill="FFFFFF"/>
        <w:ind w:firstLine="270" w:firstLineChars="100"/>
        <w:rPr>
          <w:rFonts w:hint="eastAsia"/>
        </w:rPr>
      </w:pPr>
      <w:r>
        <w:rPr>
          <w:rFonts w:hint="eastAsia"/>
          <w:sz w:val="27"/>
          <w:szCs w:val="27"/>
        </w:rPr>
        <w:t> 本单位2021年度未发生公务车运行维护费</w:t>
      </w:r>
    </w:p>
    <w:p>
      <w:pPr>
        <w:pStyle w:val="4"/>
        <w:shd w:val="clear" w:color="auto" w:fill="FFFFFF"/>
        <w:rPr>
          <w:rFonts w:hint="eastAsia"/>
        </w:rPr>
      </w:pPr>
      <w:r>
        <w:rPr>
          <w:rFonts w:hint="eastAsia"/>
          <w:sz w:val="27"/>
          <w:szCs w:val="27"/>
        </w:rPr>
        <w:t>  公务接待费0.60万元，主要用于接待市级部门和有关区县检查指导工作。费用支出较年初预算数减少7.40万元，下降92.5%，主要原因是</w:t>
      </w:r>
      <w:r>
        <w:rPr>
          <w:rFonts w:hint="eastAsia" w:ascii="Times New Roman" w:cs="Times New Roman"/>
          <w:sz w:val="27"/>
          <w:szCs w:val="27"/>
        </w:rPr>
        <w:t>强化公务接待支出管理，严格遵守公务接待开支范围和开支标准等。</w:t>
      </w:r>
      <w:r>
        <w:rPr>
          <w:rFonts w:hint="eastAsia"/>
          <w:sz w:val="27"/>
          <w:szCs w:val="27"/>
        </w:rPr>
        <w:t>较上年支出数减少0.15万元，下降20%，主要原因是</w:t>
      </w:r>
      <w:r>
        <w:rPr>
          <w:rFonts w:hint="eastAsia" w:ascii="Times New Roman" w:cs="Times New Roman"/>
          <w:sz w:val="27"/>
          <w:szCs w:val="27"/>
        </w:rPr>
        <w:t>强化公务接待支出管理，严格遵守公务接待开支范围和开支标准等。</w:t>
      </w:r>
    </w:p>
    <w:p>
      <w:pPr>
        <w:pStyle w:val="4"/>
        <w:shd w:val="clear" w:color="auto" w:fill="FFFFFF"/>
        <w:rPr>
          <w:rFonts w:hint="eastAsia"/>
        </w:rPr>
      </w:pPr>
      <w:r>
        <w:rPr>
          <w:rStyle w:val="7"/>
          <w:rFonts w:hint="eastAsia"/>
          <w:sz w:val="27"/>
          <w:szCs w:val="27"/>
        </w:rPr>
        <w:t>  （三）“三公”经费实物量情况。</w:t>
      </w:r>
    </w:p>
    <w:p>
      <w:pPr>
        <w:pStyle w:val="4"/>
        <w:shd w:val="clear" w:color="auto" w:fill="FFFFFF"/>
        <w:rPr>
          <w:rFonts w:hint="eastAsia"/>
        </w:rPr>
      </w:pPr>
      <w:r>
        <w:rPr>
          <w:rFonts w:hint="eastAsia"/>
          <w:sz w:val="27"/>
          <w:szCs w:val="27"/>
        </w:rPr>
        <w:t>  2021年度本部门因公出国（境）共计0个团组，0人；公务用车购置0辆，公务车保有量为0辆；国内公务接待11批次61人，其中：国内外事接待0批次，0人；国（境）外公务接待0批次，0人。2021年本部门人均接待费98.23元，车均购置费0.00万元，车均维护费0.00万元。</w:t>
      </w:r>
    </w:p>
    <w:p>
      <w:pPr>
        <w:pStyle w:val="4"/>
        <w:shd w:val="clear" w:color="auto" w:fill="FFFFFF"/>
        <w:rPr>
          <w:rFonts w:hint="eastAsia"/>
        </w:rPr>
      </w:pPr>
      <w:r>
        <w:rPr>
          <w:rStyle w:val="7"/>
          <w:rFonts w:hint="eastAsia"/>
          <w:sz w:val="27"/>
          <w:szCs w:val="27"/>
        </w:rPr>
        <w:t>  四、其他需要说明的事项</w:t>
      </w:r>
    </w:p>
    <w:p>
      <w:pPr>
        <w:pStyle w:val="4"/>
        <w:shd w:val="clear" w:color="auto" w:fill="FFFFFF"/>
        <w:rPr>
          <w:rFonts w:hint="eastAsia"/>
        </w:rPr>
      </w:pPr>
      <w:r>
        <w:rPr>
          <w:rStyle w:val="7"/>
          <w:rFonts w:hint="eastAsia"/>
          <w:sz w:val="27"/>
          <w:szCs w:val="27"/>
        </w:rPr>
        <w:t>  （一）一般公共预算财政拨款会议费和培训费情况说明。</w:t>
      </w:r>
    </w:p>
    <w:p>
      <w:pPr>
        <w:pStyle w:val="4"/>
        <w:shd w:val="clear" w:color="auto" w:fill="FFFFFF"/>
        <w:rPr>
          <w:rFonts w:hint="eastAsia"/>
        </w:rPr>
      </w:pPr>
      <w:r>
        <w:rPr>
          <w:rFonts w:hint="eastAsia"/>
          <w:sz w:val="27"/>
          <w:szCs w:val="27"/>
        </w:rPr>
        <w:t> 本单位2021年度未发生会议费和培训费支出。</w:t>
      </w:r>
    </w:p>
    <w:p>
      <w:pPr>
        <w:pStyle w:val="4"/>
        <w:shd w:val="clear" w:color="auto" w:fill="FFFFFF"/>
        <w:rPr>
          <w:rFonts w:hint="eastAsia"/>
        </w:rPr>
      </w:pPr>
      <w:r>
        <w:rPr>
          <w:rStyle w:val="7"/>
          <w:rFonts w:hint="eastAsia"/>
          <w:sz w:val="27"/>
          <w:szCs w:val="27"/>
        </w:rPr>
        <w:t>  （二）机关运行经费情况说明。</w:t>
      </w:r>
    </w:p>
    <w:p>
      <w:pPr>
        <w:pStyle w:val="4"/>
        <w:shd w:val="clear" w:color="auto" w:fill="FFFFFF"/>
        <w:rPr>
          <w:rFonts w:hint="eastAsia"/>
          <w:sz w:val="27"/>
          <w:szCs w:val="27"/>
        </w:rPr>
      </w:pPr>
      <w:r>
        <w:rPr>
          <w:rFonts w:hint="eastAsia"/>
          <w:sz w:val="27"/>
          <w:szCs w:val="27"/>
        </w:rPr>
        <w:t>  2021年度本部门机关运行经费支出54.01万元，机关运行经费主要用于开支办公费、信息网络维护费、水电费、邮电费等机关运行经费。较上年决算数增加1.78万元，增长3.4%，主要原因是人员增加相应的办公费也有所增加。</w:t>
      </w:r>
    </w:p>
    <w:p>
      <w:pPr>
        <w:pStyle w:val="4"/>
        <w:shd w:val="clear" w:color="auto" w:fill="FFFFFF"/>
        <w:rPr>
          <w:rFonts w:hint="eastAsia"/>
        </w:rPr>
      </w:pPr>
      <w:r>
        <w:rPr>
          <w:rStyle w:val="7"/>
          <w:rFonts w:hint="eastAsia"/>
          <w:sz w:val="27"/>
          <w:szCs w:val="27"/>
        </w:rPr>
        <w:t>  （三）国有资产占用情况说明。</w:t>
      </w:r>
    </w:p>
    <w:p>
      <w:pPr>
        <w:pStyle w:val="4"/>
        <w:shd w:val="clear" w:color="auto" w:fill="FFFFFF"/>
        <w:rPr>
          <w:rFonts w:hint="eastAsia"/>
        </w:rPr>
      </w:pPr>
      <w:r>
        <w:rPr>
          <w:rFonts w:hint="eastAsia"/>
          <w:sz w:val="27"/>
          <w:szCs w:val="27"/>
        </w:rPr>
        <w:t>  截至2021年12月31日，本部门共有车辆0辆，其中，副部（省）级及以上领导用车0辆、主要领导干部用车0辆、机要通信用车0辆、应急保障用车0辆、执法执勤用车0辆，特种专业技术用车0辆，离退休干部用车0辆，其他用车0辆。单价50万元（含）以上通用设备0台（套），单价100万元（含）以上专用设备0台（套）。</w:t>
      </w:r>
    </w:p>
    <w:p>
      <w:pPr>
        <w:pStyle w:val="4"/>
        <w:shd w:val="clear" w:color="auto" w:fill="FFFFFF"/>
        <w:rPr>
          <w:rFonts w:hint="eastAsia"/>
        </w:rPr>
      </w:pPr>
      <w:r>
        <w:rPr>
          <w:rStyle w:val="7"/>
          <w:rFonts w:hint="eastAsia"/>
          <w:sz w:val="27"/>
          <w:szCs w:val="27"/>
        </w:rPr>
        <w:t>  （四）政府采购支出情况说明。</w:t>
      </w:r>
    </w:p>
    <w:p>
      <w:pPr>
        <w:pStyle w:val="4"/>
        <w:shd w:val="clear" w:color="auto" w:fill="FFFFFF"/>
        <w:rPr>
          <w:rFonts w:hint="eastAsia"/>
        </w:rPr>
      </w:pPr>
      <w:r>
        <w:rPr>
          <w:rFonts w:hint="eastAsia"/>
          <w:sz w:val="27"/>
          <w:szCs w:val="27"/>
        </w:rPr>
        <w:t>  2021年度本部门政府采购支出总额2.42万元，其中：政府采购货物支出2.42万元、政府采购工程支出0.00万元、政府采购服务支出0.00万元。授予中小企业合同金额2.42万元，占政府采购支出总额的100%，其中：授予小微企业合同金额2.42万元，占政府采购支出总额的100%。主要用于采购办公用电脑。</w:t>
      </w:r>
    </w:p>
    <w:p>
      <w:pPr>
        <w:pStyle w:val="4"/>
        <w:shd w:val="clear" w:color="auto" w:fill="FFFFFF"/>
        <w:rPr>
          <w:rFonts w:hint="eastAsia"/>
        </w:rPr>
      </w:pPr>
      <w:r>
        <w:rPr>
          <w:rStyle w:val="7"/>
          <w:rFonts w:hint="eastAsia"/>
          <w:sz w:val="27"/>
          <w:szCs w:val="27"/>
        </w:rPr>
        <w:t>  五、预算绩效管理情况说明</w:t>
      </w:r>
    </w:p>
    <w:p>
      <w:pPr>
        <w:pStyle w:val="4"/>
        <w:shd w:val="clear" w:color="auto" w:fill="FFFFFF"/>
        <w:rPr>
          <w:rFonts w:hint="eastAsia"/>
        </w:rPr>
      </w:pPr>
      <w:r>
        <w:rPr>
          <w:rStyle w:val="7"/>
          <w:rFonts w:hint="eastAsia"/>
          <w:sz w:val="27"/>
          <w:szCs w:val="27"/>
        </w:rPr>
        <w:t>  （一）预算绩效管理工作开展情况。</w:t>
      </w:r>
    </w:p>
    <w:p>
      <w:pPr>
        <w:pStyle w:val="4"/>
        <w:shd w:val="clear" w:color="auto" w:fill="FFFFFF"/>
        <w:ind w:firstLine="540" w:firstLineChars="200"/>
        <w:rPr>
          <w:rFonts w:hint="eastAsia"/>
        </w:rPr>
      </w:pPr>
      <w:r>
        <w:rPr>
          <w:rFonts w:hint="eastAsia"/>
          <w:sz w:val="27"/>
          <w:szCs w:val="27"/>
        </w:rPr>
        <w:t>根据预算绩效管理要求，我局对6个项目开展了绩效自评，其中，以填报自评表形式开展自评6项，涉及资金176.75万元；从评价情况来看，项目立项较为规范，绩效目标明确，预算编制合理，管理科学规范，资金到位及时，整体完成情况较好，有力保障了我县人力社保专项工作如：劳动能力鉴定、工伤认定、档案整理、工资统发、正高职称人员体检、事业单位公招、离退休人员慰问等工作顺利开展，各项目基本达到预期绩效目标。</w:t>
      </w:r>
      <w:r>
        <w:rPr>
          <w:rFonts w:hint="eastAsia"/>
        </w:rPr>
        <w:t xml:space="preserve"> </w:t>
      </w:r>
    </w:p>
    <w:p>
      <w:pPr>
        <w:pStyle w:val="4"/>
        <w:shd w:val="clear" w:color="auto" w:fill="FFFFFF"/>
        <w:rPr>
          <w:rFonts w:hint="eastAsia"/>
        </w:rPr>
      </w:pPr>
      <w:r>
        <w:rPr>
          <w:rStyle w:val="7"/>
          <w:rFonts w:hint="eastAsia"/>
          <w:sz w:val="27"/>
          <w:szCs w:val="27"/>
        </w:rPr>
        <w:t>  （二）绩效自评结果。</w:t>
      </w:r>
    </w:p>
    <w:p>
      <w:pPr>
        <w:pStyle w:val="4"/>
        <w:shd w:val="clear" w:color="auto" w:fill="FFFFFF"/>
        <w:rPr>
          <w:rStyle w:val="7"/>
          <w:rFonts w:hint="eastAsia"/>
          <w:sz w:val="27"/>
          <w:szCs w:val="27"/>
        </w:rPr>
      </w:pPr>
      <w:r>
        <w:rPr>
          <w:rStyle w:val="7"/>
          <w:rFonts w:hint="eastAsia"/>
          <w:sz w:val="27"/>
          <w:szCs w:val="27"/>
        </w:rPr>
        <w:t>  1.绩效目标自评表。</w:t>
      </w:r>
    </w:p>
    <w:p>
      <w:pPr>
        <w:widowControl/>
        <w:spacing w:line="594" w:lineRule="exact"/>
        <w:jc w:val="center"/>
        <w:rPr>
          <w:rFonts w:ascii="Times New Roman" w:hAnsi="Times New Roman" w:eastAsia="方正小标宋_GBK"/>
          <w:color w:val="000000"/>
          <w:kern w:val="0"/>
          <w:sz w:val="36"/>
          <w:szCs w:val="36"/>
        </w:rPr>
      </w:pPr>
      <w:r>
        <w:rPr>
          <w:rFonts w:ascii="Times New Roman" w:hAnsi="Times New Roman" w:eastAsia="方正小标宋_GBK"/>
          <w:color w:val="000000"/>
          <w:kern w:val="0"/>
          <w:sz w:val="36"/>
          <w:szCs w:val="36"/>
        </w:rPr>
        <w:t>202</w:t>
      </w:r>
      <w:r>
        <w:rPr>
          <w:rFonts w:hint="eastAsia" w:ascii="Times New Roman" w:hAnsi="Times New Roman" w:eastAsia="方正小标宋_GBK"/>
          <w:color w:val="000000"/>
          <w:kern w:val="0"/>
          <w:sz w:val="36"/>
          <w:szCs w:val="36"/>
        </w:rPr>
        <w:t>1</w:t>
      </w:r>
      <w:r>
        <w:rPr>
          <w:rFonts w:ascii="Times New Roman" w:hAnsi="Times New Roman" w:eastAsia="方正小标宋_GBK"/>
          <w:color w:val="000000"/>
          <w:kern w:val="0"/>
          <w:sz w:val="36"/>
          <w:szCs w:val="36"/>
        </w:rPr>
        <w:t>年度项目绩效自评表</w:t>
      </w:r>
    </w:p>
    <w:p>
      <w:pPr>
        <w:widowControl/>
        <w:spacing w:line="594" w:lineRule="exact"/>
        <w:jc w:val="center"/>
        <w:rPr>
          <w:rFonts w:hint="eastAsia" w:ascii="Times New Roman" w:hAnsi="Times New Roman" w:eastAsia="方正小标宋_GBK"/>
          <w:color w:val="000000"/>
          <w:kern w:val="0"/>
          <w:sz w:val="36"/>
          <w:szCs w:val="36"/>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300"/>
        <w:gridCol w:w="1300"/>
        <w:gridCol w:w="1300"/>
        <w:gridCol w:w="1300"/>
        <w:gridCol w:w="1300"/>
        <w:gridCol w:w="80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项目</w:t>
            </w:r>
            <w:r>
              <w:rPr>
                <w:rFonts w:hint="eastAsia" w:ascii="宋体" w:hAnsi="宋体" w:eastAsia="等线" w:cs="宋体"/>
                <w:kern w:val="0"/>
                <w:sz w:val="20"/>
                <w:szCs w:val="20"/>
              </w:rPr>
              <w:t>名称</w:t>
            </w:r>
          </w:p>
        </w:tc>
        <w:tc>
          <w:tcPr>
            <w:tcW w:w="5200" w:type="dxa"/>
            <w:gridSpan w:val="4"/>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事业单位公招工作经费</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自评总分</w:t>
            </w:r>
          </w:p>
        </w:tc>
        <w:tc>
          <w:tcPr>
            <w:tcW w:w="2225" w:type="dxa"/>
            <w:gridSpan w:val="2"/>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主管部门</w:t>
            </w:r>
          </w:p>
        </w:tc>
        <w:tc>
          <w:tcPr>
            <w:tcW w:w="5200" w:type="dxa"/>
            <w:gridSpan w:val="4"/>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丰都县人力资源和社会保障局</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实施单位</w:t>
            </w:r>
          </w:p>
        </w:tc>
        <w:tc>
          <w:tcPr>
            <w:tcW w:w="2225" w:type="dxa"/>
            <w:gridSpan w:val="2"/>
            <w:shd w:val="clear" w:color="auto" w:fill="auto"/>
            <w:noWrap w:val="0"/>
            <w:vAlign w:val="center"/>
          </w:tcPr>
          <w:p>
            <w:pPr>
              <w:widowControl/>
              <w:jc w:val="center"/>
              <w:rPr>
                <w:rFonts w:hint="eastAsia" w:ascii="宋体" w:hAnsi="宋体" w:eastAsia="等线" w:cs="宋体"/>
                <w:kern w:val="0"/>
                <w:sz w:val="20"/>
                <w:szCs w:val="20"/>
                <w:lang w:eastAsia="zh-CN"/>
              </w:rPr>
            </w:pPr>
            <w:r>
              <w:rPr>
                <w:rFonts w:hint="eastAsia" w:eastAsia="等线"/>
                <w:bCs/>
                <w:color w:val="000000"/>
              </w:rPr>
              <w:t>丰都县人力资源和社会保障局</w:t>
            </w:r>
            <w:r>
              <w:rPr>
                <w:rFonts w:hint="eastAsia" w:eastAsia="等线"/>
                <w:bCs/>
                <w:color w:val="000000"/>
                <w:lang w:eastAsia="zh-CN"/>
              </w:rPr>
              <w:t>（</w:t>
            </w:r>
            <w:r>
              <w:rPr>
                <w:rFonts w:hint="eastAsia" w:eastAsia="等线"/>
                <w:bCs/>
                <w:color w:val="000000"/>
                <w:lang w:val="en-US" w:eastAsia="zh-CN"/>
              </w:rPr>
              <w:t>本级</w:t>
            </w:r>
            <w:r>
              <w:rPr>
                <w:rFonts w:hint="eastAsia" w:eastAsia="等线"/>
                <w:bCs/>
                <w:color w:val="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055"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项目资金（万元）</w:t>
            </w:r>
          </w:p>
        </w:tc>
        <w:tc>
          <w:tcPr>
            <w:tcW w:w="1300"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30</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年初预算数</w:t>
            </w:r>
          </w:p>
        </w:tc>
        <w:tc>
          <w:tcPr>
            <w:tcW w:w="2600" w:type="dxa"/>
            <w:gridSpan w:val="2"/>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全年预算数</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全年执行数</w:t>
            </w:r>
          </w:p>
        </w:tc>
        <w:tc>
          <w:tcPr>
            <w:tcW w:w="2225" w:type="dxa"/>
            <w:gridSpan w:val="2"/>
            <w:shd w:val="clear" w:color="auto" w:fill="auto"/>
            <w:noWrap w:val="0"/>
            <w:vAlign w:val="center"/>
          </w:tcPr>
          <w:p>
            <w:pPr>
              <w:widowControl/>
              <w:jc w:val="center"/>
              <w:rPr>
                <w:rFonts w:hint="eastAsia" w:ascii="宋体" w:hAnsi="宋体" w:eastAsia="等线" w:cs="宋体"/>
                <w:kern w:val="0"/>
                <w:sz w:val="20"/>
                <w:szCs w:val="20"/>
              </w:rPr>
            </w:pPr>
            <w:r>
              <w:rPr>
                <w:rFonts w:hint="eastAsia" w:ascii="宋体" w:hAnsi="宋体" w:eastAsia="等线" w:cs="宋体"/>
                <w:kern w:val="0"/>
                <w:sz w:val="20"/>
                <w:szCs w:val="20"/>
              </w:rPr>
              <w:t>预算执行率（%）（全年执行数/全年预算数）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restart"/>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年度总金额</w:t>
            </w:r>
          </w:p>
        </w:tc>
        <w:tc>
          <w:tcPr>
            <w:tcW w:w="1300"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30</w:t>
            </w:r>
          </w:p>
        </w:tc>
        <w:tc>
          <w:tcPr>
            <w:tcW w:w="2600" w:type="dxa"/>
            <w:gridSpan w:val="2"/>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30</w:t>
            </w:r>
          </w:p>
        </w:tc>
        <w:tc>
          <w:tcPr>
            <w:tcW w:w="1300"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30</w:t>
            </w:r>
          </w:p>
        </w:tc>
        <w:tc>
          <w:tcPr>
            <w:tcW w:w="808"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100%</w:t>
            </w:r>
          </w:p>
        </w:tc>
        <w:tc>
          <w:tcPr>
            <w:tcW w:w="1417" w:type="dxa"/>
            <w:shd w:val="clear" w:color="auto" w:fill="auto"/>
            <w:noWrap w:val="0"/>
            <w:vAlign w:val="center"/>
          </w:tcPr>
          <w:p>
            <w:pPr>
              <w:widowControl/>
              <w:jc w:val="center"/>
              <w:rPr>
                <w:rFonts w:hint="eastAsia" w:ascii="宋体" w:hAnsi="宋体" w:eastAsia="等线"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其中：财政拨款</w:t>
            </w:r>
          </w:p>
        </w:tc>
        <w:tc>
          <w:tcPr>
            <w:tcW w:w="1300"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30</w:t>
            </w:r>
          </w:p>
        </w:tc>
        <w:tc>
          <w:tcPr>
            <w:tcW w:w="2600" w:type="dxa"/>
            <w:gridSpan w:val="2"/>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30</w:t>
            </w:r>
          </w:p>
        </w:tc>
        <w:tc>
          <w:tcPr>
            <w:tcW w:w="1300"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30</w:t>
            </w:r>
          </w:p>
        </w:tc>
        <w:tc>
          <w:tcPr>
            <w:tcW w:w="808"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100%</w:t>
            </w:r>
          </w:p>
        </w:tc>
        <w:tc>
          <w:tcPr>
            <w:tcW w:w="1417" w:type="dxa"/>
            <w:shd w:val="clear" w:color="auto" w:fill="auto"/>
            <w:noWrap w:val="0"/>
            <w:vAlign w:val="center"/>
          </w:tcPr>
          <w:p>
            <w:pPr>
              <w:widowControl/>
              <w:jc w:val="center"/>
              <w:rPr>
                <w:rFonts w:hint="eastAsia" w:ascii="宋体" w:hAnsi="宋体" w:eastAsia="等线"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上年结转结余</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2600" w:type="dxa"/>
            <w:gridSpan w:val="2"/>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808" w:type="dxa"/>
            <w:shd w:val="clear" w:color="auto" w:fill="auto"/>
            <w:noWrap w:val="0"/>
            <w:vAlign w:val="center"/>
          </w:tcPr>
          <w:p>
            <w:pPr>
              <w:widowControl/>
              <w:jc w:val="center"/>
              <w:rPr>
                <w:rFonts w:hint="eastAsia" w:ascii="宋体" w:hAnsi="宋体" w:eastAsia="等线" w:cs="宋体"/>
                <w:kern w:val="0"/>
                <w:sz w:val="20"/>
                <w:szCs w:val="20"/>
              </w:rPr>
            </w:pPr>
          </w:p>
        </w:tc>
        <w:tc>
          <w:tcPr>
            <w:tcW w:w="1417" w:type="dxa"/>
            <w:shd w:val="clear" w:color="auto" w:fill="auto"/>
            <w:noWrap w:val="0"/>
            <w:vAlign w:val="center"/>
          </w:tcPr>
          <w:p>
            <w:pPr>
              <w:widowControl/>
              <w:jc w:val="center"/>
              <w:rPr>
                <w:rFonts w:hint="eastAsia" w:ascii="宋体" w:hAnsi="宋体" w:eastAsia="等线"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其他资金</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2600" w:type="dxa"/>
            <w:gridSpan w:val="2"/>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808" w:type="dxa"/>
            <w:shd w:val="clear" w:color="auto" w:fill="auto"/>
            <w:noWrap w:val="0"/>
            <w:vAlign w:val="center"/>
          </w:tcPr>
          <w:p>
            <w:pPr>
              <w:widowControl/>
              <w:jc w:val="center"/>
              <w:rPr>
                <w:rFonts w:hint="eastAsia" w:ascii="宋体" w:hAnsi="宋体" w:eastAsia="等线" w:cs="宋体"/>
                <w:kern w:val="0"/>
                <w:sz w:val="20"/>
                <w:szCs w:val="20"/>
              </w:rPr>
            </w:pPr>
          </w:p>
        </w:tc>
        <w:tc>
          <w:tcPr>
            <w:tcW w:w="1417" w:type="dxa"/>
            <w:shd w:val="clear" w:color="auto" w:fill="auto"/>
            <w:noWrap w:val="0"/>
            <w:vAlign w:val="center"/>
          </w:tcPr>
          <w:p>
            <w:pPr>
              <w:widowControl/>
              <w:jc w:val="center"/>
              <w:rPr>
                <w:rFonts w:hint="eastAsia" w:ascii="宋体" w:hAnsi="宋体" w:eastAsia="等线"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年度总体目标</w:t>
            </w:r>
          </w:p>
        </w:tc>
        <w:tc>
          <w:tcPr>
            <w:tcW w:w="5200" w:type="dxa"/>
            <w:gridSpan w:val="4"/>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预期目标</w:t>
            </w:r>
          </w:p>
        </w:tc>
        <w:tc>
          <w:tcPr>
            <w:tcW w:w="3525" w:type="dxa"/>
            <w:gridSpan w:val="3"/>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全年完成情况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shd w:val="clear" w:color="auto" w:fill="auto"/>
            <w:noWrap w:val="0"/>
            <w:vAlign w:val="center"/>
          </w:tcPr>
          <w:p>
            <w:pPr>
              <w:widowControl/>
              <w:jc w:val="center"/>
              <w:rPr>
                <w:rFonts w:ascii="宋体" w:hAnsi="宋体" w:eastAsia="等线" w:cs="宋体"/>
                <w:kern w:val="0"/>
                <w:sz w:val="20"/>
                <w:szCs w:val="20"/>
              </w:rPr>
            </w:pPr>
          </w:p>
        </w:tc>
        <w:tc>
          <w:tcPr>
            <w:tcW w:w="5200" w:type="dxa"/>
            <w:gridSpan w:val="4"/>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为我县引进优秀人才，同时解决各单位人手紧缺问题，推动各项经济事业发展。</w:t>
            </w:r>
          </w:p>
        </w:tc>
        <w:tc>
          <w:tcPr>
            <w:tcW w:w="3525" w:type="dxa"/>
            <w:gridSpan w:val="3"/>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全年共招录事业单位人员364人，缓解了事业单位人手紧缺问题。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shd w:val="clear" w:color="auto" w:fill="auto"/>
            <w:noWrap w:val="0"/>
            <w:vAlign w:val="center"/>
          </w:tcPr>
          <w:p>
            <w:pPr>
              <w:widowControl/>
              <w:jc w:val="center"/>
              <w:rPr>
                <w:rFonts w:ascii="宋体" w:hAnsi="宋体" w:eastAsia="等线" w:cs="宋体"/>
                <w:kern w:val="0"/>
                <w:sz w:val="20"/>
                <w:szCs w:val="20"/>
              </w:rPr>
            </w:pPr>
            <w:r>
              <w:rPr>
                <w:rFonts w:ascii="宋体" w:hAnsi="宋体" w:eastAsia="等线" w:cs="宋体"/>
                <w:kern w:val="0"/>
                <w:sz w:val="20"/>
                <w:szCs w:val="20"/>
              </w:rPr>
              <w:t>绩效指标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一级指标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二级指标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三级指标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年度指标值</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实际完成值</w:t>
            </w:r>
          </w:p>
        </w:tc>
        <w:tc>
          <w:tcPr>
            <w:tcW w:w="808"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分值</w:t>
            </w:r>
          </w:p>
        </w:tc>
        <w:tc>
          <w:tcPr>
            <w:tcW w:w="1417" w:type="dxa"/>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restart"/>
            <w:shd w:val="clear" w:color="auto" w:fill="auto"/>
            <w:noWrap w:val="0"/>
            <w:vAlign w:val="center"/>
          </w:tcPr>
          <w:p>
            <w:pPr>
              <w:widowControl/>
              <w:jc w:val="center"/>
              <w:rPr>
                <w:rFonts w:ascii="宋体" w:hAnsi="宋体" w:eastAsia="等线" w:cs="宋体"/>
                <w:kern w:val="0"/>
                <w:sz w:val="20"/>
                <w:szCs w:val="20"/>
              </w:rPr>
            </w:pPr>
          </w:p>
        </w:tc>
        <w:tc>
          <w:tcPr>
            <w:tcW w:w="1300" w:type="dxa"/>
            <w:vMerge w:val="restart"/>
            <w:shd w:val="clear" w:color="auto" w:fill="auto"/>
            <w:noWrap w:val="0"/>
            <w:vAlign w:val="center"/>
          </w:tcPr>
          <w:p>
            <w:pPr>
              <w:widowControl/>
              <w:rPr>
                <w:rFonts w:hint="eastAsia" w:ascii="宋体" w:hAnsi="宋体" w:eastAsia="等线" w:cs="宋体"/>
                <w:kern w:val="0"/>
                <w:sz w:val="20"/>
                <w:szCs w:val="20"/>
              </w:rPr>
            </w:pPr>
            <w:r>
              <w:rPr>
                <w:rFonts w:ascii="宋体" w:hAnsi="宋体" w:eastAsia="等线" w:cs="宋体"/>
                <w:kern w:val="0"/>
                <w:sz w:val="20"/>
                <w:szCs w:val="20"/>
              </w:rPr>
              <w:t>产出指标</w:t>
            </w:r>
          </w:p>
        </w:tc>
        <w:tc>
          <w:tcPr>
            <w:tcW w:w="1300"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数量指标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组织事业单位公招考试（综合类、教育类、卫生类）</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≥8批次</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7批次</w:t>
            </w:r>
          </w:p>
        </w:tc>
        <w:tc>
          <w:tcPr>
            <w:tcW w:w="808"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20</w:t>
            </w:r>
          </w:p>
        </w:tc>
        <w:tc>
          <w:tcPr>
            <w:tcW w:w="1417"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ascii="宋体" w:hAnsi="宋体" w:eastAsia="等线" w:cs="宋体"/>
                <w:kern w:val="0"/>
                <w:sz w:val="20"/>
                <w:szCs w:val="20"/>
              </w:rPr>
            </w:pPr>
          </w:p>
        </w:tc>
        <w:tc>
          <w:tcPr>
            <w:tcW w:w="1300" w:type="dxa"/>
            <w:vMerge w:val="continue"/>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ascii="宋体" w:hAnsi="宋体" w:eastAsia="等线" w:cs="宋体"/>
                <w:kern w:val="0"/>
                <w:sz w:val="20"/>
                <w:szCs w:val="20"/>
                <w:lang w:val="en-US" w:eastAsia="zh-CN"/>
              </w:rPr>
              <w:t>数量指标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为事业单位招聘人员</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≥150人</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364人</w:t>
            </w:r>
          </w:p>
        </w:tc>
        <w:tc>
          <w:tcPr>
            <w:tcW w:w="808"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20</w:t>
            </w:r>
          </w:p>
        </w:tc>
        <w:tc>
          <w:tcPr>
            <w:tcW w:w="1417"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ascii="宋体" w:hAnsi="宋体" w:eastAsia="等线" w:cs="宋体"/>
                <w:kern w:val="0"/>
                <w:sz w:val="20"/>
                <w:szCs w:val="20"/>
              </w:rPr>
            </w:pPr>
          </w:p>
        </w:tc>
        <w:tc>
          <w:tcPr>
            <w:tcW w:w="1300" w:type="dxa"/>
            <w:vMerge w:val="continue"/>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ascii="宋体" w:hAnsi="宋体" w:eastAsia="等线" w:cs="宋体"/>
                <w:kern w:val="0"/>
                <w:sz w:val="20"/>
                <w:szCs w:val="20"/>
                <w:lang w:val="en-US" w:eastAsia="zh-CN"/>
              </w:rPr>
              <w:t>数量指标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组织考生考试</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≥3000人次</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5600人次</w:t>
            </w:r>
          </w:p>
        </w:tc>
        <w:tc>
          <w:tcPr>
            <w:tcW w:w="808"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20</w:t>
            </w:r>
          </w:p>
        </w:tc>
        <w:tc>
          <w:tcPr>
            <w:tcW w:w="1417"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ascii="宋体" w:hAnsi="宋体" w:eastAsia="等线" w:cs="宋体"/>
                <w:kern w:val="0"/>
                <w:sz w:val="20"/>
                <w:szCs w:val="20"/>
              </w:rPr>
            </w:pPr>
          </w:p>
        </w:tc>
        <w:tc>
          <w:tcPr>
            <w:tcW w:w="1300" w:type="dxa"/>
            <w:vMerge w:val="continue"/>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sz w:val="20"/>
                <w:szCs w:val="20"/>
              </w:rPr>
              <w:t>质量指标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考生因考试过程和程序投诉率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≤0.1%</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0%</w:t>
            </w:r>
          </w:p>
        </w:tc>
        <w:tc>
          <w:tcPr>
            <w:tcW w:w="808"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10</w:t>
            </w:r>
          </w:p>
        </w:tc>
        <w:tc>
          <w:tcPr>
            <w:tcW w:w="1417"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ascii="宋体" w:hAnsi="宋体" w:eastAsia="等线" w:cs="宋体"/>
                <w:kern w:val="0"/>
                <w:sz w:val="20"/>
                <w:szCs w:val="20"/>
              </w:rPr>
            </w:pPr>
          </w:p>
        </w:tc>
        <w:tc>
          <w:tcPr>
            <w:tcW w:w="1300" w:type="dxa"/>
            <w:vMerge w:val="continue"/>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808" w:type="dxa"/>
            <w:shd w:val="clear" w:color="auto" w:fill="auto"/>
            <w:noWrap w:val="0"/>
            <w:vAlign w:val="center"/>
          </w:tcPr>
          <w:p>
            <w:pPr>
              <w:widowControl/>
              <w:jc w:val="center"/>
              <w:rPr>
                <w:rFonts w:hint="eastAsia" w:ascii="宋体" w:hAnsi="宋体" w:eastAsia="等线" w:cs="宋体"/>
                <w:kern w:val="0"/>
                <w:sz w:val="20"/>
                <w:szCs w:val="20"/>
              </w:rPr>
            </w:pPr>
          </w:p>
        </w:tc>
        <w:tc>
          <w:tcPr>
            <w:tcW w:w="1417" w:type="dxa"/>
            <w:shd w:val="clear" w:color="auto" w:fill="auto"/>
            <w:noWrap w:val="0"/>
            <w:vAlign w:val="center"/>
          </w:tcPr>
          <w:p>
            <w:pPr>
              <w:widowControl/>
              <w:jc w:val="center"/>
              <w:rPr>
                <w:rFonts w:hint="eastAsia" w:ascii="宋体" w:hAnsi="宋体" w:eastAsia="等线"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ascii="宋体" w:hAnsi="宋体" w:eastAsia="等线" w:cs="宋体"/>
                <w:kern w:val="0"/>
                <w:sz w:val="20"/>
                <w:szCs w:val="20"/>
              </w:rPr>
            </w:pPr>
          </w:p>
        </w:tc>
        <w:tc>
          <w:tcPr>
            <w:tcW w:w="1300" w:type="dxa"/>
            <w:vMerge w:val="restart"/>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效益指标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sz w:val="20"/>
                <w:szCs w:val="20"/>
              </w:rPr>
              <w:t>社会效益指标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确保就业机会公平公正</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好</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好</w:t>
            </w:r>
          </w:p>
        </w:tc>
        <w:tc>
          <w:tcPr>
            <w:tcW w:w="808"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10</w:t>
            </w:r>
          </w:p>
        </w:tc>
        <w:tc>
          <w:tcPr>
            <w:tcW w:w="1417" w:type="dxa"/>
            <w:shd w:val="clear" w:color="auto" w:fill="auto"/>
            <w:noWrap w:val="0"/>
            <w:vAlign w:val="center"/>
          </w:tcPr>
          <w:p>
            <w:pPr>
              <w:widowControl/>
              <w:jc w:val="center"/>
              <w:rPr>
                <w:rFonts w:hint="eastAsia"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ascii="宋体" w:hAnsi="宋体" w:eastAsia="等线" w:cs="宋体"/>
                <w:kern w:val="0"/>
                <w:sz w:val="20"/>
                <w:szCs w:val="20"/>
              </w:rPr>
            </w:pPr>
          </w:p>
        </w:tc>
        <w:tc>
          <w:tcPr>
            <w:tcW w:w="1300" w:type="dxa"/>
            <w:vMerge w:val="continue"/>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sz w:val="20"/>
                <w:szCs w:val="20"/>
              </w:rPr>
              <w:t>社会效益指标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树立人事考试良好形象</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好</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好</w:t>
            </w:r>
          </w:p>
        </w:tc>
        <w:tc>
          <w:tcPr>
            <w:tcW w:w="808"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10</w:t>
            </w:r>
          </w:p>
        </w:tc>
        <w:tc>
          <w:tcPr>
            <w:tcW w:w="1417" w:type="dxa"/>
            <w:shd w:val="clear" w:color="auto" w:fill="auto"/>
            <w:noWrap w:val="0"/>
            <w:vAlign w:val="center"/>
          </w:tcPr>
          <w:p>
            <w:pPr>
              <w:widowControl/>
              <w:jc w:val="center"/>
              <w:rPr>
                <w:rFonts w:hint="eastAsia"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ascii="宋体" w:hAnsi="宋体" w:eastAsia="等线" w:cs="宋体"/>
                <w:kern w:val="0"/>
                <w:sz w:val="20"/>
                <w:szCs w:val="20"/>
              </w:rPr>
            </w:pPr>
          </w:p>
        </w:tc>
        <w:tc>
          <w:tcPr>
            <w:tcW w:w="1300" w:type="dxa"/>
            <w:vMerge w:val="restart"/>
            <w:shd w:val="clear" w:color="auto" w:fill="auto"/>
            <w:noWrap w:val="0"/>
            <w:vAlign w:val="center"/>
          </w:tcPr>
          <w:p>
            <w:pPr>
              <w:widowControl/>
              <w:jc w:val="center"/>
              <w:rPr>
                <w:rFonts w:hint="eastAsia" w:ascii="宋体" w:hAnsi="宋体" w:eastAsia="等线" w:cs="宋体"/>
                <w:kern w:val="0"/>
                <w:sz w:val="20"/>
                <w:szCs w:val="20"/>
              </w:rPr>
            </w:pPr>
            <w:r>
              <w:rPr>
                <w:rFonts w:ascii="宋体" w:hAnsi="宋体" w:eastAsia="等线" w:cs="宋体"/>
                <w:kern w:val="0"/>
                <w:sz w:val="20"/>
                <w:szCs w:val="20"/>
              </w:rPr>
              <w:t>满意度指标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sz w:val="20"/>
                <w:szCs w:val="20"/>
              </w:rPr>
              <w:t>服务对象满意度指标</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服务对象满意度</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≥90%</w:t>
            </w:r>
          </w:p>
        </w:tc>
        <w:tc>
          <w:tcPr>
            <w:tcW w:w="1300" w:type="dxa"/>
            <w:shd w:val="clear" w:color="auto" w:fill="auto"/>
            <w:noWrap w:val="0"/>
            <w:vAlign w:val="center"/>
          </w:tcPr>
          <w:p>
            <w:pPr>
              <w:widowControl/>
              <w:jc w:val="center"/>
              <w:rPr>
                <w:rFonts w:hint="eastAsia" w:ascii="宋体" w:hAnsi="宋体" w:eastAsia="等线" w:cs="宋体"/>
                <w:kern w:val="0"/>
                <w:sz w:val="20"/>
                <w:szCs w:val="20"/>
              </w:rPr>
            </w:pPr>
            <w:r>
              <w:rPr>
                <w:rFonts w:hint="eastAsia" w:eastAsia="等线"/>
                <w:bCs/>
                <w:color w:val="000000"/>
              </w:rPr>
              <w:t>93%</w:t>
            </w:r>
          </w:p>
        </w:tc>
        <w:tc>
          <w:tcPr>
            <w:tcW w:w="808"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10</w:t>
            </w:r>
          </w:p>
        </w:tc>
        <w:tc>
          <w:tcPr>
            <w:tcW w:w="1417" w:type="dxa"/>
            <w:shd w:val="clear" w:color="auto" w:fill="auto"/>
            <w:noWrap w:val="0"/>
            <w:vAlign w:val="center"/>
          </w:tcPr>
          <w:p>
            <w:pPr>
              <w:widowControl/>
              <w:jc w:val="center"/>
              <w:rPr>
                <w:rFonts w:hint="default" w:ascii="宋体" w:hAnsi="宋体" w:eastAsia="等线" w:cs="宋体"/>
                <w:kern w:val="0"/>
                <w:sz w:val="20"/>
                <w:szCs w:val="20"/>
                <w:lang w:val="en-US" w:eastAsia="zh-CN"/>
              </w:rPr>
            </w:pPr>
            <w:r>
              <w:rPr>
                <w:rFonts w:hint="eastAsia" w:ascii="宋体" w:hAnsi="宋体" w:eastAsia="等线" w:cs="宋体"/>
                <w:kern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ascii="宋体" w:hAnsi="宋体" w:eastAsia="等线" w:cs="宋体"/>
                <w:kern w:val="0"/>
                <w:sz w:val="20"/>
                <w:szCs w:val="20"/>
              </w:rPr>
            </w:pPr>
          </w:p>
        </w:tc>
        <w:tc>
          <w:tcPr>
            <w:tcW w:w="1300" w:type="dxa"/>
            <w:vMerge w:val="continue"/>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808" w:type="dxa"/>
            <w:shd w:val="clear" w:color="auto" w:fill="auto"/>
            <w:noWrap w:val="0"/>
            <w:vAlign w:val="center"/>
          </w:tcPr>
          <w:p>
            <w:pPr>
              <w:widowControl/>
              <w:jc w:val="center"/>
              <w:rPr>
                <w:rFonts w:hint="eastAsia" w:ascii="宋体" w:hAnsi="宋体" w:eastAsia="等线" w:cs="宋体"/>
                <w:kern w:val="0"/>
                <w:sz w:val="20"/>
                <w:szCs w:val="20"/>
              </w:rPr>
            </w:pPr>
          </w:p>
        </w:tc>
        <w:tc>
          <w:tcPr>
            <w:tcW w:w="1417" w:type="dxa"/>
            <w:shd w:val="clear" w:color="auto" w:fill="auto"/>
            <w:noWrap w:val="0"/>
            <w:vAlign w:val="center"/>
          </w:tcPr>
          <w:p>
            <w:pPr>
              <w:widowControl/>
              <w:jc w:val="center"/>
              <w:rPr>
                <w:rFonts w:hint="eastAsia" w:ascii="宋体" w:hAnsi="宋体" w:eastAsia="等线"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widowControl/>
              <w:jc w:val="center"/>
              <w:rPr>
                <w:rFonts w:ascii="宋体" w:hAnsi="宋体" w:eastAsia="等线" w:cs="宋体"/>
                <w:kern w:val="0"/>
                <w:sz w:val="20"/>
                <w:szCs w:val="20"/>
              </w:rPr>
            </w:pPr>
          </w:p>
        </w:tc>
        <w:tc>
          <w:tcPr>
            <w:tcW w:w="1300" w:type="dxa"/>
            <w:vMerge w:val="continue"/>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1300" w:type="dxa"/>
            <w:shd w:val="clear" w:color="auto" w:fill="auto"/>
            <w:noWrap w:val="0"/>
            <w:vAlign w:val="center"/>
          </w:tcPr>
          <w:p>
            <w:pPr>
              <w:widowControl/>
              <w:jc w:val="center"/>
              <w:rPr>
                <w:rFonts w:hint="eastAsia" w:ascii="宋体" w:hAnsi="宋体" w:eastAsia="等线" w:cs="宋体"/>
                <w:kern w:val="0"/>
                <w:sz w:val="20"/>
                <w:szCs w:val="20"/>
              </w:rPr>
            </w:pPr>
          </w:p>
        </w:tc>
        <w:tc>
          <w:tcPr>
            <w:tcW w:w="808" w:type="dxa"/>
            <w:shd w:val="clear" w:color="auto" w:fill="auto"/>
            <w:noWrap w:val="0"/>
            <w:vAlign w:val="center"/>
          </w:tcPr>
          <w:p>
            <w:pPr>
              <w:widowControl/>
              <w:jc w:val="center"/>
              <w:rPr>
                <w:rFonts w:hint="eastAsia" w:ascii="宋体" w:hAnsi="宋体" w:eastAsia="等线" w:cs="宋体"/>
                <w:kern w:val="0"/>
                <w:sz w:val="20"/>
                <w:szCs w:val="20"/>
              </w:rPr>
            </w:pPr>
          </w:p>
        </w:tc>
        <w:tc>
          <w:tcPr>
            <w:tcW w:w="1417" w:type="dxa"/>
            <w:shd w:val="clear" w:color="auto" w:fill="auto"/>
            <w:noWrap w:val="0"/>
            <w:vAlign w:val="center"/>
          </w:tcPr>
          <w:p>
            <w:pPr>
              <w:widowControl/>
              <w:jc w:val="center"/>
              <w:rPr>
                <w:rFonts w:hint="eastAsia" w:ascii="宋体" w:hAnsi="宋体" w:eastAsia="等线"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shd w:val="clear" w:color="auto" w:fill="auto"/>
            <w:noWrap w:val="0"/>
            <w:vAlign w:val="center"/>
          </w:tcPr>
          <w:p>
            <w:pPr>
              <w:widowControl/>
              <w:jc w:val="center"/>
              <w:rPr>
                <w:rFonts w:ascii="宋体" w:hAnsi="宋体" w:eastAsia="等线" w:cs="宋体"/>
                <w:kern w:val="0"/>
                <w:sz w:val="20"/>
                <w:szCs w:val="20"/>
              </w:rPr>
            </w:pPr>
            <w:r>
              <w:rPr>
                <w:rFonts w:ascii="宋体" w:hAnsi="宋体" w:eastAsia="等线" w:cs="宋体"/>
                <w:kern w:val="0"/>
                <w:sz w:val="20"/>
                <w:szCs w:val="20"/>
              </w:rPr>
              <w:t>说明</w:t>
            </w:r>
          </w:p>
        </w:tc>
        <w:tc>
          <w:tcPr>
            <w:tcW w:w="8725" w:type="dxa"/>
            <w:gridSpan w:val="7"/>
            <w:shd w:val="clear" w:color="auto" w:fill="auto"/>
            <w:noWrap w:val="0"/>
            <w:vAlign w:val="center"/>
          </w:tcPr>
          <w:p>
            <w:pPr>
              <w:widowControl/>
              <w:jc w:val="center"/>
              <w:rPr>
                <w:rFonts w:hint="eastAsia" w:ascii="宋体" w:hAnsi="宋体" w:eastAsia="等线" w:cs="宋体"/>
                <w:kern w:val="0"/>
                <w:sz w:val="20"/>
                <w:szCs w:val="20"/>
                <w:lang w:val="en-US" w:eastAsia="zh-CN"/>
              </w:rPr>
            </w:pPr>
            <w:r>
              <w:rPr>
                <w:rFonts w:hint="eastAsia" w:eastAsia="等线" w:cs="宋体"/>
                <w:kern w:val="0"/>
                <w:sz w:val="20"/>
                <w:szCs w:val="20"/>
                <w:lang w:val="en-US" w:eastAsia="zh-CN"/>
              </w:rPr>
              <w:t>无</w:t>
            </w:r>
          </w:p>
        </w:tc>
      </w:tr>
    </w:tbl>
    <w:p>
      <w:pPr>
        <w:pStyle w:val="4"/>
        <w:shd w:val="clear" w:color="auto" w:fill="FFFFFF"/>
        <w:rPr>
          <w:rFonts w:hint="eastAsia"/>
        </w:rPr>
      </w:pPr>
      <w:r>
        <w:rPr>
          <w:rStyle w:val="7"/>
          <w:rFonts w:hint="eastAsia"/>
          <w:sz w:val="27"/>
          <w:szCs w:val="27"/>
        </w:rPr>
        <w:t>  2.绩效自评报告或案例。</w:t>
      </w:r>
    </w:p>
    <w:p>
      <w:pPr>
        <w:pStyle w:val="4"/>
        <w:shd w:val="clear" w:color="auto" w:fill="FFFFFF"/>
        <w:ind w:firstLine="642" w:firstLineChars="200"/>
        <w:rPr>
          <w:rFonts w:hint="eastAsia" w:ascii="Times New Roman" w:hAnsi="Times New Roman" w:eastAsia="方正仿宋_GBK"/>
          <w:b/>
          <w:bCs/>
          <w:sz w:val="32"/>
          <w:szCs w:val="32"/>
        </w:rPr>
      </w:pPr>
      <w:r>
        <w:rPr>
          <w:rFonts w:ascii="Times New Roman" w:hAnsi="Times New Roman" w:eastAsia="方正仿宋_GBK"/>
          <w:b/>
          <w:bCs/>
          <w:sz w:val="32"/>
          <w:szCs w:val="32"/>
        </w:rPr>
        <w:t>我单位未委托第三方开展绩效自评</w:t>
      </w:r>
      <w:r>
        <w:rPr>
          <w:rFonts w:hint="eastAsia" w:ascii="Times New Roman" w:hAnsi="Times New Roman" w:eastAsia="方正仿宋_GBK"/>
          <w:b/>
          <w:bCs/>
          <w:sz w:val="32"/>
          <w:szCs w:val="32"/>
        </w:rPr>
        <w:t>。</w:t>
      </w:r>
    </w:p>
    <w:p>
      <w:pPr>
        <w:spacing w:line="570" w:lineRule="exact"/>
        <w:ind w:firstLine="542" w:firstLineChars="200"/>
        <w:rPr>
          <w:rStyle w:val="7"/>
          <w:rFonts w:hint="eastAsia" w:ascii="Times New Roman" w:hAnsi="Times New Roman" w:cs="Times New Roman" w:eastAsiaTheme="minorEastAsia"/>
          <w:sz w:val="27"/>
          <w:szCs w:val="27"/>
          <w:lang w:val="en-US" w:eastAsia="zh-CN" w:bidi="ar-SA"/>
        </w:rPr>
      </w:pPr>
      <w:r>
        <w:rPr>
          <w:rStyle w:val="7"/>
          <w:rFonts w:hint="eastAsia" w:ascii="Times New Roman" w:hAnsi="Times New Roman" w:cs="Times New Roman" w:eastAsiaTheme="minorEastAsia"/>
          <w:sz w:val="27"/>
          <w:szCs w:val="27"/>
          <w:lang w:val="en-US" w:eastAsia="zh-CN" w:bidi="ar-SA"/>
        </w:rPr>
        <w:t>3．关于绩效自评结果的说明</w:t>
      </w:r>
    </w:p>
    <w:p>
      <w:pPr>
        <w:spacing w:line="570" w:lineRule="exact"/>
        <w:ind w:firstLine="642" w:firstLineChars="200"/>
        <w:rPr>
          <w:rFonts w:hint="eastAsia" w:ascii="Times New Roman" w:hAnsi="Times New Roman" w:eastAsia="方正仿宋_GBK"/>
          <w:b/>
          <w:bCs/>
          <w:sz w:val="32"/>
          <w:szCs w:val="32"/>
        </w:rPr>
      </w:pPr>
      <w:r>
        <w:rPr>
          <w:rFonts w:ascii="Times New Roman" w:hAnsi="Times New Roman" w:eastAsia="方正仿宋_GBK"/>
          <w:b/>
          <w:bCs/>
          <w:sz w:val="32"/>
          <w:szCs w:val="32"/>
        </w:rPr>
        <w:t>我单位绩效自评</w:t>
      </w:r>
      <w:r>
        <w:rPr>
          <w:rFonts w:hint="eastAsia" w:ascii="Times New Roman" w:hAnsi="Times New Roman" w:eastAsia="方正仿宋_GBK"/>
          <w:b/>
          <w:bCs/>
          <w:sz w:val="32"/>
          <w:szCs w:val="32"/>
        </w:rPr>
        <w:t>均已完成年度绩效目标。</w:t>
      </w:r>
    </w:p>
    <w:p>
      <w:pPr>
        <w:pStyle w:val="4"/>
        <w:shd w:val="clear" w:color="auto" w:fill="FFFFFF"/>
        <w:rPr>
          <w:rStyle w:val="7"/>
          <w:rFonts w:hint="eastAsia"/>
          <w:shd w:val="clear" w:color="auto" w:fill="FFFF00"/>
        </w:rPr>
      </w:pPr>
      <w:r>
        <w:rPr>
          <w:rStyle w:val="7"/>
          <w:rFonts w:hint="eastAsia"/>
          <w:sz w:val="27"/>
          <w:szCs w:val="27"/>
        </w:rPr>
        <w:t> （三）重点绩效评价结果。</w:t>
      </w:r>
    </w:p>
    <w:p>
      <w:pPr>
        <w:pStyle w:val="4"/>
        <w:shd w:val="clear" w:color="auto" w:fill="FFFFFF"/>
        <w:ind w:firstLine="540" w:firstLineChars="200"/>
        <w:rPr>
          <w:rFonts w:hint="eastAsia"/>
        </w:rPr>
      </w:pPr>
      <w:r>
        <w:rPr>
          <w:rFonts w:hint="eastAsia"/>
          <w:sz w:val="27"/>
          <w:szCs w:val="27"/>
        </w:rPr>
        <w:t>我单位未委托第三方开展重点绩效评价。</w:t>
      </w:r>
    </w:p>
    <w:p>
      <w:pPr>
        <w:pStyle w:val="4"/>
        <w:shd w:val="clear" w:color="auto" w:fill="FFFFFF"/>
        <w:rPr>
          <w:rFonts w:hint="eastAsia"/>
        </w:rPr>
      </w:pPr>
      <w:r>
        <w:rPr>
          <w:rStyle w:val="7"/>
          <w:rFonts w:hint="eastAsia"/>
          <w:sz w:val="27"/>
          <w:szCs w:val="27"/>
        </w:rPr>
        <w:t>  六、专业名词解释</w:t>
      </w:r>
    </w:p>
    <w:p>
      <w:pPr>
        <w:pStyle w:val="4"/>
        <w:shd w:val="clear" w:color="auto" w:fill="FFFFFF"/>
        <w:rPr>
          <w:rFonts w:hint="eastAsia"/>
        </w:rPr>
      </w:pPr>
      <w:r>
        <w:rPr>
          <w:rFonts w:hint="eastAsia"/>
          <w:sz w:val="27"/>
          <w:szCs w:val="27"/>
        </w:rPr>
        <w:t> </w:t>
      </w:r>
      <w:r>
        <w:rPr>
          <w:rStyle w:val="7"/>
          <w:rFonts w:hint="eastAsia"/>
          <w:sz w:val="27"/>
          <w:szCs w:val="27"/>
        </w:rPr>
        <w:t> （一）财政拨款收入</w:t>
      </w:r>
      <w:r>
        <w:rPr>
          <w:rFonts w:hint="eastAsia"/>
          <w:sz w:val="27"/>
          <w:szCs w:val="27"/>
        </w:rPr>
        <w:t>：指本年度从本级财政部门取得的财政拨款，包括一般公共预算财政拨款和政府性基金预算财政拨款。</w:t>
      </w:r>
    </w:p>
    <w:p>
      <w:pPr>
        <w:pStyle w:val="4"/>
        <w:shd w:val="clear" w:color="auto" w:fill="FFFFFF"/>
        <w:rPr>
          <w:rFonts w:hint="eastAsia"/>
        </w:rPr>
      </w:pPr>
      <w:r>
        <w:rPr>
          <w:rStyle w:val="7"/>
          <w:rFonts w:hint="eastAsia"/>
          <w:sz w:val="27"/>
          <w:szCs w:val="27"/>
        </w:rPr>
        <w:t>  （二）事业收入</w:t>
      </w:r>
      <w:r>
        <w:rPr>
          <w:rFonts w:hint="eastAsia"/>
          <w:sz w:val="27"/>
          <w:szCs w:val="27"/>
        </w:rPr>
        <w:t>：指事业单位开展专业业务活动及其辅助活动取得的现金流入；事业单位收到的财政专户实际核拨的教育收费等资金在此反映。</w:t>
      </w:r>
    </w:p>
    <w:p>
      <w:pPr>
        <w:pStyle w:val="4"/>
        <w:shd w:val="clear" w:color="auto" w:fill="FFFFFF"/>
        <w:rPr>
          <w:rFonts w:hint="eastAsia"/>
        </w:rPr>
      </w:pPr>
      <w:r>
        <w:rPr>
          <w:rStyle w:val="7"/>
          <w:rFonts w:hint="eastAsia"/>
          <w:sz w:val="27"/>
          <w:szCs w:val="27"/>
        </w:rPr>
        <w:t>  （三）经营收入</w:t>
      </w:r>
      <w:r>
        <w:rPr>
          <w:rFonts w:hint="eastAsia"/>
          <w:sz w:val="27"/>
          <w:szCs w:val="27"/>
        </w:rPr>
        <w:t>：指事业单位在专业业务活动及其辅助活动之外开展非独立核算经营活动取得的现金流入。</w:t>
      </w:r>
    </w:p>
    <w:p>
      <w:pPr>
        <w:pStyle w:val="4"/>
        <w:shd w:val="clear" w:color="auto" w:fill="FFFFFF"/>
        <w:rPr>
          <w:rFonts w:hint="eastAsia"/>
        </w:rPr>
      </w:pPr>
      <w:r>
        <w:rPr>
          <w:rStyle w:val="7"/>
          <w:rFonts w:hint="eastAsia"/>
          <w:sz w:val="27"/>
          <w:szCs w:val="27"/>
        </w:rPr>
        <w:t>  （四）其他收入</w:t>
      </w:r>
      <w:r>
        <w:rPr>
          <w:rFonts w:hint="eastAsia"/>
          <w:sz w:val="27"/>
          <w:szCs w:val="27"/>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shd w:val="clear" w:color="auto" w:fill="FFFFFF"/>
        <w:rPr>
          <w:rFonts w:hint="eastAsia"/>
        </w:rPr>
      </w:pPr>
      <w:r>
        <w:rPr>
          <w:rStyle w:val="7"/>
          <w:rFonts w:hint="eastAsia"/>
          <w:sz w:val="27"/>
          <w:szCs w:val="27"/>
        </w:rPr>
        <w:t>  （五）使用非财政拨款结余</w:t>
      </w:r>
      <w:r>
        <w:rPr>
          <w:rFonts w:hint="eastAsia"/>
          <w:sz w:val="27"/>
          <w:szCs w:val="27"/>
        </w:rPr>
        <w:t>：指单位在当年的“财政拨款收入”、“事业收入”、“经营收入”、“其他收入”等不足以安排当年支出的情况下，使用以前年度积累的非财政拨款结余弥补本年度收支缺口的资金。</w:t>
      </w:r>
    </w:p>
    <w:p>
      <w:pPr>
        <w:pStyle w:val="4"/>
        <w:shd w:val="clear" w:color="auto" w:fill="FFFFFF"/>
        <w:rPr>
          <w:rFonts w:hint="eastAsia"/>
        </w:rPr>
      </w:pPr>
      <w:r>
        <w:rPr>
          <w:rStyle w:val="7"/>
          <w:rFonts w:hint="eastAsia"/>
          <w:sz w:val="27"/>
          <w:szCs w:val="27"/>
        </w:rPr>
        <w:t>  （六）年初结转和结余</w:t>
      </w:r>
      <w:r>
        <w:rPr>
          <w:rFonts w:hint="eastAsia"/>
          <w:sz w:val="27"/>
          <w:szCs w:val="27"/>
        </w:rPr>
        <w:t>：指单位上年结转本年使用的基本支出结转、项目支出结转和结余、经营结余。</w:t>
      </w:r>
    </w:p>
    <w:p>
      <w:pPr>
        <w:pStyle w:val="4"/>
        <w:shd w:val="clear" w:color="auto" w:fill="FFFFFF"/>
        <w:rPr>
          <w:rFonts w:hint="eastAsia"/>
        </w:rPr>
      </w:pPr>
      <w:r>
        <w:rPr>
          <w:rStyle w:val="7"/>
          <w:rFonts w:hint="eastAsia"/>
          <w:sz w:val="27"/>
          <w:szCs w:val="27"/>
        </w:rPr>
        <w:t>  （七）结余分配</w:t>
      </w:r>
      <w:r>
        <w:rPr>
          <w:rFonts w:hint="eastAsia"/>
          <w:sz w:val="27"/>
          <w:szCs w:val="27"/>
        </w:rPr>
        <w:t>：指单位按照国家有关规定，缴纳所得税、提取专用基金、转入非财政拨款结余等当年结余的分配情况。</w:t>
      </w:r>
    </w:p>
    <w:p>
      <w:pPr>
        <w:pStyle w:val="4"/>
        <w:shd w:val="clear" w:color="auto" w:fill="FFFFFF"/>
        <w:rPr>
          <w:rFonts w:hint="eastAsia"/>
        </w:rPr>
      </w:pPr>
      <w:r>
        <w:rPr>
          <w:rStyle w:val="7"/>
          <w:rFonts w:hint="eastAsia"/>
          <w:sz w:val="27"/>
          <w:szCs w:val="27"/>
        </w:rPr>
        <w:t>  （八）年末结转和结余</w:t>
      </w:r>
      <w:r>
        <w:rPr>
          <w:rFonts w:hint="eastAsia"/>
          <w:sz w:val="27"/>
          <w:szCs w:val="27"/>
        </w:rPr>
        <w:t>：指单位结转下年的基本支出结转、项目支出结转和结余、经营结余。</w:t>
      </w:r>
    </w:p>
    <w:p>
      <w:pPr>
        <w:pStyle w:val="4"/>
        <w:shd w:val="clear" w:color="auto" w:fill="FFFFFF"/>
        <w:rPr>
          <w:rFonts w:hint="eastAsia"/>
        </w:rPr>
      </w:pPr>
      <w:r>
        <w:rPr>
          <w:rStyle w:val="7"/>
          <w:rFonts w:hint="eastAsia"/>
          <w:sz w:val="27"/>
          <w:szCs w:val="27"/>
        </w:rPr>
        <w:t>  （九）基本支出</w:t>
      </w:r>
      <w:r>
        <w:rPr>
          <w:rFonts w:hint="eastAsia"/>
          <w:sz w:val="27"/>
          <w:szCs w:val="27"/>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shd w:val="clear" w:color="auto" w:fill="FFFFFF"/>
        <w:rPr>
          <w:rFonts w:hint="eastAsia"/>
        </w:rPr>
      </w:pPr>
      <w:r>
        <w:rPr>
          <w:rStyle w:val="7"/>
          <w:rFonts w:hint="eastAsia"/>
          <w:sz w:val="27"/>
          <w:szCs w:val="27"/>
        </w:rPr>
        <w:t>  （十）项目支出</w:t>
      </w:r>
      <w:r>
        <w:rPr>
          <w:rFonts w:hint="eastAsia"/>
          <w:sz w:val="27"/>
          <w:szCs w:val="27"/>
        </w:rPr>
        <w:t>：指在基本支出之外为完成特定行政任务和事业发展目标所发生的支出。</w:t>
      </w:r>
    </w:p>
    <w:p>
      <w:pPr>
        <w:pStyle w:val="4"/>
        <w:shd w:val="clear" w:color="auto" w:fill="FFFFFF"/>
        <w:rPr>
          <w:rFonts w:hint="eastAsia"/>
        </w:rPr>
      </w:pPr>
      <w:r>
        <w:rPr>
          <w:rStyle w:val="7"/>
          <w:rFonts w:hint="eastAsia"/>
          <w:sz w:val="27"/>
          <w:szCs w:val="27"/>
        </w:rPr>
        <w:t>  （十一）经营支出</w:t>
      </w:r>
      <w:r>
        <w:rPr>
          <w:rFonts w:hint="eastAsia"/>
          <w:sz w:val="27"/>
          <w:szCs w:val="27"/>
        </w:rPr>
        <w:t>：指事业单位在专业业务活动及其辅助活动之外开展非独立核算经营活动发生的支出。</w:t>
      </w:r>
    </w:p>
    <w:p>
      <w:pPr>
        <w:pStyle w:val="4"/>
        <w:shd w:val="clear" w:color="auto" w:fill="FFFFFF"/>
        <w:rPr>
          <w:rFonts w:hint="eastAsia"/>
        </w:rPr>
      </w:pPr>
      <w:r>
        <w:rPr>
          <w:rStyle w:val="7"/>
          <w:rFonts w:hint="eastAsia"/>
          <w:sz w:val="27"/>
          <w:szCs w:val="27"/>
        </w:rPr>
        <w:t>  （十二）“三公”经费</w:t>
      </w:r>
      <w:r>
        <w:rPr>
          <w:rFonts w:hint="eastAsia"/>
          <w:sz w:val="27"/>
          <w:szCs w:val="27"/>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shd w:val="clear" w:color="auto" w:fill="FFFFFF"/>
        <w:rPr>
          <w:rFonts w:hint="eastAsia"/>
        </w:rPr>
      </w:pPr>
      <w:r>
        <w:rPr>
          <w:rStyle w:val="7"/>
          <w:rFonts w:hint="eastAsia"/>
          <w:sz w:val="27"/>
          <w:szCs w:val="27"/>
        </w:rPr>
        <w:t>  （十三）机关运行经费</w:t>
      </w:r>
      <w:r>
        <w:rPr>
          <w:rFonts w:hint="eastAsia"/>
          <w:sz w:val="27"/>
          <w:szCs w:val="27"/>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shd w:val="clear" w:color="auto" w:fill="FFFFFF"/>
        <w:rPr>
          <w:rFonts w:hint="eastAsia"/>
        </w:rPr>
      </w:pPr>
      <w:r>
        <w:rPr>
          <w:rStyle w:val="7"/>
          <w:rFonts w:hint="eastAsia"/>
          <w:sz w:val="27"/>
          <w:szCs w:val="27"/>
        </w:rPr>
        <w:t>  （十四）工资福利支出（支出经济分类科目类级）</w:t>
      </w:r>
      <w:r>
        <w:rPr>
          <w:rFonts w:hint="eastAsia"/>
          <w:sz w:val="27"/>
          <w:szCs w:val="27"/>
        </w:rPr>
        <w:t>：反映单位开支的在职职工和编制外长期聘用人员的各类劳动报酬，以及为上述人员缴纳的各项社会保险费等。</w:t>
      </w:r>
    </w:p>
    <w:p>
      <w:pPr>
        <w:pStyle w:val="4"/>
        <w:shd w:val="clear" w:color="auto" w:fill="FFFFFF"/>
        <w:rPr>
          <w:rFonts w:hint="eastAsia"/>
        </w:rPr>
      </w:pPr>
      <w:r>
        <w:rPr>
          <w:rStyle w:val="7"/>
          <w:rFonts w:hint="eastAsia"/>
          <w:sz w:val="27"/>
          <w:szCs w:val="27"/>
        </w:rPr>
        <w:t>  （十五）商品和服务支出（支出经济分类科目类级）</w:t>
      </w:r>
      <w:r>
        <w:rPr>
          <w:rFonts w:hint="eastAsia"/>
          <w:sz w:val="27"/>
          <w:szCs w:val="27"/>
        </w:rPr>
        <w:t>：反映单位购买商品和服务的支出（不包括用于购置固定资产的支出、战略性和应急储备支出）。</w:t>
      </w:r>
    </w:p>
    <w:p>
      <w:pPr>
        <w:pStyle w:val="4"/>
        <w:shd w:val="clear" w:color="auto" w:fill="FFFFFF"/>
        <w:rPr>
          <w:rFonts w:hint="eastAsia"/>
        </w:rPr>
      </w:pPr>
      <w:r>
        <w:rPr>
          <w:rStyle w:val="7"/>
          <w:rFonts w:hint="eastAsia"/>
          <w:sz w:val="27"/>
          <w:szCs w:val="27"/>
        </w:rPr>
        <w:t>  （十六）对个人和家庭的补助（支出经济分类科目类级）</w:t>
      </w:r>
      <w:r>
        <w:rPr>
          <w:rFonts w:hint="eastAsia"/>
          <w:sz w:val="27"/>
          <w:szCs w:val="27"/>
        </w:rPr>
        <w:t>：反映用于对个人和家庭的补助支出。</w:t>
      </w:r>
    </w:p>
    <w:p>
      <w:pPr>
        <w:pStyle w:val="4"/>
        <w:shd w:val="clear" w:color="auto" w:fill="FFFFFF"/>
        <w:rPr>
          <w:rFonts w:hint="eastAsia"/>
        </w:rPr>
      </w:pPr>
      <w:r>
        <w:rPr>
          <w:rStyle w:val="7"/>
          <w:rFonts w:hint="eastAsia"/>
          <w:sz w:val="27"/>
          <w:szCs w:val="27"/>
        </w:rPr>
        <w:t>  （十七）其他资本性支出（支出经济分类科目类级）</w:t>
      </w:r>
      <w:r>
        <w:rPr>
          <w:rFonts w:hint="eastAsia"/>
          <w:sz w:val="27"/>
          <w:szCs w:val="27"/>
        </w:rPr>
        <w:t>：反映非各级发展与改革部门集中安排的用于购置固定资产、战略性和应急性储备、土地和无形资产，以及构建基础设施、大型修缮和财政支持企业更新改造所发生的支出。</w:t>
      </w:r>
    </w:p>
    <w:p>
      <w:pPr>
        <w:pStyle w:val="4"/>
        <w:shd w:val="clear" w:color="auto" w:fill="FFFFFF"/>
        <w:rPr>
          <w:rFonts w:hint="eastAsia"/>
        </w:rPr>
      </w:pPr>
      <w:r>
        <w:rPr>
          <w:rStyle w:val="7"/>
          <w:rFonts w:hint="eastAsia"/>
          <w:sz w:val="27"/>
          <w:szCs w:val="27"/>
        </w:rPr>
        <w:t>  七、决算公开联系方式及信息反馈渠道</w:t>
      </w:r>
    </w:p>
    <w:p>
      <w:pPr>
        <w:pStyle w:val="4"/>
        <w:shd w:val="clear" w:color="auto" w:fill="FFFFFF"/>
        <w:rPr>
          <w:rFonts w:hint="eastAsia" w:ascii="Times New Roman" w:hAnsi="Times New Roman" w:cs="Times New Roman"/>
        </w:rPr>
      </w:pPr>
      <w:r>
        <w:rPr>
          <w:rFonts w:hint="eastAsia"/>
          <w:sz w:val="27"/>
          <w:szCs w:val="27"/>
        </w:rPr>
        <w:t>  本单位决算公开信息反馈和联系方式：023-70605558</w:t>
      </w:r>
    </w:p>
    <w:p>
      <w:pPr>
        <w:pStyle w:val="4"/>
        <w:shd w:val="clear" w:color="auto" w:fill="FFFFFF"/>
      </w:pP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等线">
    <w:altName w:val="汉仪中圆B5"/>
    <w:panose1 w:val="02010600030101010101"/>
    <w:charset w:val="86"/>
    <w:family w:val="auto"/>
    <w:pitch w:val="default"/>
    <w:sig w:usb0="00000000" w:usb1="00000000" w:usb2="00000016" w:usb3="00000000" w:csb0="0004000F"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中圆B5">
    <w:panose1 w:val="02010600000101010101"/>
    <w:charset w:val="88"/>
    <w:family w:val="auto"/>
    <w:pitch w:val="default"/>
    <w:sig w:usb0="00000001" w:usb1="080E0800" w:usb2="00000002" w:usb3="00000000" w:csb0="001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noPunctuationKerning w:val="true"/>
  <w:characterSpacingControl w:val="doNotCompress"/>
  <w:compat>
    <w:useFELayout/>
    <w:compatSetting w:name="compatibilityMode" w:uri="http://schemas.microsoft.com/office/word" w:val="12"/>
  </w:compat>
  <w:docVars>
    <w:docVar w:name="commondata" w:val="eyJoZGlkIjoiODhmNTc2OGY1YWM3ZTM5MTYwYTcwNWI1NGE0NTY1NzEifQ=="/>
  </w:docVars>
  <w:rsids>
    <w:rsidRoot w:val="00AB1FA8"/>
    <w:rsid w:val="000B3BEA"/>
    <w:rsid w:val="00210673"/>
    <w:rsid w:val="00AB1FA8"/>
    <w:rsid w:val="1FAD0CAB"/>
    <w:rsid w:val="205D447F"/>
    <w:rsid w:val="3F43088C"/>
    <w:rsid w:val="44352E99"/>
    <w:rsid w:val="4F4201BA"/>
    <w:rsid w:val="54DD0B09"/>
    <w:rsid w:val="62CF4061"/>
    <w:rsid w:val="676F7BC1"/>
    <w:rsid w:val="6ADF7691"/>
    <w:rsid w:val="7B095F0A"/>
    <w:rsid w:val="F7EFE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styleId="7">
    <w:name w:val="Strong"/>
    <w:basedOn w:val="6"/>
    <w:qFormat/>
    <w:uiPriority w:val="22"/>
    <w:rPr>
      <w:b/>
      <w:bCs/>
    </w:rPr>
  </w:style>
  <w:style w:type="character" w:customStyle="1" w:styleId="8">
    <w:name w:val="页眉 Char"/>
    <w:basedOn w:val="6"/>
    <w:link w:val="3"/>
    <w:semiHidden/>
    <w:qFormat/>
    <w:locked/>
    <w:uiPriority w:val="99"/>
    <w:rPr>
      <w:rFonts w:hint="eastAsia" w:ascii="宋体" w:hAnsi="宋体" w:eastAsia="宋体" w:cs="宋体"/>
      <w:sz w:val="18"/>
      <w:szCs w:val="18"/>
    </w:rPr>
  </w:style>
  <w:style w:type="character" w:customStyle="1" w:styleId="9">
    <w:name w:val="页脚 Char"/>
    <w:basedOn w:val="6"/>
    <w:link w:val="2"/>
    <w:semiHidden/>
    <w:qFormat/>
    <w:locked/>
    <w:uiPriority w:val="99"/>
    <w:rPr>
      <w:rFonts w:hint="eastAsia" w:ascii="宋体"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16</Pages>
  <Words>6530</Words>
  <Characters>7096</Characters>
  <Lines>54</Lines>
  <Paragraphs>15</Paragraphs>
  <TotalTime>0</TotalTime>
  <ScaleCrop>false</ScaleCrop>
  <LinksUpToDate>false</LinksUpToDate>
  <CharactersWithSpaces>7247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2022-10-09T16:10:00Z</dcterms:created>
  <dc:creator>Administrator</dc:creator>
  <cp:lastModifiedBy>fengdu</cp:lastModifiedBy>
  <dcterms:modified xsi:type="dcterms:W3CDTF">2023-02-02T16:50:20Z</dcterms:modified>
  <dc:title>公开报告模板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7C24BEC1C74C404B8B4CE6993385D129</vt:lpwstr>
  </property>
</Properties>
</file>